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88111E">
      <w:pPr>
        <w:pStyle w:val="Titre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0A6F3D39" w:rsidR="000C3DB0" w:rsidRDefault="0088111E">
      <w:pPr>
        <w:pStyle w:val="Corpsdetexte"/>
        <w:rPr>
          <w:rFonts w:hint="eastAsia"/>
        </w:rPr>
      </w:pPr>
      <w:bookmarkStart w:id="0" w:name="_Hlk163227812"/>
      <w:r>
        <w:t xml:space="preserve">L’objectif de </w:t>
      </w:r>
      <w:hyperlink r:id="rId7" w:history="1">
        <w:proofErr w:type="spellStart"/>
        <w:r w:rsidRPr="001B7A06">
          <w:rPr>
            <w:rStyle w:val="Lienhypertexte"/>
          </w:rPr>
          <w:t>Galenus</w:t>
        </w:r>
        <w:proofErr w:type="spellEnd"/>
        <w:r w:rsidRPr="001B7A06">
          <w:rPr>
            <w:rStyle w:val="Lienhypertexte"/>
          </w:rPr>
          <w:t xml:space="preserve"> verbatim</w:t>
        </w:r>
      </w:hyperlink>
      <w:r>
        <w:t xml:space="preserve"> est de mettre à disposition en accès libre un environnement de travail facilitant l’exploration des textes galéniques</w:t>
      </w:r>
      <w:bookmarkEnd w:id="0"/>
      <w:r w:rsidR="00170D13">
        <w:t xml:space="preserve"> </w:t>
      </w:r>
      <w:r>
        <w:t>qui a été construit dans le cadre du projet</w:t>
      </w:r>
      <w:r w:rsidR="001B7A06">
        <w:t xml:space="preserve"> de</w:t>
      </w:r>
      <w:r>
        <w:t xml:space="preserve"> </w:t>
      </w:r>
      <w:hyperlink r:id="rId8" w:tgtFrame="_top">
        <w:r>
          <w:rPr>
            <w:rStyle w:val="Lienhypertexte"/>
          </w:rPr>
          <w:t>Dictionnaire de la médecine d’après Galien de Pergame</w:t>
        </w:r>
      </w:hyperlink>
      <w:r>
        <w:t xml:space="preserve"> et qui est destiné à être progressivement enrichi.</w:t>
      </w:r>
      <w:r w:rsidR="009E7397">
        <w:t xml:space="preserve"> Des explications sur le contenu de cet environnement de travail et sur son fonctionnement sont proposées dans la section </w:t>
      </w:r>
      <w:hyperlink r:id="rId9" w:history="1">
        <w:r w:rsidR="009E7397" w:rsidRPr="009E7397">
          <w:rPr>
            <w:rStyle w:val="Lienhypertexte"/>
          </w:rPr>
          <w:t>Questions fréquentes</w:t>
        </w:r>
      </w:hyperlink>
      <w:r w:rsidR="009E7397">
        <w:t>.</w:t>
      </w:r>
    </w:p>
    <w:p w14:paraId="3AB34C2B" w14:textId="02816BE4" w:rsidR="00B631A2" w:rsidRDefault="0088111E">
      <w:pPr>
        <w:pStyle w:val="Corpsdetexte"/>
        <w:rPr>
          <w:rFonts w:hint="eastAsia"/>
        </w:rPr>
      </w:pPr>
      <w:r>
        <w:t xml:space="preserve">Les textes grecs ici présents, qui regroupent les traités publiés dans les volumes 1 à 18b l’édition de C.G. Kühn, ainsi que quelques autres </w:t>
      </w:r>
      <w:r w:rsidR="007C6FE7">
        <w:t xml:space="preserve">textes </w:t>
      </w:r>
      <w:r>
        <w:t>libres de droits</w:t>
      </w:r>
      <w:r w:rsidR="007C6FE7">
        <w:t xml:space="preserve"> (certains déjà présents dans l’édition de Kühn, d’autres non)</w:t>
      </w:r>
      <w:r>
        <w:t xml:space="preserve">, proviennent du dépôt en accès libre du projet </w:t>
      </w:r>
      <w:hyperlink r:id="rId10" w:tgtFrame="_top">
        <w:r>
          <w:rPr>
            <w:rStyle w:val="Lienhypertexte"/>
          </w:rPr>
          <w:t xml:space="preserve">First </w:t>
        </w:r>
        <w:proofErr w:type="spellStart"/>
        <w:r>
          <w:rPr>
            <w:rStyle w:val="Lienhypertexte"/>
          </w:rPr>
          <w:t>Thousand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Years</w:t>
        </w:r>
        <w:proofErr w:type="spellEnd"/>
        <w:r>
          <w:rPr>
            <w:rStyle w:val="Lienhypertexte"/>
          </w:rPr>
          <w:t xml:space="preserve"> of Greek</w:t>
        </w:r>
      </w:hyperlink>
      <w:r w:rsidR="002E4701">
        <w:rPr>
          <w:rStyle w:val="Appelnotedebasdep"/>
        </w:rPr>
        <w:footnoteReference w:id="1"/>
      </w:r>
      <w:r w:rsidR="002E4701">
        <w:t xml:space="preserve"> </w:t>
      </w:r>
      <w:r>
        <w:t xml:space="preserve">qui, pour ce qui concerne les textes galéniques, a repris le corpus publié en accès libre dans le </w:t>
      </w:r>
      <w:hyperlink r:id="rId11" w:tgtFrame="_top">
        <w:r>
          <w:rPr>
            <w:rStyle w:val="Lienhypertexte"/>
          </w:rPr>
          <w:t xml:space="preserve">Digital Corpus for </w:t>
        </w:r>
        <w:proofErr w:type="spellStart"/>
        <w:r>
          <w:rPr>
            <w:rStyle w:val="Lienhypertexte"/>
          </w:rPr>
          <w:t>Graeco-Arabic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Studies</w:t>
        </w:r>
        <w:proofErr w:type="spellEnd"/>
      </w:hyperlink>
      <w:r>
        <w:t xml:space="preserve"> pour l’intégrer à la </w:t>
      </w:r>
      <w:hyperlink r:id="rId12" w:history="1">
        <w:r w:rsidRPr="00C431FC">
          <w:rPr>
            <w:rStyle w:val="Lienhypertexte"/>
          </w:rPr>
          <w:t>Perseus Digital Library</w:t>
        </w:r>
      </w:hyperlink>
      <w:r w:rsidR="00C431FC">
        <w:t>.</w:t>
      </w:r>
      <w:r>
        <w:t xml:space="preserve"> </w:t>
      </w:r>
      <w:proofErr w:type="spellStart"/>
      <w:r w:rsidR="00C431FC">
        <w:t>Galenus</w:t>
      </w:r>
      <w:proofErr w:type="spellEnd"/>
      <w:r w:rsidR="00C431FC">
        <w:t xml:space="preserve"> verbatim complète le corpus de </w:t>
      </w:r>
      <w:r w:rsidR="00C431FC" w:rsidRPr="00C431FC">
        <w:t xml:space="preserve">First </w:t>
      </w:r>
      <w:proofErr w:type="spellStart"/>
      <w:r w:rsidR="00C431FC" w:rsidRPr="00C431FC">
        <w:t>Thousand</w:t>
      </w:r>
      <w:proofErr w:type="spellEnd"/>
      <w:r w:rsidR="00C431FC" w:rsidRPr="00C431FC">
        <w:t xml:space="preserve"> </w:t>
      </w:r>
      <w:proofErr w:type="spellStart"/>
      <w:r w:rsidR="00C431FC" w:rsidRPr="00C431FC">
        <w:t>Years</w:t>
      </w:r>
      <w:proofErr w:type="spellEnd"/>
      <w:r w:rsidR="00C431FC" w:rsidRPr="00C431FC">
        <w:t xml:space="preserve"> of Greek</w:t>
      </w:r>
      <w:r w:rsidR="00C431FC">
        <w:t xml:space="preserve"> en y ajoutant </w:t>
      </w:r>
      <w:r>
        <w:t xml:space="preserve">le texte du </w:t>
      </w:r>
      <w:r>
        <w:rPr>
          <w:rStyle w:val="Accentuation"/>
        </w:rPr>
        <w:t>Commentaire au Prorrhétique I d’Hippocrate</w:t>
      </w:r>
      <w:r>
        <w:t xml:space="preserve"> (16.489-840 K)</w:t>
      </w:r>
      <w:r w:rsidR="00FE2640">
        <w:t xml:space="preserve"> provenant du Digital Corpus for </w:t>
      </w:r>
      <w:proofErr w:type="spellStart"/>
      <w:r w:rsidR="00FE2640">
        <w:t>Graeco-Arabic</w:t>
      </w:r>
      <w:proofErr w:type="spellEnd"/>
      <w:r w:rsidR="00FE2640">
        <w:t xml:space="preserve"> </w:t>
      </w:r>
      <w:proofErr w:type="spellStart"/>
      <w:r w:rsidR="00FE2640">
        <w:t>Studies</w:t>
      </w:r>
      <w:proofErr w:type="spellEnd"/>
      <w:r w:rsidR="00C431FC">
        <w:rPr>
          <w:rStyle w:val="Appelnotedebasdep"/>
        </w:rPr>
        <w:footnoteReference w:id="2"/>
      </w:r>
      <w:r>
        <w:t xml:space="preserve">, </w:t>
      </w:r>
      <w:r w:rsidR="00DC5B09">
        <w:t>et en écarte des textes qui consistent en des compilations d’extraits de textes provenant d’autres traités édités par Kühn</w:t>
      </w:r>
      <w:r w:rsidR="00DC5B09">
        <w:rPr>
          <w:rStyle w:val="Appelnotedebasdep"/>
        </w:rPr>
        <w:footnoteReference w:id="3"/>
      </w:r>
      <w:r w:rsidR="00DC5B09">
        <w:t>.</w:t>
      </w:r>
      <w:r w:rsidR="00C94D42">
        <w:t xml:space="preserve"> Le balisage XML-TEI de ces textes a été vérifié,</w:t>
      </w:r>
      <w:r w:rsidR="002308D5">
        <w:t xml:space="preserve"> corrigé et enrichi</w:t>
      </w:r>
      <w:r w:rsidR="00045EE7">
        <w:t> ; les métadonnées ont été complétées</w:t>
      </w:r>
      <w:r w:rsidR="002308D5">
        <w:t>.</w:t>
      </w:r>
    </w:p>
    <w:p w14:paraId="3461382C" w14:textId="4D2D49B6" w:rsidR="00CD712D" w:rsidRDefault="00CD712D">
      <w:pPr>
        <w:pStyle w:val="Corpsdetexte"/>
        <w:rPr>
          <w:rFonts w:hint="eastAsia"/>
        </w:rPr>
      </w:pPr>
      <w:r>
        <w:t xml:space="preserve">Seront </w:t>
      </w:r>
      <w:r w:rsidR="00EA1E30">
        <w:t>ensuite</w:t>
      </w:r>
      <w:r>
        <w:t xml:space="preserve"> ajoutés les textes grecs galéniques ou pseudo-galéniques de l’édition Kühn qui n</w:t>
      </w:r>
      <w:r w:rsidR="00D31F26">
        <w:t>e figurent pas dans</w:t>
      </w:r>
      <w:r>
        <w:t xml:space="preserve"> ces deux corpus</w:t>
      </w:r>
      <w:r w:rsidR="00EA1E30">
        <w:t xml:space="preserve"> </w:t>
      </w:r>
      <w:r w:rsidR="00EA1E30" w:rsidRPr="00F20B26">
        <w:t>(</w:t>
      </w:r>
      <w:r w:rsidR="00EA1E30">
        <w:t xml:space="preserve">22 traités couvrant </w:t>
      </w:r>
      <w:r w:rsidR="00EA1E30" w:rsidRPr="00F20B26">
        <w:t>1 1</w:t>
      </w:r>
      <w:r w:rsidR="007B6040">
        <w:t>33</w:t>
      </w:r>
      <w:r w:rsidR="00EA1E30" w:rsidRPr="00F20B26">
        <w:t xml:space="preserve"> demi-pages)</w:t>
      </w:r>
      <w:r>
        <w:t>, ainsi que l’ensemble des traductions latines de cette édition</w:t>
      </w:r>
      <w:r w:rsidR="007B6040">
        <w:t xml:space="preserve"> </w:t>
      </w:r>
      <w:r w:rsidR="007B6040" w:rsidRPr="00F20B26">
        <w:t>(</w:t>
      </w:r>
      <w:bookmarkStart w:id="1" w:name="_Hlk163221900"/>
      <w:r w:rsidR="007B6040">
        <w:t xml:space="preserve">118 traités couvrant </w:t>
      </w:r>
      <w:r w:rsidR="007B6040" w:rsidRPr="00F20B26">
        <w:t>1</w:t>
      </w:r>
      <w:r w:rsidR="007B6040">
        <w:t>8</w:t>
      </w:r>
      <w:r w:rsidR="007B6040" w:rsidRPr="00F20B26">
        <w:t> 1</w:t>
      </w:r>
      <w:r w:rsidR="007B6040">
        <w:t>70</w:t>
      </w:r>
      <w:r w:rsidR="007B6040" w:rsidRPr="00F20B26">
        <w:t xml:space="preserve"> demi-pages</w:t>
      </w:r>
      <w:bookmarkEnd w:id="1"/>
      <w:r w:rsidR="007B6040" w:rsidRPr="00F20B26">
        <w:t>)</w:t>
      </w:r>
      <w:r w:rsidR="007B6040">
        <w:rPr>
          <w:rStyle w:val="Appelnotedebasdep"/>
        </w:rPr>
        <w:footnoteReference w:id="4"/>
      </w:r>
      <w:r>
        <w:t xml:space="preserve">, qui ont fait l’objet </w:t>
      </w:r>
      <w:r w:rsidR="00B9119B">
        <w:t xml:space="preserve">d’une océrisation </w:t>
      </w:r>
      <w:r w:rsidR="00EA1E30">
        <w:t>puis d’une structuration en XML-TEI</w:t>
      </w:r>
      <w:r w:rsidR="00D31F26">
        <w:t>.</w:t>
      </w:r>
      <w:r w:rsidR="00E83460">
        <w:t xml:space="preserve"> Toute aide à la relecture de ces textes sera la bienvenue pour corriger les coquilles restantes !</w:t>
      </w:r>
      <w:r w:rsidR="007C76CD">
        <w:t xml:space="preserve"> [Voir </w:t>
      </w:r>
      <w:hyperlink r:id="rId13" w:history="1">
        <w:r w:rsidR="007C76CD" w:rsidRPr="007C76CD">
          <w:rPr>
            <w:rStyle w:val="Lienhypertexte"/>
          </w:rPr>
          <w:t>ici</w:t>
        </w:r>
      </w:hyperlink>
      <w:r w:rsidR="007C76CD">
        <w:t xml:space="preserve"> un point sur la campagne </w:t>
      </w:r>
      <w:proofErr w:type="gramStart"/>
      <w:r w:rsidR="007C76CD">
        <w:t>d’océrisation</w:t>
      </w:r>
      <w:proofErr w:type="gramEnd"/>
      <w:r w:rsidR="007C76CD">
        <w:t>.]</w:t>
      </w:r>
    </w:p>
    <w:p w14:paraId="451F5B8D" w14:textId="2BE56540" w:rsidR="000C3DB0" w:rsidRDefault="0088111E">
      <w:pPr>
        <w:pStyle w:val="Corpsdetexte"/>
        <w:rPr>
          <w:rFonts w:hint="eastAsia"/>
        </w:rPr>
      </w:pPr>
      <w:r>
        <w:t xml:space="preserve">Ces textes en XML-TEI, version P5, suivent les normes </w:t>
      </w:r>
      <w:hyperlink r:id="rId14" w:tgtFrame="_top">
        <w:proofErr w:type="spellStart"/>
        <w:r>
          <w:rPr>
            <w:rStyle w:val="Lienhypertexte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5" w:anchor="the-canonical-text-services-urn-specification-version-20rc1" w:history="1">
        <w:r w:rsidR="00C42316" w:rsidRPr="00C42316">
          <w:rPr>
            <w:rStyle w:val="Lienhypertexte"/>
          </w:rPr>
          <w:t>CTS/CITE</w:t>
        </w:r>
      </w:hyperlink>
      <w:r>
        <w:t xml:space="preserve"> ; ils sont publiés avec la licence </w:t>
      </w:r>
      <w:hyperlink r:id="rId16" w:history="1">
        <w:r w:rsidR="00440830">
          <w:rPr>
            <w:rStyle w:val="Lienhypertexte"/>
          </w:rPr>
          <w:t>Creative Commons Attribution - Partage dans les Mêmes Conditions 4.0 International</w:t>
        </w:r>
      </w:hyperlink>
      <w:r w:rsidR="00440830">
        <w:t xml:space="preserve"> (</w:t>
      </w:r>
      <w:r w:rsidR="00440830" w:rsidRPr="000E5D77">
        <w:t>CC BY-SA 4.0</w:t>
      </w:r>
      <w:r w:rsidR="00440830">
        <w:t>).</w:t>
      </w:r>
    </w:p>
    <w:p w14:paraId="6A51CBD9" w14:textId="139D70A7" w:rsidR="00966281" w:rsidRDefault="0088111E">
      <w:pPr>
        <w:pStyle w:val="Corpsdetexte"/>
        <w:rPr>
          <w:rFonts w:hint="eastAsia"/>
        </w:rPr>
      </w:pPr>
      <w:r>
        <w:t xml:space="preserve">Le présent site et les outils qu’il contient ont été conçus par </w:t>
      </w:r>
      <w:hyperlink r:id="rId17" w:tgtFrame="_top">
        <w:r>
          <w:rPr>
            <w:rStyle w:val="Lienhypertexte"/>
          </w:rPr>
          <w:t>Nathalie Rousseau</w:t>
        </w:r>
      </w:hyperlink>
      <w:r>
        <w:t xml:space="preserve">, et réalisés par </w:t>
      </w:r>
      <w:hyperlink r:id="rId18" w:tgtFrame="_top">
        <w:r>
          <w:rPr>
            <w:rStyle w:val="Lienhypertexte"/>
          </w:rPr>
          <w:t>Frédéric Glorieux</w:t>
        </w:r>
      </w:hyperlink>
      <w:r>
        <w:t xml:space="preserve"> et </w:t>
      </w:r>
      <w:hyperlink r:id="rId19" w:tgtFrame="_top">
        <w:proofErr w:type="spellStart"/>
        <w:r>
          <w:rPr>
            <w:rStyle w:val="Lienhypertexte"/>
          </w:rPr>
          <w:t>Cahal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Taaffe</w:t>
        </w:r>
        <w:proofErr w:type="spellEnd"/>
      </w:hyperlink>
      <w:r>
        <w:t xml:space="preserve">. Tous les développements informatiques sont sous licence libre, le </w:t>
      </w:r>
      <w:hyperlink r:id="rId20" w:tgtFrame="_top">
        <w:r>
          <w:rPr>
            <w:rStyle w:val="Lienhypertexte"/>
          </w:rPr>
          <w:t>code source est ouvert</w:t>
        </w:r>
      </w:hyperlink>
      <w:r>
        <w:t xml:space="preserve">. La lemmatisation a été effectuée au moyen des outils </w:t>
      </w:r>
      <w:hyperlink r:id="rId21" w:tgtFrame="_top">
        <w:r>
          <w:rPr>
            <w:rStyle w:val="Lienhypertexte"/>
          </w:rPr>
          <w:t>pie-</w:t>
        </w:r>
        <w:proofErr w:type="spellStart"/>
        <w:r>
          <w:rPr>
            <w:rStyle w:val="Lienhypertexte"/>
          </w:rPr>
          <w:t>extended</w:t>
        </w:r>
        <w:proofErr w:type="spellEnd"/>
      </w:hyperlink>
      <w:r>
        <w:t xml:space="preserve"> de Thibault </w:t>
      </w:r>
      <w:proofErr w:type="spellStart"/>
      <w:r>
        <w:t>Clérice</w:t>
      </w:r>
      <w:proofErr w:type="spellEnd"/>
      <w:r>
        <w:t>.</w:t>
      </w:r>
    </w:p>
    <w:p w14:paraId="0AC5C288" w14:textId="6B569C59" w:rsidR="00966281" w:rsidRDefault="00966281">
      <w:pPr>
        <w:pStyle w:val="Corpsdetexte"/>
        <w:rPr>
          <w:rFonts w:hint="eastAsia"/>
        </w:rPr>
      </w:pPr>
      <w:r>
        <w:t>Ont également participé à l’établissement et à l’enrichissement des données Alexis Merle</w:t>
      </w:r>
      <w:r w:rsidR="006C47C4">
        <w:t>, en</w:t>
      </w:r>
      <w:r>
        <w:t xml:space="preserve"> 2022</w:t>
      </w:r>
      <w:r w:rsidR="001431F0">
        <w:t xml:space="preserve">, </w:t>
      </w:r>
      <w:r w:rsidR="006C47C4">
        <w:t xml:space="preserve">ainsi que </w:t>
      </w:r>
      <w:r>
        <w:t>Giulia Scalas</w:t>
      </w:r>
      <w:r w:rsidR="001431F0">
        <w:t xml:space="preserve">, </w:t>
      </w:r>
      <w:r w:rsidR="001431F0" w:rsidRPr="006E0EB2">
        <w:t xml:space="preserve">Ana </w:t>
      </w:r>
      <w:proofErr w:type="spellStart"/>
      <w:r w:rsidR="001431F0" w:rsidRPr="006E0EB2">
        <w:t>Benegui</w:t>
      </w:r>
      <w:proofErr w:type="spellEnd"/>
      <w:r w:rsidR="001431F0" w:rsidRPr="006E0EB2">
        <w:t xml:space="preserve">, Amélie </w:t>
      </w:r>
      <w:proofErr w:type="spellStart"/>
      <w:r w:rsidR="001431F0" w:rsidRPr="006E0EB2">
        <w:t>Boiret</w:t>
      </w:r>
      <w:proofErr w:type="spellEnd"/>
      <w:r w:rsidR="001431F0" w:rsidRPr="006E0EB2">
        <w:t xml:space="preserve">, Luca </w:t>
      </w:r>
      <w:proofErr w:type="spellStart"/>
      <w:r w:rsidR="001431F0" w:rsidRPr="006E0EB2">
        <w:t>Bortolotti</w:t>
      </w:r>
      <w:proofErr w:type="spellEnd"/>
      <w:r w:rsidR="001431F0" w:rsidRPr="006E0EB2">
        <w:t xml:space="preserve">, Daria </w:t>
      </w:r>
      <w:proofErr w:type="spellStart"/>
      <w:r w:rsidR="001431F0" w:rsidRPr="006E0EB2">
        <w:t>Gorbunova</w:t>
      </w:r>
      <w:proofErr w:type="spellEnd"/>
      <w:r w:rsidR="001431F0" w:rsidRPr="006E0EB2">
        <w:t xml:space="preserve">, </w:t>
      </w:r>
      <w:r w:rsidR="001431F0" w:rsidRPr="006E0EB2">
        <w:lastRenderedPageBreak/>
        <w:t xml:space="preserve">Saul </w:t>
      </w:r>
      <w:proofErr w:type="spellStart"/>
      <w:r w:rsidR="001431F0" w:rsidRPr="006E0EB2">
        <w:t>Mouveroux</w:t>
      </w:r>
      <w:proofErr w:type="spellEnd"/>
      <w:r w:rsidR="001431F0" w:rsidRPr="006E0EB2">
        <w:t xml:space="preserve"> </w:t>
      </w:r>
      <w:r w:rsidR="001431F0">
        <w:t xml:space="preserve">et </w:t>
      </w:r>
      <w:r w:rsidR="001431F0" w:rsidRPr="006E0EB2">
        <w:t xml:space="preserve">Miguel </w:t>
      </w:r>
      <w:proofErr w:type="spellStart"/>
      <w:r w:rsidR="001431F0" w:rsidRPr="006E0EB2">
        <w:t>Sánchez</w:t>
      </w:r>
      <w:proofErr w:type="spellEnd"/>
      <w:r w:rsidR="001D6FA6">
        <w:t>,</w:t>
      </w:r>
      <w:r w:rsidR="001431F0">
        <w:t xml:space="preserve"> </w:t>
      </w:r>
      <w:r w:rsidR="006C47C4">
        <w:t xml:space="preserve">en </w:t>
      </w:r>
      <w:r w:rsidR="001431F0">
        <w:t>2023</w:t>
      </w:r>
      <w:r w:rsidR="006C47C4">
        <w:t xml:space="preserve"> (voir la </w:t>
      </w:r>
      <w:r w:rsidR="00BD4B37">
        <w:t>section</w:t>
      </w:r>
      <w:r w:rsidR="006C47C4">
        <w:t xml:space="preserve"> </w:t>
      </w:r>
      <w:hyperlink r:id="rId22" w:history="1">
        <w:r w:rsidR="006C47C4" w:rsidRPr="006C47C4">
          <w:rPr>
            <w:rStyle w:val="Lienhypertexte"/>
          </w:rPr>
          <w:t>Actualités</w:t>
        </w:r>
      </w:hyperlink>
      <w:r w:rsidR="006C47C4">
        <w:t>)</w:t>
      </w:r>
      <w:r>
        <w:t>.</w:t>
      </w:r>
    </w:p>
    <w:p w14:paraId="53CCEA18" w14:textId="77777777" w:rsidR="000C3DB0" w:rsidRDefault="0088111E">
      <w:pPr>
        <w:pStyle w:val="Corpsdetexte"/>
        <w:rPr>
          <w:rFonts w:hint="eastAsia"/>
        </w:rPr>
      </w:pPr>
      <w:r>
        <w:t>Ce projet a bénéficié du financement de l’</w:t>
      </w:r>
      <w:hyperlink r:id="rId23" w:tgtFrame="_top">
        <w:r>
          <w:rPr>
            <w:rStyle w:val="Lienhypertexte"/>
          </w:rPr>
          <w:t>Institut universitaire de France</w:t>
        </w:r>
      </w:hyperlink>
      <w:r>
        <w:t>, ainsi que de l’</w:t>
      </w:r>
      <w:hyperlink r:id="rId24" w:tgtFrame="_top">
        <w:r>
          <w:rPr>
            <w:rStyle w:val="Lienhypertexte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30466A66" w:rsidR="000C3DB0" w:rsidRDefault="0088111E">
      <w:pPr>
        <w:pStyle w:val="Corpsdetexte"/>
        <w:rPr>
          <w:rFonts w:hint="eastAsia"/>
        </w:rPr>
      </w:pPr>
      <w:r>
        <w:t xml:space="preserve">Il est ouvert à toute proposition de collaboration, que ce soit pour enrichir </w:t>
      </w:r>
      <w:proofErr w:type="spellStart"/>
      <w:r>
        <w:t>Galenus</w:t>
      </w:r>
      <w:proofErr w:type="spellEnd"/>
      <w:r>
        <w:t xml:space="preserve"> verbatim de textes libres de droits, ou pour explorer les pistes de recherche ouvertes par les nouvelles données qui seront produites.</w:t>
      </w:r>
    </w:p>
    <w:p w14:paraId="0CDB360C" w14:textId="7BC92070" w:rsidR="000C3DB0" w:rsidRDefault="0088111E">
      <w:pPr>
        <w:pStyle w:val="Corpsdetexte"/>
        <w:rPr>
          <w:rFonts w:hint="eastAsia"/>
        </w:rPr>
      </w:pPr>
      <w:bookmarkStart w:id="2" w:name="_Hlk163233757"/>
      <w:r>
        <w:t>Sur l’esprit de ce projet et sur les développements ultérieurs prévus, voir le billet</w:t>
      </w:r>
      <w:r w:rsidR="00966281">
        <w:t xml:space="preserve"> </w:t>
      </w:r>
      <w:hyperlink r:id="rId25" w:history="1">
        <w:proofErr w:type="spellStart"/>
        <w:r w:rsidR="00966281" w:rsidRPr="00966281">
          <w:rPr>
            <w:rStyle w:val="Lienhypertexte"/>
          </w:rPr>
          <w:t>Galenus</w:t>
        </w:r>
        <w:proofErr w:type="spellEnd"/>
        <w:r w:rsidR="00966281" w:rsidRPr="00966281">
          <w:rPr>
            <w:rStyle w:val="Lienhypertexte"/>
          </w:rPr>
          <w:t xml:space="preserve"> verbatim</w:t>
        </w:r>
      </w:hyperlink>
      <w:r w:rsidR="00966281">
        <w:t xml:space="preserve"> </w:t>
      </w:r>
      <w:r>
        <w:t xml:space="preserve">dans le carnet de recherche </w:t>
      </w:r>
      <w:proofErr w:type="spellStart"/>
      <w:r>
        <w:rPr>
          <w:rStyle w:val="Accentuation"/>
        </w:rPr>
        <w:t>Etymologika</w:t>
      </w:r>
      <w:proofErr w:type="spellEnd"/>
      <w:r>
        <w:t>.</w:t>
      </w:r>
      <w:bookmarkEnd w:id="2"/>
    </w:p>
    <w:p w14:paraId="50B512BF" w14:textId="77777777" w:rsidR="000C3DB0" w:rsidRDefault="0088111E">
      <w:pPr>
        <w:pStyle w:val="Corpsdetexte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Accentuation"/>
        </w:rPr>
        <w:t xml:space="preserve">Opera </w:t>
      </w:r>
      <w:proofErr w:type="spellStart"/>
      <w:r>
        <w:rPr>
          <w:rStyle w:val="Accentuation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6" w:tgtFrame="_top">
        <w:proofErr w:type="spellStart"/>
        <w:r>
          <w:rPr>
            <w:rStyle w:val="Lienhypertexte"/>
          </w:rPr>
          <w:t>Wellcome</w:t>
        </w:r>
        <w:proofErr w:type="spellEnd"/>
        <w:r>
          <w:rPr>
            <w:rStyle w:val="Lienhypertexte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BEBB" w14:textId="77777777" w:rsidR="009063A3" w:rsidRDefault="009063A3">
      <w:r>
        <w:separator/>
      </w:r>
    </w:p>
  </w:endnote>
  <w:endnote w:type="continuationSeparator" w:id="0">
    <w:p w14:paraId="0FF8A339" w14:textId="77777777" w:rsidR="009063A3" w:rsidRDefault="0090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3E53" w14:textId="77777777" w:rsidR="009063A3" w:rsidRDefault="009063A3">
      <w:pPr>
        <w:rPr>
          <w:sz w:val="12"/>
        </w:rPr>
      </w:pPr>
      <w:r>
        <w:separator/>
      </w:r>
    </w:p>
  </w:footnote>
  <w:footnote w:type="continuationSeparator" w:id="0">
    <w:p w14:paraId="6A29BBBE" w14:textId="77777777" w:rsidR="009063A3" w:rsidRDefault="009063A3">
      <w:pPr>
        <w:rPr>
          <w:sz w:val="12"/>
        </w:rPr>
      </w:pPr>
      <w:r>
        <w:continuationSeparator/>
      </w:r>
    </w:p>
  </w:footnote>
  <w:footnote w:id="1">
    <w:p w14:paraId="7E46E592" w14:textId="6BAC1490" w:rsidR="002E4701" w:rsidRDefault="002E4701" w:rsidP="002E4701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</w:r>
      <w:r>
        <w:rPr>
          <w:rStyle w:val="Accentuation"/>
          <w:i w:val="0"/>
          <w:iCs w:val="0"/>
        </w:rPr>
        <w:t xml:space="preserve">Sur l’esprit et l’histoire de ce projet, voir L. </w:t>
      </w:r>
      <w:proofErr w:type="spellStart"/>
      <w:r w:rsidRPr="002E4701">
        <w:rPr>
          <w:rStyle w:val="Accentuation"/>
          <w:i w:val="0"/>
          <w:iCs w:val="0"/>
        </w:rPr>
        <w:t>Muellner</w:t>
      </w:r>
      <w:proofErr w:type="spellEnd"/>
      <w:r w:rsidRPr="002E4701">
        <w:rPr>
          <w:rStyle w:val="Accentuation"/>
          <w:i w:val="0"/>
          <w:iCs w:val="0"/>
        </w:rPr>
        <w:t xml:space="preserve">, </w:t>
      </w:r>
      <w:hyperlink r:id="rId1" w:history="1">
        <w:r w:rsidRPr="002E4701">
          <w:rPr>
            <w:rStyle w:val="Lienhypertexte"/>
          </w:rPr>
          <w:t>The Free First Thousand Years of Greek</w:t>
        </w:r>
      </w:hyperlink>
      <w:r>
        <w:rPr>
          <w:rStyle w:val="Accentuation"/>
          <w:i w:val="0"/>
          <w:iCs w:val="0"/>
        </w:rPr>
        <w:t>, dans M. Berti (</w:t>
      </w:r>
      <w:proofErr w:type="spellStart"/>
      <w:r>
        <w:rPr>
          <w:rStyle w:val="Accentuation"/>
          <w:i w:val="0"/>
          <w:iCs w:val="0"/>
        </w:rPr>
        <w:t>dir</w:t>
      </w:r>
      <w:proofErr w:type="spellEnd"/>
      <w:r>
        <w:rPr>
          <w:rStyle w:val="Accentuation"/>
          <w:i w:val="0"/>
          <w:iCs w:val="0"/>
        </w:rPr>
        <w:t xml:space="preserve">.), </w:t>
      </w:r>
      <w:r w:rsidRPr="002E4701">
        <w:rPr>
          <w:rStyle w:val="Accentuation"/>
        </w:rPr>
        <w:t xml:space="preserve">Digital </w:t>
      </w:r>
      <w:proofErr w:type="spellStart"/>
      <w:r w:rsidRPr="002E4701">
        <w:rPr>
          <w:rStyle w:val="Accentuation"/>
        </w:rPr>
        <w:t>Classical</w:t>
      </w:r>
      <w:proofErr w:type="spellEnd"/>
      <w:r w:rsidRPr="002E4701">
        <w:rPr>
          <w:rStyle w:val="Accentuation"/>
        </w:rPr>
        <w:t xml:space="preserve"> </w:t>
      </w:r>
      <w:proofErr w:type="spellStart"/>
      <w:r w:rsidRPr="002E4701">
        <w:rPr>
          <w:rStyle w:val="Accentuation"/>
        </w:rPr>
        <w:t>Philology</w:t>
      </w:r>
      <w:proofErr w:type="spellEnd"/>
      <w:r w:rsidRPr="002E4701">
        <w:rPr>
          <w:rStyle w:val="Accentuation"/>
        </w:rPr>
        <w:t>.</w:t>
      </w:r>
      <w:r w:rsidRPr="002E4701">
        <w:rPr>
          <w:rStyle w:val="Accentuation"/>
        </w:rPr>
        <w:t xml:space="preserve"> Ancient Greek and Latin in the Digital Revolution</w:t>
      </w:r>
      <w:r w:rsidRPr="002E4701">
        <w:rPr>
          <w:rStyle w:val="Accentuation"/>
          <w:i w:val="0"/>
          <w:iCs w:val="0"/>
        </w:rPr>
        <w:t>, Berlin</w:t>
      </w:r>
      <w:r>
        <w:t>–</w:t>
      </w:r>
      <w:proofErr w:type="gramStart"/>
      <w:r w:rsidRPr="002E4701">
        <w:rPr>
          <w:rStyle w:val="Accentuation"/>
          <w:i w:val="0"/>
          <w:iCs w:val="0"/>
        </w:rPr>
        <w:t>Boston:</w:t>
      </w:r>
      <w:proofErr w:type="gramEnd"/>
      <w:r w:rsidRPr="002E4701">
        <w:rPr>
          <w:rStyle w:val="Accentuation"/>
          <w:i w:val="0"/>
          <w:iCs w:val="0"/>
        </w:rPr>
        <w:t xml:space="preserve"> De </w:t>
      </w:r>
      <w:proofErr w:type="spellStart"/>
      <w:r w:rsidRPr="002E4701">
        <w:rPr>
          <w:rStyle w:val="Accentuation"/>
          <w:i w:val="0"/>
          <w:iCs w:val="0"/>
        </w:rPr>
        <w:t>Gruyter</w:t>
      </w:r>
      <w:proofErr w:type="spellEnd"/>
      <w:r w:rsidRPr="002E4701">
        <w:rPr>
          <w:rStyle w:val="Accentuation"/>
          <w:i w:val="0"/>
          <w:iCs w:val="0"/>
        </w:rPr>
        <w:t xml:space="preserve"> Saur, 2019, p. 7-18</w:t>
      </w:r>
      <w:r>
        <w:rPr>
          <w:rStyle w:val="Accentuation"/>
          <w:i w:val="0"/>
          <w:iCs w:val="0"/>
        </w:rPr>
        <w:t xml:space="preserve"> (Open Access).</w:t>
      </w:r>
    </w:p>
  </w:footnote>
  <w:footnote w:id="2">
    <w:p w14:paraId="5BBC3664" w14:textId="236D0F40" w:rsidR="00C431FC" w:rsidRDefault="00C431FC" w:rsidP="00C431FC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</w:r>
      <w:r w:rsidR="00FE2640">
        <w:t xml:space="preserve">Dont on ne comprend pas l’exclusion </w:t>
      </w:r>
      <w:r w:rsidR="00C97062">
        <w:t xml:space="preserve">du corpus </w:t>
      </w:r>
      <w:r w:rsidR="00FE2640">
        <w:t>d</w:t>
      </w:r>
      <w:r>
        <w:t xml:space="preserve">e 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</w:t>
      </w:r>
      <w:r w:rsidR="00FE2640">
        <w:t xml:space="preserve">, sauf à supposer une confusion entre </w:t>
      </w:r>
      <w:r w:rsidR="00271F6C">
        <w:t xml:space="preserve">les titres latins de Kühn </w:t>
      </w:r>
      <w:proofErr w:type="spellStart"/>
      <w:r w:rsidR="00271F6C" w:rsidRPr="00271F6C">
        <w:rPr>
          <w:i/>
          <w:iCs/>
        </w:rPr>
        <w:t>Galeni</w:t>
      </w:r>
      <w:proofErr w:type="spellEnd"/>
      <w:r w:rsidR="00271F6C" w:rsidRPr="00271F6C">
        <w:rPr>
          <w:i/>
          <w:iCs/>
        </w:rPr>
        <w:t xml:space="preserve"> in </w:t>
      </w:r>
      <w:proofErr w:type="spellStart"/>
      <w:r w:rsidR="00271F6C" w:rsidRPr="00271F6C">
        <w:rPr>
          <w:rStyle w:val="Accentuation"/>
          <w:i w:val="0"/>
          <w:iCs w:val="0"/>
        </w:rPr>
        <w:t>Hippocratis</w:t>
      </w:r>
      <w:proofErr w:type="spellEnd"/>
      <w:r w:rsidR="00271F6C" w:rsidRPr="00271F6C">
        <w:rPr>
          <w:rStyle w:val="Accentuation"/>
          <w:i w:val="0"/>
          <w:iCs w:val="0"/>
        </w:rPr>
        <w:t xml:space="preserve"> </w:t>
      </w:r>
      <w:proofErr w:type="spellStart"/>
      <w:r w:rsidR="00271F6C" w:rsidRPr="00271F6C">
        <w:rPr>
          <w:rStyle w:val="Accentuation"/>
          <w:i w:val="0"/>
          <w:iCs w:val="0"/>
        </w:rPr>
        <w:t>Praedictionum</w:t>
      </w:r>
      <w:proofErr w:type="spellEnd"/>
      <w:r w:rsidR="00271F6C" w:rsidRPr="00271F6C">
        <w:rPr>
          <w:rStyle w:val="Accentuation"/>
          <w:i w:val="0"/>
          <w:iCs w:val="0"/>
        </w:rPr>
        <w:t xml:space="preserve"> </w:t>
      </w:r>
      <w:proofErr w:type="spellStart"/>
      <w:r w:rsidR="00271F6C" w:rsidRPr="00271F6C">
        <w:rPr>
          <w:rStyle w:val="Accentuation"/>
          <w:i w:val="0"/>
          <w:iCs w:val="0"/>
        </w:rPr>
        <w:t>librum</w:t>
      </w:r>
      <w:proofErr w:type="spellEnd"/>
      <w:r w:rsidR="00271F6C" w:rsidRPr="00271F6C">
        <w:rPr>
          <w:rStyle w:val="Accentuation"/>
          <w:i w:val="0"/>
          <w:iCs w:val="0"/>
        </w:rPr>
        <w:t xml:space="preserve"> I </w:t>
      </w:r>
      <w:proofErr w:type="spellStart"/>
      <w:r w:rsidR="00271F6C" w:rsidRPr="00271F6C">
        <w:rPr>
          <w:rStyle w:val="Accentuation"/>
          <w:i w:val="0"/>
          <w:iCs w:val="0"/>
        </w:rPr>
        <w:t>commentarius</w:t>
      </w:r>
      <w:proofErr w:type="spellEnd"/>
      <w:r w:rsidR="00271F6C">
        <w:rPr>
          <w:rStyle w:val="Accentuation"/>
          <w:i w:val="0"/>
          <w:iCs w:val="0"/>
        </w:rPr>
        <w:t xml:space="preserve"> (</w:t>
      </w:r>
      <w:r w:rsidR="00271F6C">
        <w:rPr>
          <w:rStyle w:val="Accentuation"/>
        </w:rPr>
        <w:t>Commentaire au Prorrhétique d’Hippocrate</w:t>
      </w:r>
      <w:r w:rsidR="00271F6C">
        <w:rPr>
          <w:rStyle w:val="Accentuation"/>
          <w:i w:val="0"/>
          <w:iCs w:val="0"/>
        </w:rPr>
        <w:t>, 16.489-840 K)</w:t>
      </w:r>
      <w:r w:rsidR="00271F6C" w:rsidRPr="00271F6C">
        <w:rPr>
          <w:rStyle w:val="Accentuation"/>
          <w:i w:val="0"/>
          <w:iCs w:val="0"/>
        </w:rPr>
        <w:t xml:space="preserve">, </w:t>
      </w:r>
      <w:r w:rsidR="00271F6C">
        <w:rPr>
          <w:rStyle w:val="Accentuation"/>
          <w:i w:val="0"/>
          <w:iCs w:val="0"/>
        </w:rPr>
        <w:t xml:space="preserve">et </w:t>
      </w:r>
      <w:proofErr w:type="spellStart"/>
      <w:r w:rsidR="00271F6C" w:rsidRPr="00271F6C">
        <w:rPr>
          <w:rStyle w:val="Accentuation"/>
        </w:rPr>
        <w:t>Hippocratis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Prognosticon</w:t>
      </w:r>
      <w:proofErr w:type="spellEnd"/>
      <w:r w:rsidR="00271F6C" w:rsidRPr="00271F6C">
        <w:rPr>
          <w:rStyle w:val="Accentuation"/>
        </w:rPr>
        <w:t xml:space="preserve"> et </w:t>
      </w:r>
      <w:proofErr w:type="spellStart"/>
      <w:r w:rsidR="00271F6C" w:rsidRPr="00271F6C">
        <w:rPr>
          <w:rStyle w:val="Accentuation"/>
        </w:rPr>
        <w:t>Galeni</w:t>
      </w:r>
      <w:proofErr w:type="spellEnd"/>
      <w:r w:rsidR="00271F6C" w:rsidRPr="00271F6C">
        <w:rPr>
          <w:rStyle w:val="Accentuation"/>
        </w:rPr>
        <w:t xml:space="preserve"> in </w:t>
      </w:r>
      <w:proofErr w:type="spellStart"/>
      <w:r w:rsidR="00271F6C" w:rsidRPr="00271F6C">
        <w:rPr>
          <w:rStyle w:val="Accentuation"/>
        </w:rPr>
        <w:t>eum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librum</w:t>
      </w:r>
      <w:proofErr w:type="spellEnd"/>
      <w:r w:rsidR="00271F6C" w:rsidRPr="00271F6C">
        <w:rPr>
          <w:rStyle w:val="Accentuation"/>
        </w:rPr>
        <w:t xml:space="preserve"> </w:t>
      </w:r>
      <w:proofErr w:type="spellStart"/>
      <w:r w:rsidR="00271F6C" w:rsidRPr="00271F6C">
        <w:rPr>
          <w:rStyle w:val="Accentuation"/>
        </w:rPr>
        <w:t>commentarius</w:t>
      </w:r>
      <w:proofErr w:type="spellEnd"/>
      <w:r w:rsidR="00271F6C" w:rsidRPr="00271F6C">
        <w:rPr>
          <w:rStyle w:val="Accentuation"/>
        </w:rPr>
        <w:t xml:space="preserve"> I</w:t>
      </w:r>
      <w:r w:rsidR="00271F6C">
        <w:rPr>
          <w:rStyle w:val="Accentuation"/>
          <w:i w:val="0"/>
          <w:iCs w:val="0"/>
        </w:rPr>
        <w:t xml:space="preserve"> (</w:t>
      </w:r>
      <w:r w:rsidR="00271F6C">
        <w:rPr>
          <w:rStyle w:val="Accentuation"/>
        </w:rPr>
        <w:t>Commentaire au Pronostic d’Hippocrate</w:t>
      </w:r>
      <w:r w:rsidR="00271F6C">
        <w:rPr>
          <w:rStyle w:val="Accentuation"/>
          <w:i w:val="0"/>
          <w:iCs w:val="0"/>
        </w:rPr>
        <w:t>, 18b.1-317 K)</w:t>
      </w:r>
      <w:r>
        <w:t>.</w:t>
      </w:r>
      <w:r w:rsidR="00DC5B09">
        <w:t xml:space="preserve"> </w:t>
      </w:r>
      <w:r w:rsidR="00DC5B09" w:rsidRPr="00DC5B09">
        <w:t xml:space="preserve">Le corpus de First </w:t>
      </w:r>
      <w:proofErr w:type="spellStart"/>
      <w:r w:rsidR="00DC5B09" w:rsidRPr="00DC5B09">
        <w:t>Thousand</w:t>
      </w:r>
      <w:proofErr w:type="spellEnd"/>
      <w:r w:rsidR="00DC5B09" w:rsidRPr="00DC5B09">
        <w:t xml:space="preserve"> </w:t>
      </w:r>
      <w:proofErr w:type="spellStart"/>
      <w:r w:rsidR="00DC5B09" w:rsidRPr="00DC5B09">
        <w:t>Years</w:t>
      </w:r>
      <w:proofErr w:type="spellEnd"/>
      <w:r w:rsidR="00DC5B09" w:rsidRPr="00DC5B09">
        <w:t xml:space="preserve"> of Greek exclut en revanche à juste titre le traité</w:t>
      </w:r>
      <w:r w:rsidR="00DC5B09" w:rsidRPr="00DC5B09">
        <w:rPr>
          <w:i/>
          <w:iCs/>
        </w:rPr>
        <w:t xml:space="preserve"> 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De </w:t>
      </w:r>
      <w:proofErr w:type="spellStart"/>
      <w:r w:rsidR="00DC5B09" w:rsidRPr="00DC5B09">
        <w:rPr>
          <w:i/>
          <w:iCs/>
        </w:rPr>
        <w:t>alimento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15, p. 224-417, qu’il est curieux de trouver dans le Digital Corpus for </w:t>
      </w:r>
      <w:proofErr w:type="spellStart"/>
      <w:r w:rsidR="00DC5B09" w:rsidRPr="00DC5B09">
        <w:t>Graeco-Arabic</w:t>
      </w:r>
      <w:proofErr w:type="spellEnd"/>
      <w:r w:rsidR="00DC5B09" w:rsidRPr="00DC5B09">
        <w:t xml:space="preserve"> </w:t>
      </w:r>
      <w:proofErr w:type="spellStart"/>
      <w:r w:rsidR="00DC5B09" w:rsidRPr="00DC5B09">
        <w:t>Studies</w:t>
      </w:r>
      <w:proofErr w:type="spellEnd"/>
      <w:r w:rsidR="00DC5B09" w:rsidRPr="00DC5B09">
        <w:t xml:space="preserve">, alors qu’il s’agit d’un faux de la Renaissance (voir </w:t>
      </w:r>
      <w:proofErr w:type="spellStart"/>
      <w:r w:rsidR="00DC5B09" w:rsidRPr="00DC5B09">
        <w:t>Fichtner</w:t>
      </w:r>
      <w:proofErr w:type="spellEnd"/>
      <w:r w:rsidR="00DC5B09" w:rsidRPr="00DC5B09">
        <w:t>-Bibliographie, n° </w:t>
      </w:r>
      <w:hyperlink r:id="rId2" w:anchor="5Fbookmark72" w:tgtFrame="_top">
        <w:r w:rsidR="00DC5B09" w:rsidRPr="00DC5B09">
          <w:rPr>
            <w:rStyle w:val="Lienhypertexte"/>
          </w:rPr>
          <w:t>72</w:t>
        </w:r>
      </w:hyperlink>
      <w:r w:rsidR="00DC5B09" w:rsidRPr="00DC5B09">
        <w:t xml:space="preserve">), et que ce corpus ne reprend pas, à juste titre, les deux autres faux de la même époque présents dans l’édition de Kühn, </w:t>
      </w:r>
      <w:r w:rsidR="00DC5B09" w:rsidRPr="00DC5B09">
        <w:rPr>
          <w:i/>
          <w:iCs/>
        </w:rPr>
        <w:t xml:space="preserve">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De </w:t>
      </w:r>
      <w:proofErr w:type="spellStart"/>
      <w:r w:rsidR="00DC5B09" w:rsidRPr="00DC5B09">
        <w:rPr>
          <w:i/>
          <w:iCs/>
        </w:rPr>
        <w:t>humoribus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16, p. 1-488 (voir </w:t>
      </w:r>
      <w:proofErr w:type="spellStart"/>
      <w:r w:rsidR="00DC5B09" w:rsidRPr="00DC5B09">
        <w:t>Fichtner</w:t>
      </w:r>
      <w:proofErr w:type="spellEnd"/>
      <w:r w:rsidR="00DC5B09" w:rsidRPr="00DC5B09">
        <w:t>-Bibliographie, n° </w:t>
      </w:r>
      <w:hyperlink r:id="rId3" w:anchor="5Fbookmark94" w:tgtFrame="_top">
        <w:r w:rsidR="00DC5B09" w:rsidRPr="00DC5B09">
          <w:rPr>
            <w:rStyle w:val="Lienhypertexte"/>
          </w:rPr>
          <w:t>94</w:t>
        </w:r>
      </w:hyperlink>
      <w:r w:rsidR="00DC5B09" w:rsidRPr="00DC5B09">
        <w:t xml:space="preserve">) et </w:t>
      </w:r>
      <w:r w:rsidR="00DC5B09" w:rsidRPr="00DC5B09">
        <w:rPr>
          <w:i/>
          <w:iCs/>
        </w:rPr>
        <w:t xml:space="preserve">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Epidemias</w:t>
      </w:r>
      <w:proofErr w:type="spellEnd"/>
      <w:r w:rsidR="00DC5B09" w:rsidRPr="00DC5B09">
        <w:rPr>
          <w:i/>
          <w:iCs/>
        </w:rPr>
        <w:t xml:space="preserve"> II </w:t>
      </w:r>
      <w:proofErr w:type="spellStart"/>
      <w:r w:rsidR="00DC5B09" w:rsidRPr="00DC5B09">
        <w:rPr>
          <w:i/>
          <w:iCs/>
        </w:rPr>
        <w:t>commentaria</w:t>
      </w:r>
      <w:proofErr w:type="spellEnd"/>
      <w:r w:rsidR="00DC5B09" w:rsidRPr="00DC5B09">
        <w:t xml:space="preserve">, vol. 17a, p. 303-479 (voir </w:t>
      </w:r>
      <w:proofErr w:type="spellStart"/>
      <w:r w:rsidR="00DC5B09" w:rsidRPr="00DC5B09">
        <w:rPr>
          <w:i/>
          <w:iCs/>
        </w:rPr>
        <w:t>Galeni</w:t>
      </w:r>
      <w:proofErr w:type="spellEnd"/>
      <w:r w:rsidR="00DC5B09" w:rsidRPr="00DC5B09">
        <w:rPr>
          <w:i/>
          <w:iCs/>
        </w:rPr>
        <w:t xml:space="preserve"> In </w:t>
      </w:r>
      <w:proofErr w:type="spellStart"/>
      <w:r w:rsidR="00DC5B09" w:rsidRPr="00DC5B09">
        <w:rPr>
          <w:i/>
          <w:iCs/>
        </w:rPr>
        <w:t>Hippocratis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Epidemiarum</w:t>
      </w:r>
      <w:proofErr w:type="spellEnd"/>
      <w:r w:rsidR="00DC5B09" w:rsidRPr="00DC5B09">
        <w:rPr>
          <w:i/>
          <w:iCs/>
        </w:rPr>
        <w:t xml:space="preserve"> </w:t>
      </w:r>
      <w:proofErr w:type="spellStart"/>
      <w:r w:rsidR="00DC5B09" w:rsidRPr="00DC5B09">
        <w:rPr>
          <w:i/>
          <w:iCs/>
        </w:rPr>
        <w:t>librum</w:t>
      </w:r>
      <w:proofErr w:type="spellEnd"/>
      <w:r w:rsidR="00DC5B09" w:rsidRPr="00DC5B09">
        <w:rPr>
          <w:i/>
          <w:iCs/>
        </w:rPr>
        <w:t xml:space="preserve"> II </w:t>
      </w:r>
      <w:proofErr w:type="spellStart"/>
      <w:r w:rsidR="00DC5B09" w:rsidRPr="00DC5B09">
        <w:rPr>
          <w:i/>
          <w:iCs/>
        </w:rPr>
        <w:t>commentariorum</w:t>
      </w:r>
      <w:proofErr w:type="spellEnd"/>
      <w:r w:rsidR="00DC5B09" w:rsidRPr="00DC5B09">
        <w:rPr>
          <w:i/>
          <w:iCs/>
        </w:rPr>
        <w:t xml:space="preserve"> I-VI</w:t>
      </w:r>
      <w:r w:rsidR="00DC5B09" w:rsidRPr="00DC5B09">
        <w:t xml:space="preserve"> </w:t>
      </w:r>
      <w:proofErr w:type="spellStart"/>
      <w:r w:rsidR="00DC5B09" w:rsidRPr="00DC5B09">
        <w:t>versionem</w:t>
      </w:r>
      <w:proofErr w:type="spellEnd"/>
      <w:r w:rsidR="00DC5B09" w:rsidRPr="00DC5B09">
        <w:t xml:space="preserve"> </w:t>
      </w:r>
      <w:proofErr w:type="spellStart"/>
      <w:r w:rsidR="00DC5B09" w:rsidRPr="00DC5B09">
        <w:t>Arabicam</w:t>
      </w:r>
      <w:proofErr w:type="spellEnd"/>
      <w:r w:rsidR="00DC5B09" w:rsidRPr="00DC5B09">
        <w:t xml:space="preserve">, </w:t>
      </w:r>
      <w:proofErr w:type="spellStart"/>
      <w:r w:rsidR="00DC5B09" w:rsidRPr="00DC5B09">
        <w:t>edidit</w:t>
      </w:r>
      <w:proofErr w:type="spellEnd"/>
      <w:r w:rsidR="00DC5B09" w:rsidRPr="00DC5B09">
        <w:t xml:space="preserve">, in </w:t>
      </w:r>
      <w:proofErr w:type="spellStart"/>
      <w:r w:rsidR="00DC5B09" w:rsidRPr="00DC5B09">
        <w:t>linguam</w:t>
      </w:r>
      <w:proofErr w:type="spellEnd"/>
      <w:r w:rsidR="00DC5B09" w:rsidRPr="00DC5B09">
        <w:t xml:space="preserve"> </w:t>
      </w:r>
      <w:proofErr w:type="spellStart"/>
      <w:r w:rsidR="00DC5B09" w:rsidRPr="00DC5B09">
        <w:t>Anglicam</w:t>
      </w:r>
      <w:proofErr w:type="spellEnd"/>
      <w:r w:rsidR="00DC5B09" w:rsidRPr="00DC5B09">
        <w:t xml:space="preserve"> vertit U. </w:t>
      </w:r>
      <w:proofErr w:type="spellStart"/>
      <w:r w:rsidR="00DC5B09" w:rsidRPr="00DC5B09">
        <w:t>Vagelpohl</w:t>
      </w:r>
      <w:proofErr w:type="spellEnd"/>
      <w:r w:rsidR="00DC5B09" w:rsidRPr="00DC5B09">
        <w:t xml:space="preserve"> </w:t>
      </w:r>
      <w:proofErr w:type="spellStart"/>
      <w:r w:rsidR="00DC5B09" w:rsidRPr="00DC5B09">
        <w:t>adiuvante</w:t>
      </w:r>
      <w:proofErr w:type="spellEnd"/>
      <w:r w:rsidR="00DC5B09" w:rsidRPr="00DC5B09">
        <w:t xml:space="preserve"> S. </w:t>
      </w:r>
      <w:proofErr w:type="spellStart"/>
      <w:r w:rsidR="00DC5B09" w:rsidRPr="00DC5B09">
        <w:t>Swain</w:t>
      </w:r>
      <w:proofErr w:type="spellEnd"/>
      <w:r w:rsidR="00DC5B09" w:rsidRPr="00DC5B09">
        <w:t xml:space="preserve">, </w:t>
      </w:r>
      <w:hyperlink r:id="rId4" w:tgtFrame="_top">
        <w:r w:rsidR="00DC5B09" w:rsidRPr="00DC5B09">
          <w:rPr>
            <w:rStyle w:val="Lienhypertexte"/>
          </w:rPr>
          <w:t>CMG Suppl. Or. V 2</w:t>
        </w:r>
      </w:hyperlink>
      <w:r w:rsidR="00DC5B09" w:rsidRPr="00DC5B09">
        <w:t>, Berlin, 2016, p. 15-16).</w:t>
      </w:r>
    </w:p>
  </w:footnote>
  <w:footnote w:id="3">
    <w:p w14:paraId="635271BA" w14:textId="77777777" w:rsidR="00DC5B09" w:rsidRDefault="00DC5B09" w:rsidP="00DC5B09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  <w:t xml:space="preserve">De </w:t>
      </w:r>
      <w:proofErr w:type="spellStart"/>
      <w:r>
        <w:rPr>
          <w:rStyle w:val="Accentuation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5" w:anchor="5Fbookmark36" w:history="1">
        <w:r>
          <w:rPr>
            <w:rStyle w:val="Lienhypertexte"/>
          </w:rPr>
          <w:t>36</w:t>
        </w:r>
      </w:hyperlink>
      <w:r>
        <w:t xml:space="preserve">) ; </w:t>
      </w:r>
      <w:proofErr w:type="spellStart"/>
      <w:r>
        <w:rPr>
          <w:rStyle w:val="Accentuation"/>
        </w:rPr>
        <w:t>Quos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quibus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catharticis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medicamentis</w:t>
      </w:r>
      <w:proofErr w:type="spellEnd"/>
      <w:r>
        <w:rPr>
          <w:rStyle w:val="Accentuation"/>
        </w:rPr>
        <w:t xml:space="preserve"> et </w:t>
      </w:r>
      <w:proofErr w:type="spellStart"/>
      <w:r>
        <w:rPr>
          <w:rStyle w:val="Accentuation"/>
        </w:rPr>
        <w:t>quando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purgare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6" w:anchor="5Fbookmark76" w:history="1">
        <w:r>
          <w:rPr>
            <w:rStyle w:val="Lienhypertexte"/>
          </w:rPr>
          <w:t>76</w:t>
        </w:r>
      </w:hyperlink>
      <w:r>
        <w:t>).</w:t>
      </w:r>
    </w:p>
  </w:footnote>
  <w:footnote w:id="4">
    <w:p w14:paraId="4C5E72D2" w14:textId="7F75F7E5" w:rsidR="007B6040" w:rsidRDefault="007B6040" w:rsidP="007B6040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>En excluant les faux et les compilations : voir</w:t>
      </w:r>
      <w:r w:rsidR="006D415A">
        <w:t xml:space="preserve"> les deux notes</w:t>
      </w:r>
      <w:r>
        <w:t xml:space="preserve"> </w:t>
      </w:r>
      <w:r w:rsidRPr="007B6040">
        <w:rPr>
          <w:i/>
          <w:iCs/>
        </w:rPr>
        <w:t>supra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15980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ECD6778-84FB-426A-BE4F-F5A5CDAD20C3}"/>
    <w:docVar w:name="dgnword-eventsink" w:val="1549849002528"/>
  </w:docVars>
  <w:rsids>
    <w:rsidRoot w:val="000C3DB0"/>
    <w:rsid w:val="00021E9D"/>
    <w:rsid w:val="00026F5C"/>
    <w:rsid w:val="00045EE7"/>
    <w:rsid w:val="000620FF"/>
    <w:rsid w:val="000B77CE"/>
    <w:rsid w:val="000B7A33"/>
    <w:rsid w:val="000C3DB0"/>
    <w:rsid w:val="000F58AC"/>
    <w:rsid w:val="00103651"/>
    <w:rsid w:val="00103807"/>
    <w:rsid w:val="00114144"/>
    <w:rsid w:val="00125A33"/>
    <w:rsid w:val="001431F0"/>
    <w:rsid w:val="001532A8"/>
    <w:rsid w:val="00167922"/>
    <w:rsid w:val="00170D13"/>
    <w:rsid w:val="00171A7E"/>
    <w:rsid w:val="001741D0"/>
    <w:rsid w:val="00195F45"/>
    <w:rsid w:val="001B7A06"/>
    <w:rsid w:val="001C610E"/>
    <w:rsid w:val="001D6FA6"/>
    <w:rsid w:val="001E5132"/>
    <w:rsid w:val="001E571B"/>
    <w:rsid w:val="00200A50"/>
    <w:rsid w:val="0021686E"/>
    <w:rsid w:val="0022504E"/>
    <w:rsid w:val="002308D5"/>
    <w:rsid w:val="00252A28"/>
    <w:rsid w:val="00262DC2"/>
    <w:rsid w:val="00270A32"/>
    <w:rsid w:val="00271F6C"/>
    <w:rsid w:val="002A5F4C"/>
    <w:rsid w:val="002D5731"/>
    <w:rsid w:val="002E4701"/>
    <w:rsid w:val="0032039A"/>
    <w:rsid w:val="00321D01"/>
    <w:rsid w:val="00330508"/>
    <w:rsid w:val="003527FA"/>
    <w:rsid w:val="003836E5"/>
    <w:rsid w:val="003D2670"/>
    <w:rsid w:val="00416F80"/>
    <w:rsid w:val="00424B63"/>
    <w:rsid w:val="00432E92"/>
    <w:rsid w:val="00440830"/>
    <w:rsid w:val="00441DEE"/>
    <w:rsid w:val="00452A78"/>
    <w:rsid w:val="00457077"/>
    <w:rsid w:val="0046192F"/>
    <w:rsid w:val="00463436"/>
    <w:rsid w:val="00471E91"/>
    <w:rsid w:val="004B0130"/>
    <w:rsid w:val="004D56B4"/>
    <w:rsid w:val="004F7843"/>
    <w:rsid w:val="00502CD5"/>
    <w:rsid w:val="00521541"/>
    <w:rsid w:val="00525C14"/>
    <w:rsid w:val="00540641"/>
    <w:rsid w:val="00546309"/>
    <w:rsid w:val="005548EB"/>
    <w:rsid w:val="005556EC"/>
    <w:rsid w:val="00585514"/>
    <w:rsid w:val="0059322A"/>
    <w:rsid w:val="00597E71"/>
    <w:rsid w:val="005A2748"/>
    <w:rsid w:val="005C3FB4"/>
    <w:rsid w:val="005F0A9E"/>
    <w:rsid w:val="00602868"/>
    <w:rsid w:val="00610678"/>
    <w:rsid w:val="00612DEB"/>
    <w:rsid w:val="00617CD1"/>
    <w:rsid w:val="00621C90"/>
    <w:rsid w:val="00626925"/>
    <w:rsid w:val="006274CA"/>
    <w:rsid w:val="00635886"/>
    <w:rsid w:val="00637A8F"/>
    <w:rsid w:val="006445C6"/>
    <w:rsid w:val="006549A6"/>
    <w:rsid w:val="00664CAD"/>
    <w:rsid w:val="00665946"/>
    <w:rsid w:val="006847A9"/>
    <w:rsid w:val="00695D37"/>
    <w:rsid w:val="006A0E09"/>
    <w:rsid w:val="006B5C83"/>
    <w:rsid w:val="006B7C30"/>
    <w:rsid w:val="006C47C4"/>
    <w:rsid w:val="006D415A"/>
    <w:rsid w:val="006E3685"/>
    <w:rsid w:val="006F05DC"/>
    <w:rsid w:val="006F67A6"/>
    <w:rsid w:val="007331F4"/>
    <w:rsid w:val="007505FB"/>
    <w:rsid w:val="00760F34"/>
    <w:rsid w:val="00761E46"/>
    <w:rsid w:val="00776A93"/>
    <w:rsid w:val="007B6040"/>
    <w:rsid w:val="007C6FE7"/>
    <w:rsid w:val="007C76CD"/>
    <w:rsid w:val="007D4D7A"/>
    <w:rsid w:val="007D7744"/>
    <w:rsid w:val="007E691D"/>
    <w:rsid w:val="00800FB2"/>
    <w:rsid w:val="00804A78"/>
    <w:rsid w:val="0081553E"/>
    <w:rsid w:val="0082295E"/>
    <w:rsid w:val="008234ED"/>
    <w:rsid w:val="00847B95"/>
    <w:rsid w:val="00847BB0"/>
    <w:rsid w:val="008516B7"/>
    <w:rsid w:val="0086194F"/>
    <w:rsid w:val="0088111E"/>
    <w:rsid w:val="008843FE"/>
    <w:rsid w:val="008A4179"/>
    <w:rsid w:val="008C26D2"/>
    <w:rsid w:val="008C3781"/>
    <w:rsid w:val="008D01EE"/>
    <w:rsid w:val="008E6095"/>
    <w:rsid w:val="00903D0E"/>
    <w:rsid w:val="00903F9C"/>
    <w:rsid w:val="009063A3"/>
    <w:rsid w:val="009304F8"/>
    <w:rsid w:val="00930EE2"/>
    <w:rsid w:val="00966281"/>
    <w:rsid w:val="00996029"/>
    <w:rsid w:val="009A1C62"/>
    <w:rsid w:val="009A40CC"/>
    <w:rsid w:val="009C3391"/>
    <w:rsid w:val="009E7397"/>
    <w:rsid w:val="009F1169"/>
    <w:rsid w:val="00A1668B"/>
    <w:rsid w:val="00A24DAB"/>
    <w:rsid w:val="00A25316"/>
    <w:rsid w:val="00A32A15"/>
    <w:rsid w:val="00A425A8"/>
    <w:rsid w:val="00A5414F"/>
    <w:rsid w:val="00A63C93"/>
    <w:rsid w:val="00A971C6"/>
    <w:rsid w:val="00AB7726"/>
    <w:rsid w:val="00AC241D"/>
    <w:rsid w:val="00AC5695"/>
    <w:rsid w:val="00AE4C46"/>
    <w:rsid w:val="00AE7D6D"/>
    <w:rsid w:val="00B131B9"/>
    <w:rsid w:val="00B1402B"/>
    <w:rsid w:val="00B14F48"/>
    <w:rsid w:val="00B41641"/>
    <w:rsid w:val="00B46428"/>
    <w:rsid w:val="00B631A2"/>
    <w:rsid w:val="00B73BC4"/>
    <w:rsid w:val="00B9119B"/>
    <w:rsid w:val="00B941B7"/>
    <w:rsid w:val="00B95A81"/>
    <w:rsid w:val="00BA5190"/>
    <w:rsid w:val="00BC75F2"/>
    <w:rsid w:val="00BD4B37"/>
    <w:rsid w:val="00BD5F83"/>
    <w:rsid w:val="00BF4312"/>
    <w:rsid w:val="00BF699B"/>
    <w:rsid w:val="00BF78D0"/>
    <w:rsid w:val="00C159E6"/>
    <w:rsid w:val="00C355A3"/>
    <w:rsid w:val="00C407FE"/>
    <w:rsid w:val="00C42316"/>
    <w:rsid w:val="00C431FC"/>
    <w:rsid w:val="00C5411D"/>
    <w:rsid w:val="00C56866"/>
    <w:rsid w:val="00C61733"/>
    <w:rsid w:val="00C62CB6"/>
    <w:rsid w:val="00C704D7"/>
    <w:rsid w:val="00C82634"/>
    <w:rsid w:val="00C94D42"/>
    <w:rsid w:val="00C97062"/>
    <w:rsid w:val="00CA7F07"/>
    <w:rsid w:val="00CB3EAD"/>
    <w:rsid w:val="00CD712D"/>
    <w:rsid w:val="00CE6801"/>
    <w:rsid w:val="00CF5B56"/>
    <w:rsid w:val="00D03240"/>
    <w:rsid w:val="00D13988"/>
    <w:rsid w:val="00D13A5D"/>
    <w:rsid w:val="00D1419A"/>
    <w:rsid w:val="00D30087"/>
    <w:rsid w:val="00D31F26"/>
    <w:rsid w:val="00D5065E"/>
    <w:rsid w:val="00D542C4"/>
    <w:rsid w:val="00D72385"/>
    <w:rsid w:val="00DA0624"/>
    <w:rsid w:val="00DA1177"/>
    <w:rsid w:val="00DA66B6"/>
    <w:rsid w:val="00DB724F"/>
    <w:rsid w:val="00DC5B09"/>
    <w:rsid w:val="00DF18A2"/>
    <w:rsid w:val="00DF292D"/>
    <w:rsid w:val="00E14360"/>
    <w:rsid w:val="00E24D2B"/>
    <w:rsid w:val="00E83460"/>
    <w:rsid w:val="00EA0754"/>
    <w:rsid w:val="00EA1E30"/>
    <w:rsid w:val="00EA7946"/>
    <w:rsid w:val="00ED58D9"/>
    <w:rsid w:val="00EE55F9"/>
    <w:rsid w:val="00F020D4"/>
    <w:rsid w:val="00F17623"/>
    <w:rsid w:val="00F277BF"/>
    <w:rsid w:val="00F50FC5"/>
    <w:rsid w:val="00F62DCB"/>
    <w:rsid w:val="00F745AA"/>
    <w:rsid w:val="00F80B43"/>
    <w:rsid w:val="00F939B5"/>
    <w:rsid w:val="00F94378"/>
    <w:rsid w:val="00F963E5"/>
    <w:rsid w:val="00FC3DF8"/>
    <w:rsid w:val="00FD0BCB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uiPriority w:val="20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1">
    <w:name w:val="Adresse expéditeur1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ymologika.hypotheses.org/1035" TargetMode="External"/><Relationship Id="rId13" Type="http://schemas.openxmlformats.org/officeDocument/2006/relationships/hyperlink" Target="https://galenus-verbatim.huma-num.fr/novitates.fr" TargetMode="External"/><Relationship Id="rId18" Type="http://schemas.openxmlformats.org/officeDocument/2006/relationships/hyperlink" Target="https://github.com/glorieux-f" TargetMode="External"/><Relationship Id="rId26" Type="http://schemas.openxmlformats.org/officeDocument/2006/relationships/hyperlink" Target="https://wellcomecollection.org/works/m5w399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ipster-philology/nlp-pie-taggers" TargetMode="External"/><Relationship Id="rId7" Type="http://schemas.openxmlformats.org/officeDocument/2006/relationships/hyperlink" Target="https://galenus-verbatim.huma-num.fr" TargetMode="External"/><Relationship Id="rId12" Type="http://schemas.openxmlformats.org/officeDocument/2006/relationships/hyperlink" Target="https://scaife.perseus.org/library/urn:cts:greekLit:tlg0057/" TargetMode="External"/><Relationship Id="rId17" Type="http://schemas.openxmlformats.org/officeDocument/2006/relationships/hyperlink" Target="http://www.iufrance.fr/les-membres-de-liuf/membre/2053-nathalie-rousseau.html" TargetMode="External"/><Relationship Id="rId25" Type="http://schemas.openxmlformats.org/officeDocument/2006/relationships/hyperlink" Target="https://etymologika.hypotheses.org/26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4.0/" TargetMode="External"/><Relationship Id="rId20" Type="http://schemas.openxmlformats.org/officeDocument/2006/relationships/hyperlink" Target="https://github.com/galenus-verbat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eco-arabic-studies.org/home.html" TargetMode="External"/><Relationship Id="rId24" Type="http://schemas.openxmlformats.org/officeDocument/2006/relationships/hyperlink" Target="https://humanites-biomedicales.sorbonne-universite.f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te-architecture.github.io/ctsurn_spec/specification.html" TargetMode="External"/><Relationship Id="rId23" Type="http://schemas.openxmlformats.org/officeDocument/2006/relationships/hyperlink" Target="https://www.iufrance.f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pengreekandlatin.github.io/First1KGreek/" TargetMode="External"/><Relationship Id="rId19" Type="http://schemas.openxmlformats.org/officeDocument/2006/relationships/hyperlink" Target="https://github.com/Ctaaf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lenus-verbatim.huma-num.fr/quaestiones.fr" TargetMode="External"/><Relationship Id="rId14" Type="http://schemas.openxmlformats.org/officeDocument/2006/relationships/hyperlink" Target="https://epidoc.stoa.org/gl/latest/intro-intro-fr.html" TargetMode="External"/><Relationship Id="rId22" Type="http://schemas.openxmlformats.org/officeDocument/2006/relationships/hyperlink" Target="https://galenus-verbatim.huma-num.fr/novitates.fr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mg.bbaw.de/fileadmin/Webdateien/Dateien/Galen-Bibliographie.pdf" TargetMode="External"/><Relationship Id="rId2" Type="http://schemas.openxmlformats.org/officeDocument/2006/relationships/hyperlink" Target="https://cmg.bbaw.de/fileadmin/Webdateien/Dateien/Galen-Bibliographie.pdf" TargetMode="External"/><Relationship Id="rId1" Type="http://schemas.openxmlformats.org/officeDocument/2006/relationships/hyperlink" Target="https://doi.org/10.1515/9783110599572-002" TargetMode="Externa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cmg.bbaw.de/fileadmin/Webdateien/Dateien/Galen-Bibliographie.pdf" TargetMode="External"/><Relationship Id="rId4" Type="http://schemas.openxmlformats.org/officeDocument/2006/relationships/hyperlink" Target="http://cmg.bbaw.de/epubl/online/suppl_or_05_0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811</Words>
  <Characters>4098</Characters>
  <Application>Microsoft Office Word</Application>
  <DocSecurity>0</DocSecurity>
  <Lines>62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6</cp:revision>
  <dcterms:created xsi:type="dcterms:W3CDTF">2024-04-05T12:49:00Z</dcterms:created>
  <dcterms:modified xsi:type="dcterms:W3CDTF">2024-04-05T20:12:00Z</dcterms:modified>
  <dc:language>fr-CH</dc:language>
</cp:coreProperties>
</file>