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A4B9FC8" w:rsidR="00475234" w:rsidRDefault="003676EE">
      <w:pPr>
        <w:pStyle w:val="Titre1"/>
        <w:tabs>
          <w:tab w:val="left" w:pos="0"/>
        </w:tabs>
        <w:rPr>
          <w:rFonts w:hint="eastAsia"/>
        </w:rPr>
      </w:pPr>
      <w:r>
        <w:t>Questions fréquentes</w:t>
      </w:r>
    </w:p>
    <w:p w14:paraId="3F2A6BF5" w14:textId="5C9048A3" w:rsidR="006E0EB2" w:rsidRPr="006E0EB2" w:rsidRDefault="003676EE" w:rsidP="006E0EB2">
      <w:r>
        <w:t xml:space="preserve">Voici quelques questions-réponses en guise de mode d’emploi de ce site. N’hésitez pas à </w:t>
      </w:r>
      <w:hyperlink r:id="rId7" w:history="1">
        <w:r w:rsidRPr="00F14363">
          <w:rPr>
            <w:rStyle w:val="Lienhypertexte"/>
          </w:rPr>
          <w:t>poser une question</w:t>
        </w:r>
      </w:hyperlink>
      <w:r>
        <w:t xml:space="preserve"> pour enrichir cette </w:t>
      </w:r>
      <w:r w:rsidR="000544C7">
        <w:t>page </w:t>
      </w:r>
      <w:r>
        <w:t>!</w:t>
      </w:r>
    </w:p>
    <w:p w14:paraId="174B7297" w14:textId="77777777" w:rsidR="006E0EB2" w:rsidRDefault="006E0EB2" w:rsidP="006E0EB2"/>
    <w:p w14:paraId="48FC9030" w14:textId="22016440" w:rsidR="004541AC" w:rsidRDefault="004541AC" w:rsidP="004541AC">
      <w:pPr>
        <w:pStyle w:val="Titre2"/>
      </w:pPr>
      <w:r>
        <w:rPr>
          <w:rFonts w:cs="Liberation Serif"/>
        </w:rPr>
        <w:t>À</w:t>
      </w:r>
      <w:r>
        <w:t xml:space="preserve"> quoi sert Galenus verbatim ?</w:t>
      </w:r>
    </w:p>
    <w:p w14:paraId="58F2B941" w14:textId="268F1293" w:rsidR="00DC0C83" w:rsidRDefault="00770321" w:rsidP="006E0EB2">
      <w:r w:rsidRPr="00770321">
        <w:t xml:space="preserve">L’objectif de </w:t>
      </w:r>
      <w:hyperlink r:id="rId8" w:history="1">
        <w:r w:rsidRPr="00CE657A">
          <w:rPr>
            <w:rStyle w:val="Lienhypertexte"/>
          </w:rPr>
          <w:t>Galenus verbatim</w:t>
        </w:r>
      </w:hyperlink>
      <w:r w:rsidRPr="00770321">
        <w:t xml:space="preserve"> est de mettre à disposition en accès libre un environnement de </w:t>
      </w:r>
      <w:r w:rsidR="00DC0C83">
        <w:t>travail qui facilite le travail des spécialistes de Galien comme celui des personnes qui ne sont pas familières de ce corpus.</w:t>
      </w:r>
    </w:p>
    <w:p w14:paraId="1D6B1DD1" w14:textId="72B9DFA2" w:rsidR="004541AC" w:rsidRDefault="00AA4325" w:rsidP="006E0EB2">
      <w:r>
        <w:t>En avril 2024,</w:t>
      </w:r>
      <w:r w:rsidR="00A76EE1">
        <w:t xml:space="preserve"> </w:t>
      </w:r>
      <w:r>
        <w:t xml:space="preserve">le site </w:t>
      </w:r>
      <w:r w:rsidR="00A76EE1">
        <w:t>permet ainsi</w:t>
      </w:r>
      <w:r>
        <w:t>, dans sa version bêta</w:t>
      </w:r>
      <w:r w:rsidR="00A76EE1">
        <w:t> :</w:t>
      </w:r>
    </w:p>
    <w:p w14:paraId="4D735163" w14:textId="0C67BC2B" w:rsidR="000544C7" w:rsidRDefault="00A76EE1" w:rsidP="00DC0C83">
      <w:r>
        <w:t>–</w:t>
      </w:r>
      <w:r w:rsidR="00AA4325">
        <w:t xml:space="preserve"> </w:t>
      </w:r>
      <w:r w:rsidR="00AA4325" w:rsidRPr="004040A4">
        <w:t xml:space="preserve">de </w:t>
      </w:r>
      <w:r w:rsidR="000544C7">
        <w:t xml:space="preserve">se repérer dans </w:t>
      </w:r>
      <w:r w:rsidR="00254520">
        <w:t>le</w:t>
      </w:r>
      <w:r w:rsidR="000544C7">
        <w:t xml:space="preserve"> corpus galénique (</w:t>
      </w:r>
      <w:hyperlink r:id="rId9" w:history="1">
        <w:r w:rsidR="000544C7" w:rsidRPr="000544C7">
          <w:rPr>
            <w:rStyle w:val="Lienhypertexte"/>
          </w:rPr>
          <w:t>Table des traités galéniques et pseudo-galéniques</w:t>
        </w:r>
      </w:hyperlink>
      <w:r w:rsidR="000544C7">
        <w:t>)</w:t>
      </w:r>
    </w:p>
    <w:p w14:paraId="6E71CA17" w14:textId="2A7986EF" w:rsidR="00DC0C83" w:rsidRDefault="000544C7" w:rsidP="00DC0C83">
      <w:r>
        <w:t xml:space="preserve">– </w:t>
      </w:r>
      <w:r w:rsidRPr="004040A4">
        <w:t xml:space="preserve">de </w:t>
      </w:r>
      <w:r w:rsidR="00AA4325" w:rsidRPr="004040A4">
        <w:t xml:space="preserve">trouver instantanément </w:t>
      </w:r>
      <w:r w:rsidR="00DC0C83">
        <w:t>(</w:t>
      </w:r>
      <w:r w:rsidR="00DC0C83" w:rsidRPr="00DC0C83">
        <w:t xml:space="preserve">case </w:t>
      </w:r>
      <w:r w:rsidR="00CE657A">
        <w:t>« </w:t>
      </w:r>
      <w:r w:rsidR="00DC0C83" w:rsidRPr="00DC0C83">
        <w:t>Accès rapide</w:t>
      </w:r>
      <w:r w:rsidR="00CE657A">
        <w:t> »</w:t>
      </w:r>
      <w:r w:rsidR="00DC0C83">
        <w:t xml:space="preserve">) </w:t>
      </w:r>
      <w:r w:rsidR="00AA4325" w:rsidRPr="004040A4">
        <w:t>un passage dans un traité d’après une référence chiffrée</w:t>
      </w:r>
      <w:r w:rsidR="00AA4325">
        <w:t xml:space="preserve"> (</w:t>
      </w:r>
      <w:r w:rsidR="00AA4325" w:rsidRPr="00AA4325">
        <w:t xml:space="preserve">numéros du volume, de la page et de la ligne </w:t>
      </w:r>
      <w:r w:rsidR="00AA4325">
        <w:t>de l’édition Kühn, en chiffres romains ou en chiffres arabes, séparés par des virgules ou des points</w:t>
      </w:r>
      <w:r>
        <w:t>, avec ou sans mention « K » ou « Kühn »</w:t>
      </w:r>
      <w:r w:rsidR="00AA4325">
        <w:t>)</w:t>
      </w:r>
      <w:r w:rsidR="00DC0C83">
        <w:t>, et d’obtenir ses références bibliographiques complètes</w:t>
      </w:r>
      <w:r w:rsidR="00294B7F">
        <w:t xml:space="preserve"> </w:t>
      </w:r>
      <w:r w:rsidR="00DC0C83">
        <w:t xml:space="preserve">(voir </w:t>
      </w:r>
      <w:r w:rsidR="00DC0C83">
        <w:rPr>
          <w:i/>
          <w:iCs/>
        </w:rPr>
        <w:t>infra</w:t>
      </w:r>
      <w:r w:rsidR="00DC0C83">
        <w:t xml:space="preserve"> la question « </w:t>
      </w:r>
      <w:r w:rsidR="00DC0C83" w:rsidRPr="00DC0C83">
        <w:t>Comment citer une œuvre galénique</w:t>
      </w:r>
      <w:r w:rsidR="00DC0C83">
        <w:t> </w:t>
      </w:r>
      <w:r w:rsidR="00DC0C83" w:rsidRPr="00DC0C83">
        <w:t>?</w:t>
      </w:r>
      <w:r w:rsidR="00DC0C83">
        <w:t> ») ;</w:t>
      </w:r>
    </w:p>
    <w:p w14:paraId="785E585C" w14:textId="2B2D8F66" w:rsidR="004541AC" w:rsidRDefault="00DC0C83" w:rsidP="006E0EB2">
      <w:r>
        <w:t xml:space="preserve">– </w:t>
      </w:r>
      <w:r w:rsidRPr="004040A4">
        <w:t xml:space="preserve">de naviguer rapidement à travers les livres, les chapitres et les sections de traités qui peuvent couvrir plusieurs centaines de pages dans l’édition Kühn </w:t>
      </w:r>
      <w:r w:rsidR="00254520">
        <w:t>(</w:t>
      </w:r>
      <w:hyperlink r:id="rId10" w:history="1">
        <w:r w:rsidR="00254520" w:rsidRPr="00254520">
          <w:rPr>
            <w:rStyle w:val="Lienhypertexte"/>
          </w:rPr>
          <w:t>1821-1833</w:t>
        </w:r>
      </w:hyperlink>
      <w:r w:rsidR="00254520">
        <w:t xml:space="preserve">) </w:t>
      </w:r>
      <w:r w:rsidRPr="004040A4">
        <w:t>de référen</w:t>
      </w:r>
      <w:r w:rsidR="00294B7F">
        <w:t>ce, avec l’</w:t>
      </w:r>
      <w:r w:rsidR="00254520">
        <w:t>image de l’</w:t>
      </w:r>
      <w:r w:rsidR="00294B7F">
        <w:t>imprimé en regard ;</w:t>
      </w:r>
    </w:p>
    <w:p w14:paraId="11DCB7FB" w14:textId="62ACF0A0" w:rsidR="00AA4325" w:rsidRDefault="00AA4325" w:rsidP="006E0EB2">
      <w:r>
        <w:t>–</w:t>
      </w:r>
      <w:r w:rsidR="000544C7">
        <w:t xml:space="preserve"> pour tout texte de l’édition Kühn, </w:t>
      </w:r>
      <w:r w:rsidR="00294B7F" w:rsidRPr="004040A4">
        <w:t xml:space="preserve">d’accéder directement aux pages correspondantes des éditions de Chartier </w:t>
      </w:r>
      <w:r w:rsidR="007B7551" w:rsidRPr="007B7551">
        <w:t>(</w:t>
      </w:r>
      <w:hyperlink r:id="rId11" w:tgtFrame="_blank" w:history="1">
        <w:r w:rsidR="007B7551" w:rsidRPr="007B7551">
          <w:rPr>
            <w:color w:val="0000FF"/>
            <w:u w:val="single"/>
          </w:rPr>
          <w:t>1638-1689</w:t>
        </w:r>
      </w:hyperlink>
      <w:r w:rsidR="007B7551" w:rsidRPr="007B7551">
        <w:t>) et de Bâle (</w:t>
      </w:r>
      <w:hyperlink r:id="rId12" w:tgtFrame="_blank" w:history="1">
        <w:r w:rsidR="007B7551" w:rsidRPr="007B7551">
          <w:rPr>
            <w:color w:val="0000FF"/>
            <w:u w:val="single"/>
          </w:rPr>
          <w:t>1538</w:t>
        </w:r>
      </w:hyperlink>
      <w:r w:rsidR="007B7551" w:rsidRPr="007B7551">
        <w:t xml:space="preserve">) </w:t>
      </w:r>
      <w:r w:rsidR="00294B7F" w:rsidRPr="004040A4">
        <w:t xml:space="preserve">sur lesquelles </w:t>
      </w:r>
      <w:r w:rsidR="000544C7">
        <w:t xml:space="preserve">celle-ci </w:t>
      </w:r>
      <w:r w:rsidR="00294B7F" w:rsidRPr="004040A4">
        <w:t>repose</w:t>
      </w:r>
      <w:r w:rsidR="00294B7F">
        <w:rPr>
          <w:rStyle w:val="Appelnotedebasdep"/>
        </w:rPr>
        <w:footnoteReference w:id="1"/>
      </w:r>
      <w:r w:rsidR="00294B7F">
        <w:t>.</w:t>
      </w:r>
    </w:p>
    <w:p w14:paraId="33460C47" w14:textId="77777777" w:rsidR="00294B7F" w:rsidRPr="006E0EB2" w:rsidRDefault="00294B7F" w:rsidP="006E0EB2"/>
    <w:p w14:paraId="1B93B166" w14:textId="6832F61F" w:rsidR="00AB4C09" w:rsidRDefault="00AB4C09" w:rsidP="006E0EB2">
      <w:pPr>
        <w:pStyle w:val="Titre2"/>
      </w:pPr>
      <w:r>
        <w:t>Quels sont les textes présents sur le site de Galenus verbatim ?</w:t>
      </w:r>
    </w:p>
    <w:p w14:paraId="05845EEC" w14:textId="37D12C44" w:rsidR="00DD2D80" w:rsidRDefault="00AB4C09" w:rsidP="00AB4C09">
      <w:pPr>
        <w:jc w:val="both"/>
      </w:pPr>
      <w:r>
        <w:t>Galenus verbatim publie des textes libres de droits</w:t>
      </w:r>
      <w:r w:rsidR="003D704F">
        <w:t xml:space="preserve">, </w:t>
      </w:r>
      <w:bookmarkStart w:id="0" w:name="_Hlk162976013"/>
      <w:r w:rsidR="003D704F" w:rsidRPr="00AB4C09">
        <w:t xml:space="preserve">sous licence </w:t>
      </w:r>
      <w:hyperlink r:id="rId13" w:history="1">
        <w:r w:rsidR="00445FA1">
          <w:rPr>
            <w:rStyle w:val="Lienhypertexte"/>
          </w:rPr>
          <w:t>Creative Commons Attribution - Partage dans les Mêmes Conditions 4.0 International</w:t>
        </w:r>
      </w:hyperlink>
      <w:r w:rsidR="000E5D77">
        <w:t xml:space="preserve"> (</w:t>
      </w:r>
      <w:r w:rsidR="000E5D77" w:rsidRPr="000E5D77">
        <w:t>CC BY-SA 4.0</w:t>
      </w:r>
      <w:r w:rsidR="000E5D77">
        <w:t>)</w:t>
      </w:r>
      <w:r>
        <w:t>.</w:t>
      </w:r>
      <w:bookmarkEnd w:id="0"/>
    </w:p>
    <w:p w14:paraId="30993775" w14:textId="123D81C7" w:rsidR="001D46FD" w:rsidRDefault="00AB4C09" w:rsidP="00AB4C09">
      <w:pPr>
        <w:jc w:val="both"/>
      </w:pPr>
      <w:r>
        <w:t xml:space="preserve">On y trouve </w:t>
      </w:r>
      <w:r w:rsidRPr="00AB4C09">
        <w:t xml:space="preserve">les traités publiés dans les volumes 1 à 18b l’édition de C.G. Kühn, ainsi que quelques autres, </w:t>
      </w:r>
      <w:r>
        <w:t xml:space="preserve">qui </w:t>
      </w:r>
      <w:r w:rsidRPr="00AB4C09">
        <w:t xml:space="preserve">proviennent du dépôt du projet </w:t>
      </w:r>
      <w:hyperlink r:id="rId14" w:tgtFrame="_top">
        <w:r w:rsidRPr="00AB4C09">
          <w:rPr>
            <w:rStyle w:val="Lienhypertexte"/>
            <w:bCs/>
          </w:rPr>
          <w:t>First Thousand Years of Greek</w:t>
        </w:r>
      </w:hyperlink>
      <w:r w:rsidR="009058D6">
        <w:rPr>
          <w:rStyle w:val="Appelnotedebasdep"/>
        </w:rPr>
        <w:footnoteReference w:id="2"/>
      </w:r>
      <w:r>
        <w:t xml:space="preserve">, publié </w:t>
      </w:r>
      <w:r w:rsidRPr="00AB4C09">
        <w:t>sous</w:t>
      </w:r>
      <w:r w:rsidR="000E5D77">
        <w:t xml:space="preserve"> </w:t>
      </w:r>
      <w:r w:rsidRPr="00AB4C09">
        <w:t>licence</w:t>
      </w:r>
      <w:r w:rsidR="000E5D77">
        <w:t xml:space="preserve"> </w:t>
      </w:r>
      <w:r w:rsidR="000E5D77" w:rsidRPr="000E5D77">
        <w:t>CC BY-SA 4.0</w:t>
      </w:r>
      <w:r w:rsidR="000E5D77">
        <w:t> </w:t>
      </w:r>
      <w:r>
        <w:t xml:space="preserve">: celui-ci </w:t>
      </w:r>
      <w:r w:rsidRPr="00AB4C09">
        <w:t>a repris le</w:t>
      </w:r>
      <w:r w:rsidR="000E5D77">
        <w:t>s textes galéniques du</w:t>
      </w:r>
      <w:r w:rsidRPr="00AB4C09">
        <w:t xml:space="preserve"> </w:t>
      </w:r>
      <w:hyperlink r:id="rId15" w:tgtFrame="_top">
        <w:r w:rsidRPr="00AB4C09">
          <w:rPr>
            <w:rStyle w:val="Lienhypertexte"/>
            <w:bCs/>
          </w:rPr>
          <w:t>Digital Corpus for Graeco-Arabic Studies</w:t>
        </w:r>
      </w:hyperlink>
      <w:r w:rsidRPr="00AB4C09">
        <w:t xml:space="preserve"> </w:t>
      </w:r>
      <w:r w:rsidR="000E5D77">
        <w:t xml:space="preserve">et en a notamment enrichi les métadonnées </w:t>
      </w:r>
      <w:r w:rsidRPr="00AB4C09">
        <w:t>pour l</w:t>
      </w:r>
      <w:r w:rsidR="000E5D77">
        <w:t xml:space="preserve">es </w:t>
      </w:r>
      <w:r w:rsidRPr="00AB4C09">
        <w:t xml:space="preserve">intégrer à la </w:t>
      </w:r>
      <w:hyperlink r:id="rId16" w:history="1">
        <w:r w:rsidRPr="00D72539">
          <w:rPr>
            <w:rStyle w:val="Lienhypertexte"/>
          </w:rPr>
          <w:t>Perseus Digital Library</w:t>
        </w:r>
      </w:hyperlink>
      <w:r w:rsidR="000E5D77">
        <w:t xml:space="preserve"> (en omettant curieusement </w:t>
      </w:r>
      <w:r w:rsidRPr="00AB4C09">
        <w:t xml:space="preserve">le texte du </w:t>
      </w:r>
      <w:r w:rsidRPr="00AB4C09">
        <w:rPr>
          <w:i/>
          <w:iCs/>
        </w:rPr>
        <w:t>Commentaire au Prorrhétique I d’Hippocrate</w:t>
      </w:r>
      <w:r w:rsidRPr="00AB4C09">
        <w:t xml:space="preserve"> </w:t>
      </w:r>
      <w:r w:rsidR="000E5D77">
        <w:t>[</w:t>
      </w:r>
      <w:r w:rsidRPr="00AB4C09">
        <w:t>16.489-840 K</w:t>
      </w:r>
      <w:r w:rsidR="000E5D77">
        <w:t>]</w:t>
      </w:r>
      <w:r w:rsidRPr="00AB4C09">
        <w:t>, qu</w:t>
      </w:r>
      <w:r w:rsidR="000E5D77">
        <w:t>e Galenus verbatim</w:t>
      </w:r>
      <w:r w:rsidRPr="00AB4C09">
        <w:t xml:space="preserve"> a </w:t>
      </w:r>
      <w:r w:rsidR="000E5D77">
        <w:t xml:space="preserve">donc </w:t>
      </w:r>
      <w:r w:rsidRPr="00AB4C09">
        <w:t>directement repris au Digital Corpus for Graeco-Arabic Studies</w:t>
      </w:r>
      <w:r w:rsidR="000E5D77">
        <w:t>)</w:t>
      </w:r>
      <w:r w:rsidRPr="00AB4C09">
        <w:rPr>
          <w:vertAlign w:val="superscript"/>
        </w:rPr>
        <w:footnoteReference w:id="3"/>
      </w:r>
      <w:r w:rsidRPr="00AB4C09">
        <w:t>. Deux textes de l’édition de C.G. Kühn qui sont présents dans la Perseus Digital Library, mais qui consistent en des compilations d’extraits de textes provenant d’autres traités édités par Kühn, ont en revanche été écartés</w:t>
      </w:r>
      <w:r w:rsidR="000E5D77">
        <w:t xml:space="preserve"> de Galenus verbatim</w:t>
      </w:r>
      <w:r w:rsidRPr="00AB4C09">
        <w:rPr>
          <w:vertAlign w:val="superscript"/>
        </w:rPr>
        <w:footnoteReference w:id="4"/>
      </w:r>
      <w:r w:rsidRPr="00AB4C09">
        <w:t>.</w:t>
      </w:r>
    </w:p>
    <w:p w14:paraId="42D4A70C" w14:textId="462951CE" w:rsidR="00F20B26" w:rsidRDefault="00751D3D" w:rsidP="00AB4C09">
      <w:pPr>
        <w:jc w:val="both"/>
      </w:pPr>
      <w:r>
        <w:t>Sont en cours de préparation, et seront progressivement publiés</w:t>
      </w:r>
      <w:r w:rsidR="00F20B26">
        <w:t xml:space="preserve"> au fur et à mesure de l’avancement de la structuration des fichiers XML-TEI et de la correction du texte océrisé (toutes les bonnes volontés sont les bienvenues !) :</w:t>
      </w:r>
    </w:p>
    <w:p w14:paraId="5219B493" w14:textId="04548CE3" w:rsidR="000C1EB8" w:rsidRDefault="00F20B26" w:rsidP="00AB4C09">
      <w:pPr>
        <w:jc w:val="both"/>
      </w:pPr>
      <w:bookmarkStart w:id="1" w:name="_Hlk163230303"/>
      <w:r>
        <w:lastRenderedPageBreak/>
        <w:t>–</w:t>
      </w:r>
      <w:bookmarkEnd w:id="1"/>
      <w:r>
        <w:t xml:space="preserve"> d’une part </w:t>
      </w:r>
      <w:r w:rsidRPr="00F20B26">
        <w:t xml:space="preserve">tous les textes grecs de l’édition de Kühn qui ne figuraient pas dans le corpus de </w:t>
      </w:r>
      <w:hyperlink r:id="rId17" w:tgtFrame="_blank" w:history="1">
        <w:r w:rsidRPr="00F20B26">
          <w:rPr>
            <w:rStyle w:val="Lienhypertexte"/>
          </w:rPr>
          <w:t>First Thousand Years of Greek</w:t>
        </w:r>
      </w:hyperlink>
      <w:r w:rsidRPr="00F20B26">
        <w:t xml:space="preserve"> </w:t>
      </w:r>
      <w:bookmarkStart w:id="2" w:name="_Hlk162969061"/>
      <w:r w:rsidRPr="00F20B26">
        <w:t>(</w:t>
      </w:r>
      <w:r w:rsidR="008E465F">
        <w:t xml:space="preserve">22 traités couvrant </w:t>
      </w:r>
      <w:r w:rsidRPr="00F20B26">
        <w:t>1 1</w:t>
      </w:r>
      <w:r w:rsidR="00445FA1">
        <w:t>33</w:t>
      </w:r>
      <w:r w:rsidRPr="00F20B26">
        <w:t xml:space="preserve"> demi-pages) </w:t>
      </w:r>
      <w:bookmarkEnd w:id="2"/>
      <w:r w:rsidRPr="00F20B26">
        <w:t xml:space="preserve">: </w:t>
      </w:r>
      <w:r w:rsidRPr="00F20B26">
        <w:rPr>
          <w:i/>
          <w:iCs/>
        </w:rPr>
        <w:t>Thrasybule</w:t>
      </w:r>
      <w:r w:rsidRPr="00F20B26">
        <w:t xml:space="preserve"> ou </w:t>
      </w:r>
      <w:r w:rsidRPr="00F20B26">
        <w:rPr>
          <w:i/>
          <w:iCs/>
        </w:rPr>
        <w:t>Si l’hygiène relève de la médecine ou de la gymnastique</w:t>
      </w:r>
      <w:r w:rsidRPr="00F20B26">
        <w:t xml:space="preserve"> (vol. 5), </w:t>
      </w:r>
      <w:r w:rsidRPr="00F20B26">
        <w:rPr>
          <w:i/>
          <w:iCs/>
        </w:rPr>
        <w:t>Facultés des aliments</w:t>
      </w:r>
      <w:r w:rsidRPr="00F20B26">
        <w:t xml:space="preserve"> (vol. 6), ainsi que l’ensemble des traités galéniques ou pseudo-galéniques présents dans le volume 19</w:t>
      </w:r>
      <w:r w:rsidR="00445FA1">
        <w:rPr>
          <w:rStyle w:val="Appelnotedebasdep"/>
        </w:rPr>
        <w:footnoteReference w:id="5"/>
      </w:r>
      <w:r>
        <w:t> ;</w:t>
      </w:r>
    </w:p>
    <w:p w14:paraId="1A0B7FE0" w14:textId="25B242CD" w:rsidR="00F20B26" w:rsidRDefault="00F20B26" w:rsidP="00AB4C09">
      <w:pPr>
        <w:jc w:val="both"/>
      </w:pPr>
      <w:r>
        <w:t xml:space="preserve">– d’autre part </w:t>
      </w:r>
      <w:r w:rsidRPr="006E0EB2">
        <w:t>toutes les traductions latines présentes dans l’édition de Kühn (</w:t>
      </w:r>
      <w:r w:rsidR="00D72539">
        <w:t xml:space="preserve">118 traités couvrant </w:t>
      </w:r>
      <w:r w:rsidR="00D72539" w:rsidRPr="00F20B26">
        <w:t>1</w:t>
      </w:r>
      <w:r w:rsidR="00D72539">
        <w:t>8</w:t>
      </w:r>
      <w:r w:rsidR="00D72539" w:rsidRPr="00F20B26">
        <w:t> 1</w:t>
      </w:r>
      <w:r w:rsidR="00D72539">
        <w:t>70</w:t>
      </w:r>
      <w:r w:rsidR="00D72539" w:rsidRPr="00F20B26">
        <w:t xml:space="preserve"> demi-pages</w:t>
      </w:r>
      <w:r w:rsidRPr="006E0EB2">
        <w:t>)</w:t>
      </w:r>
      <w:r w:rsidR="00F14363">
        <w:rPr>
          <w:rStyle w:val="Appelnotedebasdep"/>
        </w:rPr>
        <w:footnoteReference w:id="6"/>
      </w:r>
      <w:r w:rsidR="00F14363">
        <w:t>.</w:t>
      </w:r>
    </w:p>
    <w:p w14:paraId="328C8974" w14:textId="2AD9AAD8" w:rsidR="00F14363" w:rsidRDefault="00F14363" w:rsidP="00AB4C09">
      <w:pPr>
        <w:jc w:val="both"/>
      </w:pPr>
      <w:r>
        <w:t xml:space="preserve">Toute proposition pour enrichir Galenus verbatim de textes libres de droits est la bienvenue. </w:t>
      </w:r>
    </w:p>
    <w:p w14:paraId="61F050CF" w14:textId="77777777" w:rsidR="00AB4C09" w:rsidRDefault="00AB4C09" w:rsidP="00AB4C09"/>
    <w:p w14:paraId="46ADDD22" w14:textId="0134406E" w:rsidR="00AB4C09" w:rsidRDefault="00AB4C09" w:rsidP="00AB4C09">
      <w:pPr>
        <w:pStyle w:val="Titre2"/>
      </w:pPr>
      <w:r>
        <w:t>Ces textes font-ils autorité ?</w:t>
      </w:r>
    </w:p>
    <w:p w14:paraId="5775D7E1" w14:textId="47B2EC1B" w:rsidR="00AB4C09" w:rsidRDefault="00F14363" w:rsidP="00F14363">
      <w:r>
        <w:t xml:space="preserve">Le texte de Kühn fait encore autorité pour les traités qui n’ont pas encore fait l’objet d’une édition critique. Pour les autres traités, il est </w:t>
      </w:r>
      <w:r w:rsidR="001D6997">
        <w:t xml:space="preserve">nécessaire de consulter </w:t>
      </w:r>
      <w:r w:rsidR="00552739">
        <w:t xml:space="preserve">l’édition critique, qui </w:t>
      </w:r>
      <w:r w:rsidR="006D3877">
        <w:t>n’est pas toujours</w:t>
      </w:r>
      <w:r w:rsidR="00552739">
        <w:t xml:space="preserve"> disponible en ligne</w:t>
      </w:r>
      <w:r w:rsidR="00FB78FA">
        <w:t xml:space="preserve"> : voir, dans le cartouche situé au-dessus du texte, la rubrique « editio critica », qui donne le nom de l’éditeur et la date d’édition ; les indications bibliographiques complètes se trouvent dans la bibliothèque Zotero associée, section </w:t>
      </w:r>
      <w:hyperlink r:id="rId18" w:history="1">
        <w:r w:rsidR="00D72539" w:rsidRPr="00CB42FB">
          <w:rPr>
            <w:rStyle w:val="Lienhypertexte"/>
            <w:lang w:val="fr-FR"/>
          </w:rPr>
          <w:t>Editiones</w:t>
        </w:r>
        <w:r w:rsidR="00D72539">
          <w:rPr>
            <w:rStyle w:val="Lienhypertexte"/>
            <w:lang w:val="fr-FR"/>
          </w:rPr>
          <w:t xml:space="preserve"> </w:t>
        </w:r>
        <w:r w:rsidR="00D72539" w:rsidRPr="00CB42FB">
          <w:rPr>
            <w:rStyle w:val="Lienhypertexte"/>
            <w:lang w:val="fr-FR"/>
          </w:rPr>
          <w:t>criticae</w:t>
        </w:r>
      </w:hyperlink>
      <w:r w:rsidR="00FB78FA">
        <w:rPr>
          <w:rStyle w:val="Appelnotedebasdep"/>
        </w:rPr>
        <w:footnoteReference w:id="7"/>
      </w:r>
      <w:r w:rsidR="00552739">
        <w:t>.</w:t>
      </w:r>
    </w:p>
    <w:p w14:paraId="5A61A6DC" w14:textId="77777777" w:rsidR="00F14363" w:rsidRPr="00F14363" w:rsidRDefault="00F14363" w:rsidP="00F14363"/>
    <w:p w14:paraId="026CF2A8" w14:textId="17093653" w:rsidR="00AB4C09" w:rsidRPr="006E0EB2" w:rsidRDefault="00AB4C09" w:rsidP="00AB4C09">
      <w:pPr>
        <w:pStyle w:val="Titre2"/>
      </w:pPr>
      <w:r>
        <w:t>Comment citer une œuvre galénique ?</w:t>
      </w:r>
    </w:p>
    <w:p w14:paraId="46F43136" w14:textId="633FB8D1" w:rsidR="00C7594A" w:rsidRDefault="00C7594A" w:rsidP="00AB4C09">
      <w:r>
        <w:t>Que le texte bénéficie ou non d’une édition critique, il est nécessaire de mentionner entre parenthèses les numéros d</w:t>
      </w:r>
      <w:r w:rsidR="00EE1DAE">
        <w:t>u</w:t>
      </w:r>
      <w:r>
        <w:t xml:space="preserve"> </w:t>
      </w:r>
      <w:r w:rsidR="00EE1DAE">
        <w:rPr>
          <w:b/>
          <w:bCs/>
        </w:rPr>
        <w:t>volume</w:t>
      </w:r>
      <w:r w:rsidRPr="00EE1DAE">
        <w:t xml:space="preserve">, </w:t>
      </w:r>
      <w:r w:rsidR="00EE1DAE" w:rsidRPr="00EE1DAE">
        <w:t xml:space="preserve">de la </w:t>
      </w:r>
      <w:r w:rsidRPr="00EE1DAE">
        <w:rPr>
          <w:b/>
          <w:bCs/>
        </w:rPr>
        <w:t>page</w:t>
      </w:r>
      <w:r w:rsidR="00EE1DAE" w:rsidRPr="00EE1DAE">
        <w:t xml:space="preserve"> et de la</w:t>
      </w:r>
      <w:r w:rsidRPr="00EE1DAE">
        <w:t xml:space="preserve"> </w:t>
      </w:r>
      <w:r w:rsidRPr="00EE1DAE">
        <w:rPr>
          <w:b/>
          <w:bCs/>
        </w:rPr>
        <w:t>ligne de l’édition Kühn</w:t>
      </w:r>
      <w:r w:rsidR="00EE1DAE" w:rsidRPr="00EE1DAE">
        <w:t xml:space="preserve"> où il se trouve</w:t>
      </w:r>
      <w:r w:rsidR="00EE1DAE">
        <w:t xml:space="preserve"> (le cas échéant)</w:t>
      </w:r>
      <w:r w:rsidRPr="00EE1DAE">
        <w:t>,</w:t>
      </w:r>
      <w:r>
        <w:t xml:space="preserve"> suivis de « Kühn » ou même </w:t>
      </w:r>
      <w:r w:rsidR="00B90FA5">
        <w:t>d’</w:t>
      </w:r>
      <w:r>
        <w:t>un simple « K ».</w:t>
      </w:r>
    </w:p>
    <w:p w14:paraId="6C1E3496" w14:textId="32D139B7" w:rsidR="00AC70F7" w:rsidRDefault="00C7594A" w:rsidP="00AB4C09">
      <w:r>
        <w:t xml:space="preserve">En revanche, cette mention qui sert simplement à repérer la </w:t>
      </w:r>
      <w:r w:rsidRPr="00471740">
        <w:rPr>
          <w:i/>
          <w:iCs/>
        </w:rPr>
        <w:t>localisation</w:t>
      </w:r>
      <w:r>
        <w:t xml:space="preserve"> d’un texte au sein d’un ensemble de volumes ne suffit pas : il convient, comme pour tout</w:t>
      </w:r>
      <w:r w:rsidR="00C56140">
        <w:t xml:space="preserve"> texte ancien</w:t>
      </w:r>
      <w:r>
        <w:t>, de donner</w:t>
      </w:r>
      <w:r w:rsidR="005E1AD7">
        <w:t xml:space="preserve"> également</w:t>
      </w:r>
      <w:r>
        <w:t xml:space="preserve"> le </w:t>
      </w:r>
      <w:r w:rsidRPr="007D2FD6">
        <w:rPr>
          <w:b/>
          <w:bCs/>
        </w:rPr>
        <w:t>titre du traité</w:t>
      </w:r>
      <w:r w:rsidR="00C56140">
        <w:t xml:space="preserve"> </w:t>
      </w:r>
      <w:r w:rsidR="00471740">
        <w:t xml:space="preserve">et d’indiquer la place du passage cité en fonction de la </w:t>
      </w:r>
      <w:r w:rsidR="00471740" w:rsidRPr="00471740">
        <w:rPr>
          <w:i/>
          <w:iCs/>
        </w:rPr>
        <w:t>division logique</w:t>
      </w:r>
      <w:r w:rsidR="00471740">
        <w:t xml:space="preserve"> de l’œuvre, en mentionnant </w:t>
      </w:r>
      <w:r w:rsidR="00C56140">
        <w:t xml:space="preserve">les numéros de </w:t>
      </w:r>
      <w:r w:rsidR="00C56140" w:rsidRPr="00EE1DAE">
        <w:rPr>
          <w:b/>
          <w:bCs/>
        </w:rPr>
        <w:t>livre</w:t>
      </w:r>
      <w:r w:rsidR="00C56140">
        <w:t xml:space="preserve">, de </w:t>
      </w:r>
      <w:r w:rsidR="00C56140" w:rsidRPr="00EE1DAE">
        <w:rPr>
          <w:b/>
          <w:bCs/>
        </w:rPr>
        <w:t>chapitre</w:t>
      </w:r>
      <w:r w:rsidR="00C56140">
        <w:t xml:space="preserve"> et éventuellement de </w:t>
      </w:r>
      <w:r w:rsidR="00C56140" w:rsidRPr="00EE1DAE">
        <w:rPr>
          <w:b/>
          <w:bCs/>
        </w:rPr>
        <w:t>section</w:t>
      </w:r>
      <w:r w:rsidR="00C56140">
        <w:t xml:space="preserve"> où </w:t>
      </w:r>
      <w:r w:rsidR="00471740">
        <w:t xml:space="preserve">il </w:t>
      </w:r>
      <w:r w:rsidR="00C56140">
        <w:t>se trouve.</w:t>
      </w:r>
    </w:p>
    <w:p w14:paraId="2A44A3BA" w14:textId="6221B77E" w:rsidR="00AC70F7" w:rsidRDefault="00AC70F7" w:rsidP="00AB4C09">
      <w:r>
        <w:t xml:space="preserve">Dans Galenus verbatim, </w:t>
      </w:r>
      <w:r w:rsidRPr="00E447DD">
        <w:rPr>
          <w:lang w:val="fr-FR"/>
        </w:rPr>
        <w:t>la</w:t>
      </w:r>
      <w:r>
        <w:rPr>
          <w:lang w:val="fr-FR"/>
        </w:rPr>
        <w:t xml:space="preserve"> </w:t>
      </w:r>
      <w:hyperlink r:id="rId19" w:history="1">
        <w:r w:rsidRPr="00AC70F7">
          <w:rPr>
            <w:rStyle w:val="Lienhypertexte"/>
            <w:b/>
            <w:bCs/>
            <w:lang w:val="fr-FR"/>
          </w:rPr>
          <w:t>Table des traités galéniques et pseudo-galéniques</w:t>
        </w:r>
      </w:hyperlink>
      <w:r>
        <w:rPr>
          <w:lang w:val="fr-FR"/>
        </w:rPr>
        <w:t xml:space="preserve"> ainsi que </w:t>
      </w:r>
      <w:r w:rsidRPr="00AC70F7">
        <w:rPr>
          <w:b/>
          <w:bCs/>
          <w:lang w:val="fr-FR"/>
        </w:rPr>
        <w:t>le cartouche</w:t>
      </w:r>
      <w:r>
        <w:rPr>
          <w:lang w:val="fr-FR"/>
        </w:rPr>
        <w:t xml:space="preserve"> </w:t>
      </w:r>
      <w:r>
        <w:t>placé au-dessus du texte consulté indiquent :</w:t>
      </w:r>
    </w:p>
    <w:p w14:paraId="2A82973F" w14:textId="0CD644A1" w:rsidR="00D07B4E" w:rsidRDefault="00D07B4E" w:rsidP="004B27A2">
      <w:pPr>
        <w:pStyle w:val="Paragraphedeliste"/>
        <w:numPr>
          <w:ilvl w:val="0"/>
          <w:numId w:val="2"/>
        </w:numPr>
      </w:pPr>
      <w:r w:rsidRPr="0029174A">
        <w:rPr>
          <w:b/>
          <w:bCs/>
        </w:rPr>
        <w:t>l’attribution</w:t>
      </w:r>
      <w:r>
        <w:t xml:space="preserve"> actuelle</w:t>
      </w:r>
      <w:r w:rsidR="00736677">
        <w:t xml:space="preserve"> </w:t>
      </w:r>
      <w:r>
        <w:t>du traité à Galien</w:t>
      </w:r>
      <w:r w:rsidR="003A1233">
        <w:t xml:space="preserve"> </w:t>
      </w:r>
      <w:r w:rsidR="00AC70F7">
        <w:t>(« Galenus »</w:t>
      </w:r>
      <w:r>
        <w:t>)</w:t>
      </w:r>
      <w:r w:rsidR="00AC70F7">
        <w:t xml:space="preserve"> ou </w:t>
      </w:r>
      <w:r>
        <w:t>pas (</w:t>
      </w:r>
      <w:r w:rsidR="00AC70F7">
        <w:t>« Pseudo-Galenus »)</w:t>
      </w:r>
      <w:r w:rsidR="00736677">
        <w:t xml:space="preserve">, </w:t>
      </w:r>
      <w:r w:rsidR="00736677" w:rsidRPr="00AB4C09">
        <w:t>sur la base des connaissances les plus récentes</w:t>
      </w:r>
      <w:r w:rsidR="00736677" w:rsidRPr="00AB4C09">
        <w:rPr>
          <w:vertAlign w:val="superscript"/>
        </w:rPr>
        <w:footnoteReference w:id="8"/>
      </w:r>
      <w:r>
        <w:t> ;</w:t>
      </w:r>
    </w:p>
    <w:p w14:paraId="460A05BC" w14:textId="7B0D6B07" w:rsidR="00D07B4E" w:rsidRDefault="00D72539" w:rsidP="001D5316">
      <w:pPr>
        <w:pStyle w:val="Paragraphedeliste"/>
        <w:numPr>
          <w:ilvl w:val="0"/>
          <w:numId w:val="2"/>
        </w:numPr>
      </w:pPr>
      <w:r w:rsidRPr="00D72539">
        <w:rPr>
          <w:i/>
          <w:iCs/>
        </w:rPr>
        <w:t>sans référence bibliographique associée</w:t>
      </w:r>
      <w:r>
        <w:t xml:space="preserve">, </w:t>
      </w:r>
      <w:r w:rsidR="00D07B4E" w:rsidRPr="0029174A">
        <w:rPr>
          <w:b/>
          <w:bCs/>
        </w:rPr>
        <w:t xml:space="preserve">les titres des traités </w:t>
      </w:r>
      <w:r w:rsidR="00D07B4E" w:rsidRPr="0029174A">
        <w:rPr>
          <w:b/>
          <w:bCs/>
          <w:i/>
          <w:iCs/>
        </w:rPr>
        <w:t>qui font autorité</w:t>
      </w:r>
      <w:r w:rsidR="00D07B4E">
        <w:t>, en latin, en grec, en français et en anglais, ainsi qu</w:t>
      </w:r>
      <w:r w:rsidR="00694109">
        <w:t>’</w:t>
      </w:r>
      <w:r w:rsidR="00D07B4E">
        <w:t>e</w:t>
      </w:r>
      <w:r w:rsidR="00694109">
        <w:t>ntre parenthèses</w:t>
      </w:r>
      <w:r w:rsidR="00D07B4E">
        <w:t xml:space="preserve"> les </w:t>
      </w:r>
      <w:r w:rsidR="00D07B4E" w:rsidRPr="00E447DD">
        <w:t>abréviations de</w:t>
      </w:r>
      <w:r w:rsidR="00D07B4E">
        <w:t xml:space="preserve"> ce</w:t>
      </w:r>
      <w:r w:rsidR="00D07B4E" w:rsidRPr="00E447DD">
        <w:t xml:space="preserve">s titres </w:t>
      </w:r>
      <w:r w:rsidR="00D07B4E">
        <w:t xml:space="preserve">qui </w:t>
      </w:r>
      <w:r w:rsidR="00D07B4E" w:rsidRPr="00E447DD">
        <w:t xml:space="preserve">font autorité, en </w:t>
      </w:r>
      <w:r w:rsidR="00694109">
        <w:t>latin</w:t>
      </w:r>
      <w:r w:rsidR="00D07B4E" w:rsidRPr="00E447DD">
        <w:t xml:space="preserve"> et en anglais</w:t>
      </w:r>
      <w:r w:rsidR="00D07B4E">
        <w:rPr>
          <w:rStyle w:val="Appelnotedebasdep"/>
        </w:rPr>
        <w:footnoteReference w:id="9"/>
      </w:r>
      <w:r w:rsidR="00DA130C">
        <w:t xml:space="preserve"> </w:t>
      </w:r>
      <w:r>
        <w:t xml:space="preserve">(tandis que les titres placés </w:t>
      </w:r>
      <w:r w:rsidR="00DA130C">
        <w:t xml:space="preserve">en gras </w:t>
      </w:r>
      <w:r w:rsidR="0029174A">
        <w:t xml:space="preserve">en bas du cartouche, </w:t>
      </w:r>
      <w:r>
        <w:t xml:space="preserve">juste au-dessus </w:t>
      </w:r>
      <w:r w:rsidR="00DA130C">
        <w:t>du texte consulté</w:t>
      </w:r>
      <w:r w:rsidR="0029174A">
        <w:t xml:space="preserve">, qui sont </w:t>
      </w:r>
      <w:r>
        <w:t>accompagnés d’u</w:t>
      </w:r>
      <w:r w:rsidR="00DA130C">
        <w:t xml:space="preserve">n nom </w:t>
      </w:r>
      <w:r>
        <w:t>d’éditeur, d</w:t>
      </w:r>
      <w:r w:rsidR="00DA130C">
        <w:t>’une</w:t>
      </w:r>
      <w:r>
        <w:t xml:space="preserve"> date, </w:t>
      </w:r>
      <w:r w:rsidR="00DA130C">
        <w:t xml:space="preserve">et d’un numéro </w:t>
      </w:r>
      <w:r>
        <w:t>de volume et de page</w:t>
      </w:r>
      <w:r w:rsidR="0029174A">
        <w:t>,</w:t>
      </w:r>
      <w:r>
        <w:t xml:space="preserve"> sont ceux qui figurent sur l’édition mentionnée) </w:t>
      </w:r>
      <w:r w:rsidR="00D07B4E">
        <w:t>;</w:t>
      </w:r>
    </w:p>
    <w:p w14:paraId="3177D283" w14:textId="13F1D2A4" w:rsidR="00EE1DAE" w:rsidRDefault="00D07B4E" w:rsidP="0071790B">
      <w:pPr>
        <w:pStyle w:val="Paragraphedeliste"/>
        <w:numPr>
          <w:ilvl w:val="0"/>
          <w:numId w:val="2"/>
        </w:numPr>
      </w:pPr>
      <w:r>
        <w:t>l</w:t>
      </w:r>
      <w:r w:rsidR="00D96C0E">
        <w:t xml:space="preserve">orsqu’il existe une </w:t>
      </w:r>
      <w:r w:rsidR="00D96C0E" w:rsidRPr="0029174A">
        <w:rPr>
          <w:b/>
          <w:bCs/>
        </w:rPr>
        <w:t>édition critique</w:t>
      </w:r>
      <w:r w:rsidR="00D96C0E">
        <w:t xml:space="preserve"> de ce texte, le </w:t>
      </w:r>
      <w:r w:rsidR="00EE1DAE">
        <w:t>nom de l’éditeur et la date d’édition</w:t>
      </w:r>
      <w:r>
        <w:t xml:space="preserve">, </w:t>
      </w:r>
      <w:r w:rsidR="00D96C0E">
        <w:t>sous la rubrique « editio critica » ; les indications bibliographiques complètes se trouvent dans la bibliothèque Zotero associée, secti</w:t>
      </w:r>
      <w:r w:rsidR="0029174A">
        <w:t xml:space="preserve">on </w:t>
      </w:r>
      <w:hyperlink r:id="rId20" w:history="1">
        <w:r w:rsidR="0029174A" w:rsidRPr="00CB42FB">
          <w:rPr>
            <w:rStyle w:val="Lienhypertexte"/>
            <w:lang w:val="fr-FR"/>
          </w:rPr>
          <w:t>Editiones</w:t>
        </w:r>
        <w:r w:rsidR="0029174A">
          <w:rPr>
            <w:rStyle w:val="Lienhypertexte"/>
            <w:lang w:val="fr-FR"/>
          </w:rPr>
          <w:t xml:space="preserve"> </w:t>
        </w:r>
        <w:r w:rsidR="0029174A" w:rsidRPr="00CB42FB">
          <w:rPr>
            <w:rStyle w:val="Lienhypertexte"/>
            <w:lang w:val="fr-FR"/>
          </w:rPr>
          <w:t>criticae</w:t>
        </w:r>
      </w:hyperlink>
      <w:r w:rsidR="00D96C0E">
        <w:rPr>
          <w:rStyle w:val="Appelnotedebasdep"/>
        </w:rPr>
        <w:footnoteReference w:id="10"/>
      </w:r>
      <w:r w:rsidR="0029174A">
        <w:t>.</w:t>
      </w:r>
    </w:p>
    <w:p w14:paraId="5B8C69EF" w14:textId="6881EFB4" w:rsidR="00D07B4E" w:rsidRDefault="0029174A" w:rsidP="00A932FA">
      <w:r>
        <w:t xml:space="preserve">Par ailleurs, </w:t>
      </w:r>
      <w:r w:rsidRPr="00254520">
        <w:rPr>
          <w:b/>
          <w:bCs/>
        </w:rPr>
        <w:t>en bas du cartouche</w:t>
      </w:r>
      <w:r>
        <w:t xml:space="preserve">, juste au-dessus du texte consulté, après le titre donné par l’éditeur du texte qui est présenté, figurent </w:t>
      </w:r>
      <w:r w:rsidRPr="00D12A51">
        <w:rPr>
          <w:b/>
          <w:bCs/>
        </w:rPr>
        <w:t>en gras</w:t>
      </w:r>
      <w:r>
        <w:t xml:space="preserve"> </w:t>
      </w:r>
      <w:r w:rsidRPr="0029174A">
        <w:rPr>
          <w:b/>
          <w:bCs/>
        </w:rPr>
        <w:t>les numéros de livre</w:t>
      </w:r>
      <w:r>
        <w:t xml:space="preserve">, </w:t>
      </w:r>
      <w:r w:rsidRPr="0029174A">
        <w:rPr>
          <w:b/>
          <w:bCs/>
        </w:rPr>
        <w:t>de chapitre</w:t>
      </w:r>
      <w:r>
        <w:t xml:space="preserve"> et éventuellement </w:t>
      </w:r>
      <w:r w:rsidRPr="00D12A51">
        <w:rPr>
          <w:b/>
          <w:bCs/>
        </w:rPr>
        <w:t>de section</w:t>
      </w:r>
      <w:r>
        <w:t xml:space="preserve"> qui correspondent à la structure du texte </w:t>
      </w:r>
      <w:r w:rsidRPr="00D07B4E">
        <w:rPr>
          <w:i/>
          <w:iCs/>
        </w:rPr>
        <w:t xml:space="preserve">de l’édition </w:t>
      </w:r>
      <w:r w:rsidR="00D12A51">
        <w:rPr>
          <w:i/>
          <w:iCs/>
        </w:rPr>
        <w:t>consultée</w:t>
      </w:r>
      <w:r>
        <w:t xml:space="preserve"> (</w:t>
      </w:r>
      <w:r w:rsidR="00D12A51">
        <w:t xml:space="preserve">N.B. : </w:t>
      </w:r>
      <w:r w:rsidR="00A932FA">
        <w:t>il arrive souvent que les éditions critiques reprennent la structure en livres et chapitres de</w:t>
      </w:r>
      <w:r w:rsidR="00A932FA" w:rsidRPr="00A932FA">
        <w:t xml:space="preserve"> </w:t>
      </w:r>
      <w:r w:rsidR="00D12A51" w:rsidRPr="00A932FA">
        <w:t>l’édition de Kühn</w:t>
      </w:r>
      <w:r w:rsidR="00A932FA">
        <w:t>, mais en subdivisant les chapitres en sections</w:t>
      </w:r>
      <w:r>
        <w:t>)</w:t>
      </w:r>
      <w:r w:rsidR="00A932FA">
        <w:t>.</w:t>
      </w:r>
    </w:p>
    <w:p w14:paraId="3399E05E" w14:textId="77777777" w:rsidR="00C56140" w:rsidRDefault="00C56140" w:rsidP="00AB4C09"/>
    <w:p w14:paraId="1E2013A6" w14:textId="3F901635" w:rsidR="00C7594A" w:rsidRDefault="00C56140" w:rsidP="00AB4C09">
      <w:r>
        <w:lastRenderedPageBreak/>
        <w:t>Exemple</w:t>
      </w:r>
      <w:r w:rsidR="00BA65C0">
        <w:t>s :</w:t>
      </w:r>
    </w:p>
    <w:p w14:paraId="5C62000D" w14:textId="7AEC52EC" w:rsidR="00C56140" w:rsidRPr="00EE1DAE" w:rsidRDefault="00E447DD" w:rsidP="00AB4C09">
      <w:pPr>
        <w:rPr>
          <w:lang w:val="zu-ZA"/>
        </w:rPr>
      </w:pPr>
      <w:r>
        <w:t>– pour un texte qui ne bénéficie pas d’une édition critique</w:t>
      </w:r>
      <w:r w:rsidR="005E1AD7">
        <w:t xml:space="preserve"> : </w:t>
      </w:r>
      <w:r w:rsidR="00AE1C34">
        <w:t xml:space="preserve">l’étymologie de </w:t>
      </w:r>
      <w:r w:rsidR="00AE1C34" w:rsidRPr="00AE1C34">
        <w:t>κραιπάλ</w:t>
      </w:r>
      <w:r w:rsidR="00AE1C34">
        <w:rPr>
          <w:lang w:val="zu-ZA"/>
        </w:rPr>
        <w:t>η,</w:t>
      </w:r>
      <w:r w:rsidR="00AE1C34">
        <w:rPr>
          <w:lang w:val="fr-FR"/>
        </w:rPr>
        <w:t xml:space="preserve"> expliquée à partir de </w:t>
      </w:r>
      <w:hyperlink r:id="rId21" w:anchor="l17b.788.16" w:history="1">
        <w:r w:rsidR="00AE1C34">
          <w:rPr>
            <w:color w:val="0000FF"/>
            <w:u w:val="single"/>
          </w:rPr>
          <w:t>17b.788.16 K</w:t>
        </w:r>
      </w:hyperlink>
      <w:r w:rsidR="00AE1C34">
        <w:t xml:space="preserve">, au </w:t>
      </w:r>
      <w:r w:rsidR="00AE1C34">
        <w:rPr>
          <w:lang w:val="zu-ZA"/>
        </w:rPr>
        <w:t>chapitre 5 du 5</w:t>
      </w:r>
      <w:r w:rsidR="00AE1C34" w:rsidRPr="00DF0A66">
        <w:rPr>
          <w:vertAlign w:val="superscript"/>
          <w:lang w:val="zu-ZA"/>
        </w:rPr>
        <w:t>e</w:t>
      </w:r>
      <w:r w:rsidR="00AE1C34">
        <w:rPr>
          <w:lang w:val="zu-ZA"/>
        </w:rPr>
        <w:t xml:space="preserve"> livre</w:t>
      </w:r>
      <w:r w:rsidR="00AE1C34">
        <w:t xml:space="preserve"> du</w:t>
      </w:r>
      <w:r w:rsidR="00AE1C34" w:rsidRPr="00AE1C34">
        <w:t xml:space="preserve"> </w:t>
      </w:r>
      <w:r w:rsidR="00AE1C34" w:rsidRPr="00AE1C34">
        <w:rPr>
          <w:i/>
          <w:iCs/>
        </w:rPr>
        <w:t>Commentaire aux Aphorismes d’Hippocrate</w:t>
      </w:r>
      <w:r w:rsidR="00AE1C34">
        <w:t xml:space="preserve">, </w:t>
      </w:r>
      <w:r w:rsidR="00AE1C34">
        <w:rPr>
          <w:lang w:val="zu-ZA"/>
        </w:rPr>
        <w:t xml:space="preserve">peut être citée ainsi : </w:t>
      </w:r>
      <w:r w:rsidR="00AE1C34" w:rsidRPr="001543DB">
        <w:rPr>
          <w:b/>
          <w:bCs/>
          <w:lang w:val="zu-ZA"/>
        </w:rPr>
        <w:t xml:space="preserve">Gal., </w:t>
      </w:r>
      <w:r w:rsidR="00EE1DAE" w:rsidRPr="001543DB">
        <w:rPr>
          <w:b/>
          <w:bCs/>
          <w:i/>
          <w:iCs/>
        </w:rPr>
        <w:t>In Hipp. Aph.</w:t>
      </w:r>
      <w:r w:rsidR="00EE1DAE" w:rsidRPr="001543DB">
        <w:rPr>
          <w:b/>
          <w:bCs/>
        </w:rPr>
        <w:t xml:space="preserve"> 5.5 (17b.788</w:t>
      </w:r>
      <w:r w:rsidR="00AE1C34" w:rsidRPr="001543DB">
        <w:rPr>
          <w:b/>
          <w:bCs/>
        </w:rPr>
        <w:t>.16</w:t>
      </w:r>
      <w:r w:rsidR="00EE1DAE" w:rsidRPr="001543DB">
        <w:rPr>
          <w:b/>
          <w:bCs/>
        </w:rPr>
        <w:t>–789</w:t>
      </w:r>
      <w:r w:rsidR="00AE1C34" w:rsidRPr="001543DB">
        <w:rPr>
          <w:b/>
          <w:bCs/>
        </w:rPr>
        <w:t>.2</w:t>
      </w:r>
      <w:r w:rsidR="00EE1DAE" w:rsidRPr="001543DB">
        <w:rPr>
          <w:b/>
          <w:bCs/>
        </w:rPr>
        <w:t xml:space="preserve"> K)</w:t>
      </w:r>
      <w:r w:rsidR="00EE1DAE" w:rsidRPr="00EE1DAE">
        <w:t>.</w:t>
      </w:r>
    </w:p>
    <w:p w14:paraId="4C3AA7C8" w14:textId="5FCDDC62" w:rsidR="002F1D3F" w:rsidRPr="002F1D3F" w:rsidRDefault="002F1D3F" w:rsidP="002F1D3F">
      <w:pPr>
        <w:rPr>
          <w:lang w:val="zu-ZA"/>
        </w:rPr>
      </w:pPr>
      <w:r>
        <w:t xml:space="preserve">– pour un texte qui bénéficie d’une édition critique : la seule occurrence de </w:t>
      </w:r>
      <w:r w:rsidR="005E1AD7" w:rsidRPr="002F1D3F">
        <w:t>πέμπελο</w:t>
      </w:r>
      <w:r w:rsidR="005E1AD7">
        <w:rPr>
          <w:lang w:val="zu-ZA"/>
        </w:rPr>
        <w:t>ς</w:t>
      </w:r>
      <w:r>
        <w:rPr>
          <w:lang w:val="zu-ZA"/>
        </w:rPr>
        <w:t xml:space="preserve">, en </w:t>
      </w:r>
      <w:hyperlink r:id="rId22" w:anchor="l6.380.2" w:history="1">
        <w:r w:rsidRPr="002F1D3F">
          <w:rPr>
            <w:rStyle w:val="Lienhypertexte"/>
            <w:lang w:val="zu-ZA"/>
          </w:rPr>
          <w:t>6.380.2 K</w:t>
        </w:r>
      </w:hyperlink>
      <w:r>
        <w:rPr>
          <w:lang w:val="zu-ZA"/>
        </w:rPr>
        <w:t xml:space="preserve">, au chapitre 12 du </w:t>
      </w:r>
      <w:r w:rsidR="00DF0A66">
        <w:rPr>
          <w:lang w:val="zu-ZA"/>
        </w:rPr>
        <w:t>5</w:t>
      </w:r>
      <w:r w:rsidR="00DF0A66" w:rsidRPr="00DF0A66">
        <w:rPr>
          <w:vertAlign w:val="superscript"/>
          <w:lang w:val="zu-ZA"/>
        </w:rPr>
        <w:t>e</w:t>
      </w:r>
      <w:r w:rsidR="00DF0A66">
        <w:rPr>
          <w:lang w:val="zu-ZA"/>
        </w:rPr>
        <w:t xml:space="preserve"> </w:t>
      </w:r>
      <w:r>
        <w:rPr>
          <w:lang w:val="zu-ZA"/>
        </w:rPr>
        <w:t xml:space="preserve">livre </w:t>
      </w:r>
      <w:r w:rsidR="00DF0A66">
        <w:rPr>
          <w:lang w:val="zu-ZA"/>
        </w:rPr>
        <w:t>(</w:t>
      </w:r>
      <w:r w:rsidR="00DF0A66" w:rsidRPr="00DF0A66">
        <w:rPr>
          <w:i/>
          <w:iCs/>
        </w:rPr>
        <w:t>d</w:t>
      </w:r>
      <w:r w:rsidR="00DF0A66">
        <w:rPr>
          <w:i/>
          <w:iCs/>
        </w:rPr>
        <w:t>ans</w:t>
      </w:r>
      <w:r w:rsidR="00DF0A66" w:rsidRPr="00DF0A66">
        <w:rPr>
          <w:i/>
          <w:iCs/>
        </w:rPr>
        <w:t xml:space="preserve"> l’édition de Kühn</w:t>
      </w:r>
      <w:r w:rsidR="00DF0A66">
        <w:rPr>
          <w:lang w:val="zu-ZA"/>
        </w:rPr>
        <w:t xml:space="preserve">) </w:t>
      </w:r>
      <w:r>
        <w:rPr>
          <w:lang w:val="zu-ZA"/>
        </w:rPr>
        <w:t>du traité sur l’</w:t>
      </w:r>
      <w:r>
        <w:rPr>
          <w:rStyle w:val="Accentuation"/>
        </w:rPr>
        <w:t xml:space="preserve">Hygiène, </w:t>
      </w:r>
      <w:r>
        <w:rPr>
          <w:lang w:val="zu-ZA"/>
        </w:rPr>
        <w:t xml:space="preserve">peut être citée ainsi : </w:t>
      </w:r>
      <w:r w:rsidRPr="001543DB">
        <w:rPr>
          <w:b/>
          <w:bCs/>
          <w:lang w:val="zu-ZA"/>
        </w:rPr>
        <w:t xml:space="preserve">Gal., </w:t>
      </w:r>
      <w:r w:rsidRPr="001543DB">
        <w:rPr>
          <w:b/>
          <w:bCs/>
          <w:i/>
          <w:iCs/>
          <w:lang w:val="zu-ZA"/>
        </w:rPr>
        <w:t>De san. tuenda</w:t>
      </w:r>
      <w:r w:rsidRPr="001543DB">
        <w:rPr>
          <w:b/>
          <w:bCs/>
          <w:lang w:val="zu-ZA"/>
        </w:rPr>
        <w:t>, 5.12</w:t>
      </w:r>
      <w:r w:rsidR="005E1AD7" w:rsidRPr="001543DB">
        <w:rPr>
          <w:b/>
          <w:bCs/>
          <w:lang w:val="zu-ZA"/>
        </w:rPr>
        <w:t>.29</w:t>
      </w:r>
      <w:r w:rsidRPr="001543DB">
        <w:rPr>
          <w:b/>
          <w:bCs/>
          <w:lang w:val="zu-ZA"/>
        </w:rPr>
        <w:t xml:space="preserve"> Koch </w:t>
      </w:r>
      <w:r w:rsidR="005E1AD7" w:rsidRPr="001543DB">
        <w:rPr>
          <w:b/>
          <w:bCs/>
          <w:lang w:val="zu-ZA"/>
        </w:rPr>
        <w:t>(6.380.2 K)</w:t>
      </w:r>
      <w:r w:rsidR="005E1AD7">
        <w:rPr>
          <w:lang w:val="zu-ZA"/>
        </w:rPr>
        <w:t xml:space="preserve"> [</w:t>
      </w:r>
      <w:hyperlink r:id="rId23" w:history="1">
        <w:r w:rsidR="005E1AD7" w:rsidRPr="005E1AD7">
          <w:rPr>
            <w:rStyle w:val="Lienhypertexte"/>
            <w:lang w:val="zu-ZA"/>
          </w:rPr>
          <w:t>l’édition de Koch</w:t>
        </w:r>
      </w:hyperlink>
      <w:r w:rsidR="005E1AD7">
        <w:rPr>
          <w:lang w:val="zu-ZA"/>
        </w:rPr>
        <w:t>, comme la plupart des éditions du C</w:t>
      </w:r>
      <w:r w:rsidR="00A932FA">
        <w:rPr>
          <w:lang w:val="zu-ZA"/>
        </w:rPr>
        <w:t xml:space="preserve">orpus </w:t>
      </w:r>
      <w:r w:rsidR="005E1AD7">
        <w:rPr>
          <w:lang w:val="zu-ZA"/>
        </w:rPr>
        <w:t>M</w:t>
      </w:r>
      <w:r w:rsidR="00A932FA">
        <w:rPr>
          <w:lang w:val="zu-ZA"/>
        </w:rPr>
        <w:t xml:space="preserve">edicorum </w:t>
      </w:r>
      <w:r w:rsidR="005E1AD7">
        <w:rPr>
          <w:lang w:val="zu-ZA"/>
        </w:rPr>
        <w:t>G</w:t>
      </w:r>
      <w:r w:rsidR="00A932FA">
        <w:rPr>
          <w:lang w:val="zu-ZA"/>
        </w:rPr>
        <w:t>raecorum</w:t>
      </w:r>
      <w:r w:rsidR="005E1AD7">
        <w:rPr>
          <w:lang w:val="zu-ZA"/>
        </w:rPr>
        <w:t>, subdivise les chapitres en sections]</w:t>
      </w:r>
      <w:r w:rsidR="00AE1C34">
        <w:rPr>
          <w:lang w:val="zu-ZA"/>
        </w:rPr>
        <w:t>.</w:t>
      </w:r>
    </w:p>
    <w:p w14:paraId="7EC5B991" w14:textId="54C03968" w:rsidR="00AB4C09" w:rsidRPr="001D46FD" w:rsidRDefault="00AB4C09" w:rsidP="00AB4C09"/>
    <w:sectPr w:rsidR="00AB4C09"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113F" w14:textId="77777777" w:rsidR="008527A7" w:rsidRDefault="008527A7">
      <w:r>
        <w:separator/>
      </w:r>
    </w:p>
  </w:endnote>
  <w:endnote w:type="continuationSeparator" w:id="0">
    <w:p w14:paraId="26333C36" w14:textId="77777777" w:rsidR="008527A7" w:rsidRDefault="0085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D38EA" w14:textId="77777777" w:rsidR="008527A7" w:rsidRDefault="008527A7">
      <w:pPr>
        <w:rPr>
          <w:sz w:val="12"/>
        </w:rPr>
      </w:pPr>
      <w:r>
        <w:separator/>
      </w:r>
    </w:p>
  </w:footnote>
  <w:footnote w:type="continuationSeparator" w:id="0">
    <w:p w14:paraId="0A3BFFE2" w14:textId="77777777" w:rsidR="008527A7" w:rsidRDefault="008527A7">
      <w:pPr>
        <w:rPr>
          <w:sz w:val="12"/>
        </w:rPr>
      </w:pPr>
      <w:r>
        <w:continuationSeparator/>
      </w:r>
    </w:p>
  </w:footnote>
  <w:footnote w:id="1">
    <w:p w14:paraId="0040AACD" w14:textId="0D10D3CF" w:rsidR="00294B7F" w:rsidRDefault="00294B7F" w:rsidP="00294B7F">
      <w:pPr>
        <w:pStyle w:val="Notedebasdepage"/>
        <w:rPr>
          <w:rFonts w:hint="eastAsia"/>
        </w:rPr>
      </w:pPr>
      <w:r>
        <w:rPr>
          <w:rStyle w:val="Caractresdenotedebasdepage"/>
        </w:rPr>
        <w:footnoteRef/>
      </w:r>
      <w:r>
        <w:tab/>
        <w:t>Sur l’importance de ces</w:t>
      </w:r>
      <w:r w:rsidR="007B7551">
        <w:t xml:space="preserve"> deux</w:t>
      </w:r>
      <w:r>
        <w:t xml:space="preserve"> éditions, et de manière générale sur </w:t>
      </w:r>
      <w:r w:rsidRPr="00294B7F">
        <w:t xml:space="preserve">l’esprit de ce projet et sur les développements ultérieurs prévus, voir le billet </w:t>
      </w:r>
      <w:hyperlink r:id="rId1" w:history="1">
        <w:r w:rsidRPr="00294B7F">
          <w:rPr>
            <w:rStyle w:val="Lienhypertexte"/>
          </w:rPr>
          <w:t>Galenus verbatim</w:t>
        </w:r>
      </w:hyperlink>
      <w:r w:rsidRPr="00294B7F">
        <w:t xml:space="preserve"> dans le carnet de recherche </w:t>
      </w:r>
      <w:r w:rsidRPr="00294B7F">
        <w:rPr>
          <w:i/>
          <w:iCs/>
        </w:rPr>
        <w:t>Etymologika</w:t>
      </w:r>
      <w:r>
        <w:t>, avec la bibliographie.</w:t>
      </w:r>
    </w:p>
  </w:footnote>
  <w:footnote w:id="2">
    <w:p w14:paraId="5CA8611E" w14:textId="77777777" w:rsidR="009058D6" w:rsidRDefault="009058D6" w:rsidP="009058D6">
      <w:pPr>
        <w:pStyle w:val="Notedebasdepage"/>
        <w:rPr>
          <w:rFonts w:hint="eastAsia"/>
        </w:rPr>
      </w:pPr>
      <w:r>
        <w:rPr>
          <w:rStyle w:val="Caractresdenotedebasdepage"/>
        </w:rPr>
        <w:footnoteRef/>
      </w:r>
      <w:r>
        <w:rPr>
          <w:rStyle w:val="Accentuation"/>
        </w:rPr>
        <w:tab/>
      </w:r>
      <w:r>
        <w:rPr>
          <w:rStyle w:val="Accentuation"/>
          <w:i w:val="0"/>
          <w:iCs w:val="0"/>
        </w:rPr>
        <w:t xml:space="preserve">Sur l’esprit et l’histoire de ce projet, voir L. </w:t>
      </w:r>
      <w:r w:rsidRPr="002E4701">
        <w:rPr>
          <w:rStyle w:val="Accentuation"/>
          <w:i w:val="0"/>
          <w:iCs w:val="0"/>
        </w:rPr>
        <w:t xml:space="preserve">Muellner, </w:t>
      </w:r>
      <w:hyperlink r:id="rId2" w:history="1">
        <w:r w:rsidRPr="002E4701">
          <w:rPr>
            <w:rStyle w:val="Lienhypertexte"/>
          </w:rPr>
          <w:t>The Free First Thousand Years of Greek</w:t>
        </w:r>
      </w:hyperlink>
      <w:r>
        <w:rPr>
          <w:rStyle w:val="Accentuation"/>
          <w:i w:val="0"/>
          <w:iCs w:val="0"/>
        </w:rPr>
        <w:t xml:space="preserve">, dans M. Berti (dir.), </w:t>
      </w:r>
      <w:r w:rsidRPr="002E4701">
        <w:rPr>
          <w:rStyle w:val="Accentuation"/>
        </w:rPr>
        <w:t>Digital Classical Philology. Ancient Greek and Latin in the Digital Revolution</w:t>
      </w:r>
      <w:r w:rsidRPr="002E4701">
        <w:rPr>
          <w:rStyle w:val="Accentuation"/>
          <w:i w:val="0"/>
          <w:iCs w:val="0"/>
        </w:rPr>
        <w:t>, Berlin</w:t>
      </w:r>
      <w:r>
        <w:t>–</w:t>
      </w:r>
      <w:r w:rsidRPr="002E4701">
        <w:rPr>
          <w:rStyle w:val="Accentuation"/>
          <w:i w:val="0"/>
          <w:iCs w:val="0"/>
        </w:rPr>
        <w:t>Boston: De Gruyter Saur, 2019, p. 7-18</w:t>
      </w:r>
      <w:r>
        <w:rPr>
          <w:rStyle w:val="Accentuation"/>
          <w:i w:val="0"/>
          <w:iCs w:val="0"/>
        </w:rPr>
        <w:t xml:space="preserve"> (Open Access).</w:t>
      </w:r>
    </w:p>
  </w:footnote>
  <w:footnote w:id="3">
    <w:p w14:paraId="48A3A81A" w14:textId="4308D999" w:rsidR="00AB4C09" w:rsidRDefault="00AB4C09" w:rsidP="00AB4C09">
      <w:pPr>
        <w:pStyle w:val="Notedebasdepage"/>
        <w:rPr>
          <w:rFonts w:hint="eastAsia"/>
        </w:rPr>
      </w:pPr>
      <w:r>
        <w:footnoteRef/>
      </w:r>
      <w:r>
        <w:tab/>
      </w:r>
      <w:r w:rsidR="00F14363" w:rsidRPr="00F14363">
        <w:rPr>
          <w:rFonts w:ascii="Liberation Serif" w:hAnsi="Liberation Serif"/>
          <w:sz w:val="24"/>
          <w:szCs w:val="24"/>
        </w:rPr>
        <w:t>La Perseus Digital Library exclut en revanche à juste titre le traité</w:t>
      </w:r>
      <w:r w:rsidR="00F14363" w:rsidRPr="00F14363">
        <w:rPr>
          <w:rFonts w:ascii="Liberation Serif" w:hAnsi="Liberation Serif"/>
          <w:i/>
          <w:iCs/>
          <w:sz w:val="24"/>
          <w:szCs w:val="24"/>
        </w:rPr>
        <w:t xml:space="preserve"> In Hippocratis De alimento commentaria</w:t>
      </w:r>
      <w:r w:rsidR="00F14363" w:rsidRPr="00F14363">
        <w:rPr>
          <w:rFonts w:ascii="Liberation Serif" w:hAnsi="Liberation Serif"/>
          <w:sz w:val="24"/>
          <w:szCs w:val="24"/>
        </w:rPr>
        <w:t>, vol. 15, p. 224-417, qu’il est curieux de trouver dans le Digital Corpus for Graeco-Arabic Studies, alors qu’il s’agit d’un faux de la Renaissance (voir Fichtner-Bibliographie, n° </w:t>
      </w:r>
      <w:hyperlink r:id="rId3" w:anchor="5Fbookmark72" w:tgtFrame="_top">
        <w:r w:rsidR="00F14363" w:rsidRPr="00F14363">
          <w:rPr>
            <w:rFonts w:ascii="Liberation Serif" w:hAnsi="Liberation Serif"/>
            <w:color w:val="000080"/>
            <w:sz w:val="24"/>
            <w:szCs w:val="24"/>
            <w:u w:val="single"/>
          </w:rPr>
          <w:t>72</w:t>
        </w:r>
      </w:hyperlink>
      <w:r w:rsidR="00F14363" w:rsidRPr="00F14363">
        <w:rPr>
          <w:rFonts w:ascii="Liberation Serif" w:hAnsi="Liberation Serif"/>
          <w:sz w:val="24"/>
          <w:szCs w:val="24"/>
        </w:rPr>
        <w:t xml:space="preserve">), et que ce corpus ne reprend pas, à juste titre, les deux autres faux de la même époque présents dans l’édition de Kühn, </w:t>
      </w:r>
      <w:r w:rsidR="00F14363" w:rsidRPr="00F14363">
        <w:rPr>
          <w:rFonts w:ascii="Liberation Serif" w:hAnsi="Liberation Serif"/>
          <w:i/>
          <w:iCs/>
          <w:sz w:val="24"/>
          <w:szCs w:val="24"/>
        </w:rPr>
        <w:t>In Hippocratis De humoribus commentaria</w:t>
      </w:r>
      <w:r w:rsidR="00F14363" w:rsidRPr="00F14363">
        <w:rPr>
          <w:rFonts w:ascii="Liberation Serif" w:hAnsi="Liberation Serif"/>
          <w:sz w:val="24"/>
          <w:szCs w:val="24"/>
        </w:rPr>
        <w:t>, vol. 16, p. 1-488 (voir Fichtner-Bibliographie, n° </w:t>
      </w:r>
      <w:hyperlink r:id="rId4" w:anchor="5Fbookmark94" w:tgtFrame="_top">
        <w:r w:rsidR="00F14363" w:rsidRPr="00F14363">
          <w:rPr>
            <w:rFonts w:ascii="Liberation Serif" w:hAnsi="Liberation Serif"/>
            <w:color w:val="000080"/>
            <w:sz w:val="24"/>
            <w:szCs w:val="24"/>
            <w:u w:val="single"/>
          </w:rPr>
          <w:t>94</w:t>
        </w:r>
      </w:hyperlink>
      <w:r w:rsidR="00F14363" w:rsidRPr="00F14363">
        <w:rPr>
          <w:rFonts w:ascii="Liberation Serif" w:hAnsi="Liberation Serif"/>
          <w:sz w:val="24"/>
          <w:szCs w:val="24"/>
        </w:rPr>
        <w:t xml:space="preserve">) et </w:t>
      </w:r>
      <w:r w:rsidR="00F14363" w:rsidRPr="00F14363">
        <w:rPr>
          <w:rFonts w:ascii="Liberation Serif" w:hAnsi="Liberation Serif"/>
          <w:i/>
          <w:iCs/>
          <w:sz w:val="24"/>
          <w:szCs w:val="24"/>
        </w:rPr>
        <w:t>In Hippocratis Epidemias II commentaria</w:t>
      </w:r>
      <w:r w:rsidR="00F14363" w:rsidRPr="00F14363">
        <w:rPr>
          <w:rFonts w:ascii="Liberation Serif" w:hAnsi="Liberation Serif"/>
          <w:sz w:val="24"/>
          <w:szCs w:val="24"/>
        </w:rPr>
        <w:t xml:space="preserve">, vol. 17a, p. 303-479 (voir </w:t>
      </w:r>
      <w:r w:rsidR="00F14363" w:rsidRPr="00F14363">
        <w:rPr>
          <w:rFonts w:ascii="Liberation Serif" w:hAnsi="Liberation Serif"/>
          <w:i/>
          <w:iCs/>
          <w:sz w:val="24"/>
          <w:szCs w:val="24"/>
        </w:rPr>
        <w:t>Galeni In Hippocratis Epidemiarum librum II commentariorum I-VI</w:t>
      </w:r>
      <w:r w:rsidR="00F14363" w:rsidRPr="00F14363">
        <w:rPr>
          <w:rFonts w:ascii="Liberation Serif" w:hAnsi="Liberation Serif"/>
          <w:sz w:val="24"/>
          <w:szCs w:val="24"/>
        </w:rPr>
        <w:t xml:space="preserve"> versionem Arabicam, edidit, in linguam Anglicam vertit U. Vagelpohl adiuvante S. Swain, </w:t>
      </w:r>
      <w:hyperlink r:id="rId5" w:tgtFrame="_top">
        <w:r w:rsidR="00F14363" w:rsidRPr="00F14363">
          <w:rPr>
            <w:rFonts w:ascii="Liberation Serif" w:hAnsi="Liberation Serif"/>
            <w:color w:val="000080"/>
            <w:sz w:val="24"/>
            <w:szCs w:val="24"/>
            <w:u w:val="single"/>
          </w:rPr>
          <w:t>CMG Suppl. Or. V 2</w:t>
        </w:r>
      </w:hyperlink>
      <w:r w:rsidR="00F14363" w:rsidRPr="00F14363">
        <w:rPr>
          <w:rFonts w:ascii="Liberation Serif" w:hAnsi="Liberation Serif"/>
          <w:sz w:val="24"/>
          <w:szCs w:val="24"/>
        </w:rPr>
        <w:t>, Berlin, 2016, p. 15-16).</w:t>
      </w:r>
    </w:p>
  </w:footnote>
  <w:footnote w:id="4">
    <w:p w14:paraId="4974DA04" w14:textId="00ED9194" w:rsidR="00AB4C09" w:rsidRDefault="00AB4C09" w:rsidP="00AB4C09">
      <w:pPr>
        <w:pStyle w:val="Notedebasdepage"/>
        <w:rPr>
          <w:rFonts w:hint="eastAsia"/>
        </w:rPr>
      </w:pPr>
      <w:r>
        <w:footnoteRef/>
      </w:r>
      <w:r>
        <w:rPr>
          <w:rStyle w:val="Accentuation"/>
        </w:rPr>
        <w:tab/>
      </w:r>
      <w:r w:rsidR="00F14363" w:rsidRPr="00F14363">
        <w:rPr>
          <w:rFonts w:ascii="Liberation Serif" w:hAnsi="Liberation Serif"/>
          <w:i/>
          <w:iCs/>
          <w:sz w:val="24"/>
          <w:szCs w:val="24"/>
        </w:rPr>
        <w:t>De venereis</w:t>
      </w:r>
      <w:r w:rsidR="00F14363" w:rsidRPr="00F14363">
        <w:rPr>
          <w:rFonts w:ascii="Liberation Serif" w:hAnsi="Liberation Serif"/>
          <w:sz w:val="24"/>
          <w:szCs w:val="24"/>
        </w:rPr>
        <w:t xml:space="preserve"> (urn:cts:greekLit:tlg0057.tlg035.1st1K-grc2), vol. 5, p. 911-914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p. 187.27 – 189.4 Raeder : voir Fichtner-Bibliographie, n° </w:t>
      </w:r>
      <w:hyperlink r:id="rId6" w:anchor="5Fbookmark36" w:history="1">
        <w:r w:rsidR="00F14363" w:rsidRPr="00F14363">
          <w:rPr>
            <w:rFonts w:ascii="Liberation Serif" w:hAnsi="Liberation Serif"/>
            <w:color w:val="000080"/>
            <w:sz w:val="24"/>
            <w:szCs w:val="24"/>
            <w:u w:val="single"/>
          </w:rPr>
          <w:t>36</w:t>
        </w:r>
      </w:hyperlink>
      <w:r w:rsidR="00F14363" w:rsidRPr="00F14363">
        <w:rPr>
          <w:rFonts w:ascii="Liberation Serif" w:hAnsi="Liberation Serif"/>
          <w:sz w:val="24"/>
          <w:szCs w:val="24"/>
        </w:rPr>
        <w:t xml:space="preserve">) ; </w:t>
      </w:r>
      <w:r w:rsidR="00F14363" w:rsidRPr="00F14363">
        <w:rPr>
          <w:rFonts w:ascii="Liberation Serif" w:hAnsi="Liberation Serif"/>
          <w:i/>
          <w:iCs/>
          <w:sz w:val="24"/>
          <w:szCs w:val="24"/>
        </w:rPr>
        <w:t>Quos quibus catharticis medicamentis et quando purgare oporteat</w:t>
      </w:r>
      <w:r w:rsidR="00F14363" w:rsidRPr="00F14363">
        <w:rPr>
          <w:rFonts w:ascii="Liberation Serif" w:hAnsi="Liberation Serif"/>
          <w:sz w:val="24"/>
          <w:szCs w:val="24"/>
        </w:rPr>
        <w:t xml:space="preserve"> (urn:cts:greekLit:tlg0057.tlg073.1st1K-grc1), vol. 11, p. 343-356 (= Oribase, </w:t>
      </w:r>
      <w:r w:rsidR="00F14363" w:rsidRPr="00F14363">
        <w:rPr>
          <w:rFonts w:ascii="Liberation Serif" w:hAnsi="Liberation Serif"/>
          <w:i/>
          <w:iCs/>
          <w:sz w:val="24"/>
          <w:szCs w:val="24"/>
        </w:rPr>
        <w:t>Collections médicales</w:t>
      </w:r>
      <w:r w:rsidR="00F14363" w:rsidRPr="00F14363">
        <w:rPr>
          <w:rFonts w:ascii="Liberation Serif" w:hAnsi="Liberation Serif"/>
          <w:sz w:val="24"/>
          <w:szCs w:val="24"/>
        </w:rPr>
        <w:t xml:space="preserve">, p. 221.10 – 227.10 Raeder : voir Fichtner-Bibliographie, n° </w:t>
      </w:r>
      <w:hyperlink r:id="rId7" w:anchor="5Fbookmark76" w:history="1">
        <w:r w:rsidR="00F14363" w:rsidRPr="00F14363">
          <w:rPr>
            <w:rFonts w:ascii="Liberation Serif" w:hAnsi="Liberation Serif"/>
            <w:color w:val="000080"/>
            <w:sz w:val="24"/>
            <w:szCs w:val="24"/>
            <w:u w:val="single"/>
          </w:rPr>
          <w:t>76</w:t>
        </w:r>
      </w:hyperlink>
      <w:r w:rsidR="00F14363" w:rsidRPr="00F14363">
        <w:rPr>
          <w:rFonts w:ascii="Liberation Serif" w:hAnsi="Liberation Serif"/>
          <w:sz w:val="24"/>
          <w:szCs w:val="24"/>
        </w:rPr>
        <w:t>).</w:t>
      </w:r>
    </w:p>
  </w:footnote>
  <w:footnote w:id="5">
    <w:p w14:paraId="3CB311F1" w14:textId="5D9C3BF4" w:rsidR="00445FA1" w:rsidRDefault="00445FA1" w:rsidP="00445FA1">
      <w:pPr>
        <w:pStyle w:val="Notedebasdepage"/>
        <w:rPr>
          <w:rFonts w:hint="eastAsia"/>
        </w:rPr>
      </w:pPr>
      <w:r>
        <w:rPr>
          <w:rStyle w:val="Caractresdenotedebasdepage"/>
        </w:rPr>
        <w:footnoteRef/>
      </w:r>
      <w:r>
        <w:tab/>
        <w:t>En excluant les compilations : voir</w:t>
      </w:r>
      <w:r w:rsidR="00D72539">
        <w:t xml:space="preserve"> </w:t>
      </w:r>
      <w:r w:rsidR="00D72539" w:rsidRPr="00D72539">
        <w:rPr>
          <w:i/>
          <w:iCs/>
        </w:rPr>
        <w:t>supra</w:t>
      </w:r>
      <w:r w:rsidR="00D72539">
        <w:t>.</w:t>
      </w:r>
    </w:p>
  </w:footnote>
  <w:footnote w:id="6">
    <w:p w14:paraId="5E09B474" w14:textId="47CEA4FC" w:rsidR="00F14363" w:rsidRDefault="00F14363" w:rsidP="00F14363">
      <w:pPr>
        <w:pStyle w:val="Notedebasdepage"/>
        <w:rPr>
          <w:rFonts w:hint="eastAsia"/>
        </w:rPr>
      </w:pPr>
      <w:r>
        <w:rPr>
          <w:rStyle w:val="Caractresdenotedebasdepage"/>
        </w:rPr>
        <w:footnoteRef/>
      </w:r>
      <w:r>
        <w:tab/>
        <w:t>En excluant les faux et les compilations : voir</w:t>
      </w:r>
      <w:r w:rsidR="00D72539">
        <w:t xml:space="preserve"> </w:t>
      </w:r>
      <w:r w:rsidR="00D72539" w:rsidRPr="00D72539">
        <w:rPr>
          <w:i/>
          <w:iCs/>
        </w:rPr>
        <w:t>supra</w:t>
      </w:r>
      <w:r w:rsidR="00D72539">
        <w:t>.</w:t>
      </w:r>
    </w:p>
  </w:footnote>
  <w:footnote w:id="7">
    <w:p w14:paraId="0F660E77" w14:textId="2BEF5A0E" w:rsidR="00FB78FA" w:rsidRPr="006847A9" w:rsidRDefault="00FB78FA" w:rsidP="00FB78FA">
      <w:pPr>
        <w:pStyle w:val="Notedebasdepage"/>
        <w:rPr>
          <w:rFonts w:hint="eastAsia"/>
          <w:lang w:val="de-DE"/>
        </w:rPr>
      </w:pPr>
      <w:r>
        <w:rPr>
          <w:rStyle w:val="Caractresdenotedebasdepage"/>
        </w:rPr>
        <w:footnoteRef/>
      </w:r>
      <w:r w:rsidRPr="006847A9">
        <w:rPr>
          <w:lang w:val="de-DE"/>
        </w:rPr>
        <w:tab/>
      </w:r>
      <w:r>
        <w:rPr>
          <w:lang w:val="de-DE"/>
        </w:rPr>
        <w:t xml:space="preserve">Ces informations sont tirées de </w:t>
      </w:r>
      <w:r w:rsidRPr="006847A9">
        <w:rPr>
          <w:lang w:val="de-DE"/>
        </w:rPr>
        <w:t xml:space="preserve">la </w:t>
      </w:r>
      <w:r>
        <w:rPr>
          <w:lang w:val="de-DE"/>
        </w:rPr>
        <w:t xml:space="preserve">version </w:t>
      </w:r>
      <w:r w:rsidRPr="00FB78FA">
        <w:rPr>
          <w:lang w:val="de-DE"/>
        </w:rPr>
        <w:t>2019/12</w:t>
      </w:r>
      <w:r>
        <w:rPr>
          <w:lang w:val="de-DE"/>
        </w:rPr>
        <w:t xml:space="preserve"> de la </w:t>
      </w:r>
      <w:hyperlink r:id="rId8" w:history="1">
        <w:r w:rsidRPr="00432E92">
          <w:rPr>
            <w:rStyle w:val="Lienhypertexte"/>
          </w:rPr>
          <w:t>Fichtner-Bibliographie</w:t>
        </w:r>
      </w:hyperlink>
      <w:r w:rsidRPr="006847A9">
        <w:rPr>
          <w:lang w:val="de-DE"/>
        </w:rPr>
        <w:t xml:space="preserve"> du Corpus Medicorum Graecorum de Berlin</w:t>
      </w:r>
      <w:r>
        <w:rPr>
          <w:lang w:val="de-DE"/>
        </w:rPr>
        <w:t>. La dernière mise à jour (version 2023/12) sera prochainement prise en compte.</w:t>
      </w:r>
    </w:p>
  </w:footnote>
  <w:footnote w:id="8">
    <w:p w14:paraId="0B9C78E3" w14:textId="1712228E" w:rsidR="00736677" w:rsidRPr="006847A9" w:rsidRDefault="00736677" w:rsidP="00736677">
      <w:pPr>
        <w:pStyle w:val="Notedebasdepage"/>
        <w:rPr>
          <w:rFonts w:hint="eastAsia"/>
          <w:lang w:val="de-DE"/>
        </w:rPr>
      </w:pPr>
      <w:r>
        <w:footnoteRef/>
      </w:r>
      <w:r w:rsidRPr="006847A9">
        <w:rPr>
          <w:lang w:val="de-DE"/>
        </w:rPr>
        <w:tab/>
        <w:t xml:space="preserve">Voir la </w:t>
      </w:r>
      <w:hyperlink r:id="rId9" w:history="1">
        <w:r w:rsidRPr="00432E92">
          <w:rPr>
            <w:rStyle w:val="Lienhypertexte"/>
          </w:rPr>
          <w:t>Fichtner-Bibliographie</w:t>
        </w:r>
      </w:hyperlink>
      <w:r w:rsidRPr="006847A9">
        <w:rPr>
          <w:lang w:val="de-DE"/>
        </w:rPr>
        <w:t xml:space="preserve"> du Corpus Medicorum Graecorum de Berlin</w:t>
      </w:r>
      <w:r>
        <w:rPr>
          <w:lang w:val="de-DE"/>
        </w:rPr>
        <w:t xml:space="preserve"> (dernière mise à jour</w:t>
      </w:r>
      <w:r>
        <w:rPr>
          <w:rFonts w:hint="eastAsia"/>
          <w:lang w:val="de-DE"/>
        </w:rPr>
        <w:t> </w:t>
      </w:r>
      <w:r>
        <w:rPr>
          <w:lang w:val="de-DE"/>
        </w:rPr>
        <w:t>: décembre 2023)</w:t>
      </w:r>
      <w:r w:rsidRPr="006847A9">
        <w:rPr>
          <w:lang w:val="de-DE"/>
        </w:rPr>
        <w:t>.</w:t>
      </w:r>
      <w:r>
        <w:rPr>
          <w:lang w:val="de-DE"/>
        </w:rPr>
        <w:t xml:space="preserve"> L</w:t>
      </w:r>
      <w:r>
        <w:t>a distinction entre traités galéniques et pseudo-galéniques</w:t>
      </w:r>
      <w:r>
        <w:rPr>
          <w:lang w:val="de-DE"/>
        </w:rPr>
        <w:t xml:space="preserve"> ici proposée </w:t>
      </w:r>
      <w:r w:rsidRPr="00AB4C09">
        <w:t xml:space="preserve">diffère donc de celle de la Perseus Digital Library (voir respectivement </w:t>
      </w:r>
      <w:hyperlink r:id="rId10" w:tgtFrame="_top">
        <w:r w:rsidRPr="00AB4C09">
          <w:rPr>
            <w:rStyle w:val="Lienhypertexte"/>
            <w:bCs/>
          </w:rPr>
          <w:t>Galen</w:t>
        </w:r>
      </w:hyperlink>
      <w:r w:rsidRPr="00AB4C09">
        <w:t xml:space="preserve"> et </w:t>
      </w:r>
      <w:hyperlink r:id="rId11" w:tgtFrame="_top">
        <w:r w:rsidRPr="00AB4C09">
          <w:rPr>
            <w:rStyle w:val="Lienhypertexte"/>
            <w:bCs/>
          </w:rPr>
          <w:t>Pseudo-Galen</w:t>
        </w:r>
      </w:hyperlink>
      <w:r w:rsidRPr="00AB4C09">
        <w:t>).</w:t>
      </w:r>
    </w:p>
  </w:footnote>
  <w:footnote w:id="9">
    <w:p w14:paraId="62B9AE6D" w14:textId="5D021ACC" w:rsidR="00D07B4E" w:rsidRPr="00E447DD" w:rsidRDefault="00D07B4E" w:rsidP="00D07B4E">
      <w:pPr>
        <w:pStyle w:val="Notedebasdepage"/>
        <w:rPr>
          <w:rFonts w:hint="eastAsia"/>
          <w:lang w:val="fr-FR"/>
        </w:rPr>
      </w:pPr>
      <w:r w:rsidRPr="00E447DD">
        <w:rPr>
          <w:rStyle w:val="Caractresdenotedebasdepage"/>
          <w:lang w:val="fr-FR"/>
        </w:rPr>
        <w:footnoteRef/>
      </w:r>
      <w:r w:rsidRPr="00E447DD">
        <w:rPr>
          <w:lang w:val="fr-FR"/>
        </w:rPr>
        <w:tab/>
      </w:r>
      <w:r w:rsidR="00D72539">
        <w:rPr>
          <w:lang w:val="fr-FR"/>
        </w:rPr>
        <w:t xml:space="preserve">Ces informations se retrouvent dans la section </w:t>
      </w:r>
      <w:hyperlink r:id="rId12" w:history="1">
        <w:r w:rsidR="00D72539" w:rsidRPr="00D72539">
          <w:rPr>
            <w:rStyle w:val="Lienhypertexte"/>
            <w:lang w:val="fr-FR"/>
          </w:rPr>
          <w:t>Galeni et Pseudo-Galeni opera</w:t>
        </w:r>
      </w:hyperlink>
      <w:r w:rsidR="00D72539">
        <w:rPr>
          <w:lang w:val="fr-FR"/>
        </w:rPr>
        <w:t xml:space="preserve"> de la bibliothèque Zotero </w:t>
      </w:r>
      <w:r w:rsidR="00D72539">
        <w:t>associée</w:t>
      </w:r>
      <w:r w:rsidR="00D72539">
        <w:rPr>
          <w:lang w:val="fr-FR"/>
        </w:rPr>
        <w:t>.</w:t>
      </w:r>
      <w:r w:rsidR="00D72539" w:rsidRPr="00D72539">
        <w:rPr>
          <w:lang w:val="fr-FR"/>
        </w:rPr>
        <w:t xml:space="preserve"> </w:t>
      </w:r>
      <w:bookmarkStart w:id="3" w:name="_Hlk99489021"/>
      <w:r w:rsidR="00D72539" w:rsidRPr="00D72539">
        <w:rPr>
          <w:lang w:val="fr-FR"/>
        </w:rPr>
        <w:t xml:space="preserve">Les titres et abréviations des titres en latin, ainsi que les titres grecs, sont repris à la </w:t>
      </w:r>
      <w:hyperlink r:id="rId13" w:history="1">
        <w:r w:rsidR="00D72539" w:rsidRPr="00D72539">
          <w:rPr>
            <w:rStyle w:val="Lienhypertexte"/>
            <w:lang w:val="fr-FR"/>
          </w:rPr>
          <w:t>Galenbibliographie</w:t>
        </w:r>
      </w:hyperlink>
      <w:r w:rsidR="00D72539" w:rsidRPr="00D72539">
        <w:rPr>
          <w:lang w:val="fr-FR"/>
        </w:rPr>
        <w:t xml:space="preserve"> de Gerhard Fichtner régulièrement mise à jour sur le site du Corpus Medicorum Graecorum de Berlin, à laquelle il est renvoyé pour la bibliographie correspondant à chaque traité. Les titres en français sont repris à l’ouvrage de Véronique Boudon-Millot, </w:t>
      </w:r>
      <w:r w:rsidR="00D72539" w:rsidRPr="00D72539">
        <w:rPr>
          <w:i/>
          <w:iCs/>
          <w:lang w:val="fr-FR"/>
        </w:rPr>
        <w:t>Galien de Pergame. Un médecin grec à Rome</w:t>
      </w:r>
      <w:r w:rsidR="00D72539" w:rsidRPr="00D72539">
        <w:rPr>
          <w:lang w:val="fr-FR"/>
        </w:rPr>
        <w:t>, Paris : Les Belles Lettres, 2012, p. 351-374. Les titres et abréviations des titres en anglais sont repris au 1</w:t>
      </w:r>
      <w:r w:rsidR="00D72539" w:rsidRPr="00D72539">
        <w:rPr>
          <w:vertAlign w:val="superscript"/>
          <w:lang w:val="fr-FR"/>
        </w:rPr>
        <w:t>er</w:t>
      </w:r>
      <w:r w:rsidR="00D72539" w:rsidRPr="00D72539">
        <w:rPr>
          <w:lang w:val="fr-FR"/>
        </w:rPr>
        <w:t xml:space="preserve"> volume de la collection Cambridge Galen Translations (CGT), Galen, </w:t>
      </w:r>
      <w:r w:rsidR="00D72539" w:rsidRPr="00D72539">
        <w:rPr>
          <w:i/>
          <w:iCs/>
          <w:lang w:val="fr-FR"/>
        </w:rPr>
        <w:t>Psychological Writings</w:t>
      </w:r>
      <w:r w:rsidR="00D72539" w:rsidRPr="00D72539">
        <w:rPr>
          <w:lang w:val="fr-FR"/>
        </w:rPr>
        <w:t>, éd. Peter N. Singer &amp; </w:t>
      </w:r>
      <w:r w:rsidR="00D72539" w:rsidRPr="00D72539">
        <w:rPr>
          <w:i/>
          <w:iCs/>
          <w:lang w:val="fr-FR"/>
        </w:rPr>
        <w:t>al</w:t>
      </w:r>
      <w:r w:rsidR="00D72539" w:rsidRPr="00D72539">
        <w:rPr>
          <w:lang w:val="fr-FR"/>
        </w:rPr>
        <w:t>., Cambridge : CUP, 2013, p. 429-442.</w:t>
      </w:r>
      <w:bookmarkEnd w:id="3"/>
      <w:r w:rsidR="00D72539">
        <w:rPr>
          <w:lang w:val="fr-FR"/>
        </w:rPr>
        <w:t xml:space="preserve"> </w:t>
      </w:r>
    </w:p>
  </w:footnote>
  <w:footnote w:id="10">
    <w:p w14:paraId="0A8F0A2A" w14:textId="5D9F0417" w:rsidR="00D96C0E" w:rsidRPr="006847A9" w:rsidRDefault="00D96C0E" w:rsidP="00D96C0E">
      <w:pPr>
        <w:pStyle w:val="Notedebasdepage"/>
        <w:rPr>
          <w:rFonts w:hint="eastAsia"/>
          <w:lang w:val="de-DE"/>
        </w:rPr>
      </w:pPr>
      <w:r>
        <w:rPr>
          <w:rStyle w:val="Caractresdenotedebasdepage"/>
        </w:rPr>
        <w:footnoteRef/>
      </w:r>
      <w:r w:rsidRPr="006847A9">
        <w:rPr>
          <w:lang w:val="de-DE"/>
        </w:rPr>
        <w:tab/>
      </w:r>
      <w:r>
        <w:rPr>
          <w:lang w:val="de-DE"/>
        </w:rPr>
        <w:t xml:space="preserve">Ces informations sont tirées de </w:t>
      </w:r>
      <w:r w:rsidRPr="006847A9">
        <w:rPr>
          <w:lang w:val="de-DE"/>
        </w:rPr>
        <w:t xml:space="preserve">la </w:t>
      </w:r>
      <w:r>
        <w:rPr>
          <w:lang w:val="de-DE"/>
        </w:rPr>
        <w:t xml:space="preserve">version </w:t>
      </w:r>
      <w:r w:rsidRPr="00FB78FA">
        <w:rPr>
          <w:lang w:val="de-DE"/>
        </w:rPr>
        <w:t>2019/12</w:t>
      </w:r>
      <w:r>
        <w:rPr>
          <w:lang w:val="de-DE"/>
        </w:rPr>
        <w:t xml:space="preserve"> de la </w:t>
      </w:r>
      <w:hyperlink r:id="rId14" w:history="1">
        <w:r w:rsidRPr="00432E92">
          <w:rPr>
            <w:rStyle w:val="Lienhypertexte"/>
          </w:rPr>
          <w:t>Fichtner-Bibliographie</w:t>
        </w:r>
      </w:hyperlink>
      <w:r w:rsidRPr="006847A9">
        <w:rPr>
          <w:lang w:val="de-DE"/>
        </w:rPr>
        <w:t xml:space="preserve"> du Corpus Medicorum Graecorum de Berlin</w:t>
      </w:r>
      <w:r>
        <w:rPr>
          <w:lang w:val="de-DE"/>
        </w:rPr>
        <w:t>. La dernière mise à jour (version 2023/12) sera prochainement prise en compte.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AC4FB8"/>
    <w:multiLevelType w:val="hybridMultilevel"/>
    <w:tmpl w:val="1C040DAA"/>
    <w:lvl w:ilvl="0" w:tplc="D0A03B8E">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371B75"/>
    <w:multiLevelType w:val="hybridMultilevel"/>
    <w:tmpl w:val="D0F840A8"/>
    <w:lvl w:ilvl="0" w:tplc="F98C0876">
      <w:start w:val="2"/>
      <w:numFmt w:val="bullet"/>
      <w:lvlText w:val="–"/>
      <w:lvlJc w:val="left"/>
      <w:pPr>
        <w:ind w:left="720" w:hanging="360"/>
      </w:pPr>
      <w:rPr>
        <w:rFonts w:ascii="Liberation Serif" w:eastAsia="N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2487815">
    <w:abstractNumId w:val="0"/>
  </w:num>
  <w:num w:numId="2" w16cid:durableId="1701784501">
    <w:abstractNumId w:val="1"/>
  </w:num>
  <w:num w:numId="3" w16cid:durableId="852182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C3CCDC5-8481-46D1-8A9A-A70CA2515E86}"/>
    <w:docVar w:name="dgnword-eventsink" w:val="1550058778896"/>
  </w:docVars>
  <w:rsids>
    <w:rsidRoot w:val="00475234"/>
    <w:rsid w:val="00004630"/>
    <w:rsid w:val="000145FA"/>
    <w:rsid w:val="000175EC"/>
    <w:rsid w:val="00024F0D"/>
    <w:rsid w:val="000348B5"/>
    <w:rsid w:val="000357BB"/>
    <w:rsid w:val="000472A3"/>
    <w:rsid w:val="00050DD7"/>
    <w:rsid w:val="000544C7"/>
    <w:rsid w:val="00063316"/>
    <w:rsid w:val="00076EA3"/>
    <w:rsid w:val="00076FA6"/>
    <w:rsid w:val="00085981"/>
    <w:rsid w:val="00086773"/>
    <w:rsid w:val="000879D0"/>
    <w:rsid w:val="000924C2"/>
    <w:rsid w:val="000A3405"/>
    <w:rsid w:val="000A6A84"/>
    <w:rsid w:val="000A7AE4"/>
    <w:rsid w:val="000A7D6B"/>
    <w:rsid w:val="000B3324"/>
    <w:rsid w:val="000C1EB8"/>
    <w:rsid w:val="000E2C38"/>
    <w:rsid w:val="000E5D77"/>
    <w:rsid w:val="0010402B"/>
    <w:rsid w:val="0011278D"/>
    <w:rsid w:val="00117A0D"/>
    <w:rsid w:val="00122F5F"/>
    <w:rsid w:val="00130355"/>
    <w:rsid w:val="00135630"/>
    <w:rsid w:val="001409D2"/>
    <w:rsid w:val="0015038D"/>
    <w:rsid w:val="00153923"/>
    <w:rsid w:val="001543DB"/>
    <w:rsid w:val="00157741"/>
    <w:rsid w:val="00163FFC"/>
    <w:rsid w:val="00166418"/>
    <w:rsid w:val="0018265B"/>
    <w:rsid w:val="00187AE2"/>
    <w:rsid w:val="001C3E1D"/>
    <w:rsid w:val="001C4983"/>
    <w:rsid w:val="001C7DEA"/>
    <w:rsid w:val="001D2E35"/>
    <w:rsid w:val="001D46FD"/>
    <w:rsid w:val="001D5387"/>
    <w:rsid w:val="001D6997"/>
    <w:rsid w:val="001D6D0A"/>
    <w:rsid w:val="001E2D76"/>
    <w:rsid w:val="001E33F6"/>
    <w:rsid w:val="001E4CC1"/>
    <w:rsid w:val="001F4D1D"/>
    <w:rsid w:val="00221B5E"/>
    <w:rsid w:val="0024556D"/>
    <w:rsid w:val="00247715"/>
    <w:rsid w:val="0025014F"/>
    <w:rsid w:val="00252ADB"/>
    <w:rsid w:val="00254520"/>
    <w:rsid w:val="00261B69"/>
    <w:rsid w:val="0026503B"/>
    <w:rsid w:val="00266EE8"/>
    <w:rsid w:val="00277453"/>
    <w:rsid w:val="00277D94"/>
    <w:rsid w:val="0028367F"/>
    <w:rsid w:val="00290310"/>
    <w:rsid w:val="00290787"/>
    <w:rsid w:val="0029174A"/>
    <w:rsid w:val="00294B7F"/>
    <w:rsid w:val="00294C00"/>
    <w:rsid w:val="002A1436"/>
    <w:rsid w:val="002B4AF4"/>
    <w:rsid w:val="002B4BDC"/>
    <w:rsid w:val="002C1372"/>
    <w:rsid w:val="002D5F53"/>
    <w:rsid w:val="002E2E63"/>
    <w:rsid w:val="002E3ACD"/>
    <w:rsid w:val="002E62DF"/>
    <w:rsid w:val="002F0A57"/>
    <w:rsid w:val="002F0A5D"/>
    <w:rsid w:val="002F1D3F"/>
    <w:rsid w:val="00302657"/>
    <w:rsid w:val="00303908"/>
    <w:rsid w:val="00320B6A"/>
    <w:rsid w:val="0032398D"/>
    <w:rsid w:val="00333313"/>
    <w:rsid w:val="003676EE"/>
    <w:rsid w:val="00380115"/>
    <w:rsid w:val="003844E3"/>
    <w:rsid w:val="003A1233"/>
    <w:rsid w:val="003A265E"/>
    <w:rsid w:val="003B1A61"/>
    <w:rsid w:val="003D704F"/>
    <w:rsid w:val="00417188"/>
    <w:rsid w:val="00432809"/>
    <w:rsid w:val="00442281"/>
    <w:rsid w:val="00445FA1"/>
    <w:rsid w:val="00450CC5"/>
    <w:rsid w:val="004541AC"/>
    <w:rsid w:val="00461474"/>
    <w:rsid w:val="004662CA"/>
    <w:rsid w:val="00471740"/>
    <w:rsid w:val="00475234"/>
    <w:rsid w:val="00476215"/>
    <w:rsid w:val="004809CE"/>
    <w:rsid w:val="004856E1"/>
    <w:rsid w:val="004A622E"/>
    <w:rsid w:val="004B27A2"/>
    <w:rsid w:val="004B4016"/>
    <w:rsid w:val="004B7965"/>
    <w:rsid w:val="004C192C"/>
    <w:rsid w:val="004D1890"/>
    <w:rsid w:val="004E56D9"/>
    <w:rsid w:val="004E7FCD"/>
    <w:rsid w:val="00506FAD"/>
    <w:rsid w:val="005319A2"/>
    <w:rsid w:val="005375A3"/>
    <w:rsid w:val="0054277A"/>
    <w:rsid w:val="00552739"/>
    <w:rsid w:val="00554207"/>
    <w:rsid w:val="00562EF6"/>
    <w:rsid w:val="005753BB"/>
    <w:rsid w:val="00583818"/>
    <w:rsid w:val="005863BC"/>
    <w:rsid w:val="00597735"/>
    <w:rsid w:val="005A7FA3"/>
    <w:rsid w:val="005C7199"/>
    <w:rsid w:val="005D2F04"/>
    <w:rsid w:val="005D464E"/>
    <w:rsid w:val="005E1AD7"/>
    <w:rsid w:val="005F2E4C"/>
    <w:rsid w:val="005F4E33"/>
    <w:rsid w:val="00600F2A"/>
    <w:rsid w:val="00604221"/>
    <w:rsid w:val="00610DAF"/>
    <w:rsid w:val="00612A0B"/>
    <w:rsid w:val="00613498"/>
    <w:rsid w:val="00613D33"/>
    <w:rsid w:val="00641EAA"/>
    <w:rsid w:val="006429FC"/>
    <w:rsid w:val="00647FB0"/>
    <w:rsid w:val="006552B0"/>
    <w:rsid w:val="0065562B"/>
    <w:rsid w:val="00667019"/>
    <w:rsid w:val="00672A1F"/>
    <w:rsid w:val="006748A0"/>
    <w:rsid w:val="00680704"/>
    <w:rsid w:val="00694109"/>
    <w:rsid w:val="006A1D4C"/>
    <w:rsid w:val="006B1B14"/>
    <w:rsid w:val="006D14BA"/>
    <w:rsid w:val="006D354D"/>
    <w:rsid w:val="006D3877"/>
    <w:rsid w:val="006E0EB2"/>
    <w:rsid w:val="006F48A4"/>
    <w:rsid w:val="0072399F"/>
    <w:rsid w:val="00723A59"/>
    <w:rsid w:val="00736677"/>
    <w:rsid w:val="00736C06"/>
    <w:rsid w:val="00743A54"/>
    <w:rsid w:val="00751D3D"/>
    <w:rsid w:val="007653D1"/>
    <w:rsid w:val="00766B23"/>
    <w:rsid w:val="00770321"/>
    <w:rsid w:val="00784847"/>
    <w:rsid w:val="0078559E"/>
    <w:rsid w:val="00785E90"/>
    <w:rsid w:val="00786BA3"/>
    <w:rsid w:val="007935A8"/>
    <w:rsid w:val="007A2525"/>
    <w:rsid w:val="007A6CC2"/>
    <w:rsid w:val="007A7053"/>
    <w:rsid w:val="007A72CD"/>
    <w:rsid w:val="007B5043"/>
    <w:rsid w:val="007B7551"/>
    <w:rsid w:val="007D2FD6"/>
    <w:rsid w:val="007D3614"/>
    <w:rsid w:val="007F2CC8"/>
    <w:rsid w:val="008111CD"/>
    <w:rsid w:val="00816EC9"/>
    <w:rsid w:val="00822215"/>
    <w:rsid w:val="008405DF"/>
    <w:rsid w:val="0084071D"/>
    <w:rsid w:val="00842D66"/>
    <w:rsid w:val="008527A7"/>
    <w:rsid w:val="0085782D"/>
    <w:rsid w:val="00857D80"/>
    <w:rsid w:val="00866628"/>
    <w:rsid w:val="0087127B"/>
    <w:rsid w:val="008750D9"/>
    <w:rsid w:val="00875971"/>
    <w:rsid w:val="00880E7A"/>
    <w:rsid w:val="008832A3"/>
    <w:rsid w:val="008969A4"/>
    <w:rsid w:val="008A508C"/>
    <w:rsid w:val="008B5083"/>
    <w:rsid w:val="008C377F"/>
    <w:rsid w:val="008D63A4"/>
    <w:rsid w:val="008E465F"/>
    <w:rsid w:val="0090110A"/>
    <w:rsid w:val="009047D5"/>
    <w:rsid w:val="009058D6"/>
    <w:rsid w:val="00911B9F"/>
    <w:rsid w:val="00912C6C"/>
    <w:rsid w:val="00914F42"/>
    <w:rsid w:val="00926E75"/>
    <w:rsid w:val="00931F6E"/>
    <w:rsid w:val="009459C3"/>
    <w:rsid w:val="00960884"/>
    <w:rsid w:val="00961AEF"/>
    <w:rsid w:val="00977D6E"/>
    <w:rsid w:val="00982D6B"/>
    <w:rsid w:val="00985F8E"/>
    <w:rsid w:val="00992E91"/>
    <w:rsid w:val="009A5FFB"/>
    <w:rsid w:val="009A62AB"/>
    <w:rsid w:val="009C738B"/>
    <w:rsid w:val="009C7ED4"/>
    <w:rsid w:val="009D1FEE"/>
    <w:rsid w:val="009D4373"/>
    <w:rsid w:val="009D6347"/>
    <w:rsid w:val="009D7027"/>
    <w:rsid w:val="009D71BA"/>
    <w:rsid w:val="009E16D0"/>
    <w:rsid w:val="009F35A7"/>
    <w:rsid w:val="00A02F70"/>
    <w:rsid w:val="00A06A9F"/>
    <w:rsid w:val="00A07F69"/>
    <w:rsid w:val="00A2244F"/>
    <w:rsid w:val="00A37A9B"/>
    <w:rsid w:val="00A50142"/>
    <w:rsid w:val="00A5198C"/>
    <w:rsid w:val="00A522B0"/>
    <w:rsid w:val="00A72E31"/>
    <w:rsid w:val="00A75139"/>
    <w:rsid w:val="00A76EE1"/>
    <w:rsid w:val="00A811F3"/>
    <w:rsid w:val="00A84EF6"/>
    <w:rsid w:val="00A92F9B"/>
    <w:rsid w:val="00A932FA"/>
    <w:rsid w:val="00A93D32"/>
    <w:rsid w:val="00AA4325"/>
    <w:rsid w:val="00AA4FF5"/>
    <w:rsid w:val="00AB317F"/>
    <w:rsid w:val="00AB4C09"/>
    <w:rsid w:val="00AB77BB"/>
    <w:rsid w:val="00AC032E"/>
    <w:rsid w:val="00AC5883"/>
    <w:rsid w:val="00AC70F7"/>
    <w:rsid w:val="00AE10F6"/>
    <w:rsid w:val="00AE1C34"/>
    <w:rsid w:val="00AE68BB"/>
    <w:rsid w:val="00B01B96"/>
    <w:rsid w:val="00B01E15"/>
    <w:rsid w:val="00B1114B"/>
    <w:rsid w:val="00B13295"/>
    <w:rsid w:val="00B13F5D"/>
    <w:rsid w:val="00B14344"/>
    <w:rsid w:val="00B15BC2"/>
    <w:rsid w:val="00B227FC"/>
    <w:rsid w:val="00B3173D"/>
    <w:rsid w:val="00B33685"/>
    <w:rsid w:val="00B568BB"/>
    <w:rsid w:val="00B61AF6"/>
    <w:rsid w:val="00B71565"/>
    <w:rsid w:val="00B8076B"/>
    <w:rsid w:val="00B83AEC"/>
    <w:rsid w:val="00B90FA5"/>
    <w:rsid w:val="00B97C87"/>
    <w:rsid w:val="00BA65C0"/>
    <w:rsid w:val="00BB0527"/>
    <w:rsid w:val="00BB0849"/>
    <w:rsid w:val="00BB4762"/>
    <w:rsid w:val="00BB4B8D"/>
    <w:rsid w:val="00BD08E0"/>
    <w:rsid w:val="00BD1083"/>
    <w:rsid w:val="00BD4B57"/>
    <w:rsid w:val="00BD6DED"/>
    <w:rsid w:val="00BF38C2"/>
    <w:rsid w:val="00C03302"/>
    <w:rsid w:val="00C0797F"/>
    <w:rsid w:val="00C12398"/>
    <w:rsid w:val="00C12F2E"/>
    <w:rsid w:val="00C1330C"/>
    <w:rsid w:val="00C56140"/>
    <w:rsid w:val="00C7594A"/>
    <w:rsid w:val="00C82126"/>
    <w:rsid w:val="00C94A45"/>
    <w:rsid w:val="00CA36A9"/>
    <w:rsid w:val="00CB6C6F"/>
    <w:rsid w:val="00CC1B7C"/>
    <w:rsid w:val="00CC39F4"/>
    <w:rsid w:val="00CD335B"/>
    <w:rsid w:val="00CE657A"/>
    <w:rsid w:val="00CF3A02"/>
    <w:rsid w:val="00D07B4E"/>
    <w:rsid w:val="00D12A51"/>
    <w:rsid w:val="00D364DA"/>
    <w:rsid w:val="00D437F4"/>
    <w:rsid w:val="00D479C4"/>
    <w:rsid w:val="00D55AA0"/>
    <w:rsid w:val="00D569E0"/>
    <w:rsid w:val="00D63F5F"/>
    <w:rsid w:val="00D70511"/>
    <w:rsid w:val="00D72539"/>
    <w:rsid w:val="00D727E9"/>
    <w:rsid w:val="00D74165"/>
    <w:rsid w:val="00D7432A"/>
    <w:rsid w:val="00D75850"/>
    <w:rsid w:val="00D85A4A"/>
    <w:rsid w:val="00D96C0E"/>
    <w:rsid w:val="00D97E1A"/>
    <w:rsid w:val="00DA130C"/>
    <w:rsid w:val="00DB2404"/>
    <w:rsid w:val="00DB2F30"/>
    <w:rsid w:val="00DB6800"/>
    <w:rsid w:val="00DB6FD1"/>
    <w:rsid w:val="00DC0C83"/>
    <w:rsid w:val="00DC58BF"/>
    <w:rsid w:val="00DD0570"/>
    <w:rsid w:val="00DD2D80"/>
    <w:rsid w:val="00DD54C5"/>
    <w:rsid w:val="00DF0A66"/>
    <w:rsid w:val="00E178BA"/>
    <w:rsid w:val="00E25CD7"/>
    <w:rsid w:val="00E32336"/>
    <w:rsid w:val="00E335F6"/>
    <w:rsid w:val="00E447DD"/>
    <w:rsid w:val="00E45660"/>
    <w:rsid w:val="00E61561"/>
    <w:rsid w:val="00E92447"/>
    <w:rsid w:val="00EA7068"/>
    <w:rsid w:val="00EB40C2"/>
    <w:rsid w:val="00EE1DAE"/>
    <w:rsid w:val="00EF00F5"/>
    <w:rsid w:val="00EF2271"/>
    <w:rsid w:val="00EF5294"/>
    <w:rsid w:val="00F10CAE"/>
    <w:rsid w:val="00F14363"/>
    <w:rsid w:val="00F16519"/>
    <w:rsid w:val="00F20B26"/>
    <w:rsid w:val="00F25CD9"/>
    <w:rsid w:val="00F37F1C"/>
    <w:rsid w:val="00F42D79"/>
    <w:rsid w:val="00F47B83"/>
    <w:rsid w:val="00F520DC"/>
    <w:rsid w:val="00F57261"/>
    <w:rsid w:val="00F821E6"/>
    <w:rsid w:val="00F843B4"/>
    <w:rsid w:val="00F90206"/>
    <w:rsid w:val="00FA6685"/>
    <w:rsid w:val="00FB5497"/>
    <w:rsid w:val="00FB5B4A"/>
    <w:rsid w:val="00FB78FA"/>
    <w:rsid w:val="00FE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paragraph" w:styleId="Titre4">
    <w:name w:val="heading 4"/>
    <w:basedOn w:val="Normal"/>
    <w:next w:val="Normal"/>
    <w:link w:val="Titre4Car"/>
    <w:uiPriority w:val="9"/>
    <w:semiHidden/>
    <w:unhideWhenUsed/>
    <w:qFormat/>
    <w:rsid w:val="002F1D3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link w:val="NotedebasdepageCar"/>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 w:type="character" w:customStyle="1" w:styleId="Titre4Car">
    <w:name w:val="Titre 4 Car"/>
    <w:basedOn w:val="Policepardfaut"/>
    <w:link w:val="Titre4"/>
    <w:uiPriority w:val="9"/>
    <w:semiHidden/>
    <w:rsid w:val="002F1D3F"/>
    <w:rPr>
      <w:rFonts w:asciiTheme="majorHAnsi" w:eastAsiaTheme="majorEastAsia" w:hAnsiTheme="majorHAnsi" w:cs="Mangal"/>
      <w:i/>
      <w:iCs/>
      <w:color w:val="2F5496" w:themeColor="accent1" w:themeShade="BF"/>
      <w:szCs w:val="21"/>
    </w:rPr>
  </w:style>
  <w:style w:type="paragraph" w:styleId="Paragraphedeliste">
    <w:name w:val="List Paragraph"/>
    <w:basedOn w:val="Normal"/>
    <w:uiPriority w:val="34"/>
    <w:qFormat/>
    <w:rsid w:val="004B27A2"/>
    <w:pPr>
      <w:ind w:left="720"/>
      <w:contextualSpacing/>
    </w:pPr>
    <w:rPr>
      <w:rFonts w:cs="Mangal"/>
      <w:szCs w:val="21"/>
    </w:rPr>
  </w:style>
  <w:style w:type="character" w:customStyle="1" w:styleId="NotedebasdepageCar">
    <w:name w:val="Note de bas de page Car"/>
    <w:basedOn w:val="Policepardfaut"/>
    <w:link w:val="Notedebasdepage"/>
    <w:rsid w:val="009058D6"/>
    <w:rPr>
      <w:rFonts w:ascii="sans-serif" w:hAnsi="sans-seri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03426">
      <w:bodyDiv w:val="1"/>
      <w:marLeft w:val="0"/>
      <w:marRight w:val="0"/>
      <w:marTop w:val="0"/>
      <w:marBottom w:val="0"/>
      <w:divBdr>
        <w:top w:val="none" w:sz="0" w:space="0" w:color="auto"/>
        <w:left w:val="none" w:sz="0" w:space="0" w:color="auto"/>
        <w:bottom w:val="none" w:sz="0" w:space="0" w:color="auto"/>
        <w:right w:val="none" w:sz="0" w:space="0" w:color="auto"/>
      </w:divBdr>
    </w:div>
    <w:div w:id="774061743">
      <w:bodyDiv w:val="1"/>
      <w:marLeft w:val="0"/>
      <w:marRight w:val="0"/>
      <w:marTop w:val="0"/>
      <w:marBottom w:val="0"/>
      <w:divBdr>
        <w:top w:val="none" w:sz="0" w:space="0" w:color="auto"/>
        <w:left w:val="none" w:sz="0" w:space="0" w:color="auto"/>
        <w:bottom w:val="none" w:sz="0" w:space="0" w:color="auto"/>
        <w:right w:val="none" w:sz="0" w:space="0" w:color="auto"/>
      </w:divBdr>
    </w:div>
    <w:div w:id="1249579127">
      <w:bodyDiv w:val="1"/>
      <w:marLeft w:val="0"/>
      <w:marRight w:val="0"/>
      <w:marTop w:val="0"/>
      <w:marBottom w:val="0"/>
      <w:divBdr>
        <w:top w:val="none" w:sz="0" w:space="0" w:color="auto"/>
        <w:left w:val="none" w:sz="0" w:space="0" w:color="auto"/>
        <w:bottom w:val="none" w:sz="0" w:space="0" w:color="auto"/>
        <w:right w:val="none" w:sz="0" w:space="0" w:color="auto"/>
      </w:divBdr>
    </w:div>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 w:id="2091196858">
      <w:bodyDiv w:val="1"/>
      <w:marLeft w:val="0"/>
      <w:marRight w:val="0"/>
      <w:marTop w:val="0"/>
      <w:marBottom w:val="0"/>
      <w:divBdr>
        <w:top w:val="none" w:sz="0" w:space="0" w:color="auto"/>
        <w:left w:val="none" w:sz="0" w:space="0" w:color="auto"/>
        <w:bottom w:val="none" w:sz="0" w:space="0" w:color="auto"/>
        <w:right w:val="none" w:sz="0" w:space="0" w:color="auto"/>
      </w:divBdr>
      <w:divsChild>
        <w:div w:id="8114046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lenus-verbatim.huma-num.fr" TargetMode="External"/><Relationship Id="rId13" Type="http://schemas.openxmlformats.org/officeDocument/2006/relationships/hyperlink" Target="https://creativecommons.org/licenses/by-sa/4.0/" TargetMode="External"/><Relationship Id="rId18" Type="http://schemas.openxmlformats.org/officeDocument/2006/relationships/hyperlink" Target="https://www.zotero.org/groups/4571007/galenus-verbatim/collections/9QP457XQ" TargetMode="External"/><Relationship Id="rId3" Type="http://schemas.openxmlformats.org/officeDocument/2006/relationships/settings" Target="settings.xml"/><Relationship Id="rId21" Type="http://schemas.openxmlformats.org/officeDocument/2006/relationships/hyperlink" Target="https://galenus-verbatim.huma-num.fr/urn:cts:greekLit:tlg0057.tlg092.1st1K-grc1:5.5" TargetMode="External"/><Relationship Id="rId7" Type="http://schemas.openxmlformats.org/officeDocument/2006/relationships/hyperlink" Target="mailto:etymologika@gmail.com" TargetMode="External"/><Relationship Id="rId12" Type="http://schemas.openxmlformats.org/officeDocument/2006/relationships/hyperlink" Target="https://www.biusante.parisdescartes.fr/histmed/medica/cote?00039" TargetMode="External"/><Relationship Id="rId17" Type="http://schemas.openxmlformats.org/officeDocument/2006/relationships/hyperlink" Target="https://opengreekandlatin.github.io/First1KGree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aife.perseus.org/library/urn:cts:greekLit:tlg0057/" TargetMode="External"/><Relationship Id="rId20" Type="http://schemas.openxmlformats.org/officeDocument/2006/relationships/hyperlink" Target="https://www.zotero.org/groups/4571007/galenus-verbatim/collections/9QP457X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usante.parisdescartes.fr/histoire/medica/resultats/index.php?fille=o&amp;cotemere=000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raeco-arabic-studies.org/home.html" TargetMode="External"/><Relationship Id="rId23" Type="http://schemas.openxmlformats.org/officeDocument/2006/relationships/hyperlink" Target="https://cmg.bbaw.de/epubl/online/cmg_05_04_02.php?page=167" TargetMode="External"/><Relationship Id="rId10" Type="http://schemas.openxmlformats.org/officeDocument/2006/relationships/hyperlink" Target="https://www.biusante.parisdescartes.fr/histoire/medica/resultats/index.php?fille=o&amp;cotemere=45674" TargetMode="External"/><Relationship Id="rId19"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alenus-verbatim.huma-num.fr" TargetMode="External"/><Relationship Id="rId14" Type="http://schemas.openxmlformats.org/officeDocument/2006/relationships/hyperlink" Target="https://opengreekandlatin.github.io/First1KGreek/" TargetMode="External"/><Relationship Id="rId22" Type="http://schemas.openxmlformats.org/officeDocument/2006/relationships/hyperlink" Target="https://galenus-verbatim.huma-num.fr/urn:cts:greekLit:tlg0057.tlg036.1st1K-grc1:5.12?kuhn=6.380.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mg.bbaw.de/fileadmin/Webdateien/Dateien/Galen-Bibliographie.pdf" TargetMode="External"/><Relationship Id="rId13" Type="http://schemas.openxmlformats.org/officeDocument/2006/relationships/hyperlink" Target="https://cmg.bbaw.de/fileadmin/Webdateien/Dateien/Galen-Bibliographie.pdf" TargetMode="External"/><Relationship Id="rId3" Type="http://schemas.openxmlformats.org/officeDocument/2006/relationships/hyperlink" Target="https://cmg.bbaw.de/fileadmin/Webdateien/Dateien/Galen-Bibliographie.pdf" TargetMode="External"/><Relationship Id="rId7" Type="http://schemas.openxmlformats.org/officeDocument/2006/relationships/hyperlink" Target="https://cmg.bbaw.de/fileadmin/Webdateien/Dateien/Galen-Bibliographie.pdf" TargetMode="External"/><Relationship Id="rId12" Type="http://schemas.openxmlformats.org/officeDocument/2006/relationships/hyperlink" Target="https://www.zotero.org/groups/4571007/galenus-verbatim/collections/EEF8L3QT" TargetMode="External"/><Relationship Id="rId2" Type="http://schemas.openxmlformats.org/officeDocument/2006/relationships/hyperlink" Target="https://doi.org/10.1515/9783110599572-002" TargetMode="External"/><Relationship Id="rId1" Type="http://schemas.openxmlformats.org/officeDocument/2006/relationships/hyperlink" Target="https://etymologika.hypotheses.org/2648" TargetMode="External"/><Relationship Id="rId6" Type="http://schemas.openxmlformats.org/officeDocument/2006/relationships/hyperlink" Target="https://cmg.bbaw.de/fileadmin/Webdateien/Dateien/Galen-Bibliographie.pdf" TargetMode="External"/><Relationship Id="rId11" Type="http://schemas.openxmlformats.org/officeDocument/2006/relationships/hyperlink" Target="https://scaife.perseus.org/library/urn:cts:greekLit:tlg0530/" TargetMode="External"/><Relationship Id="rId5" Type="http://schemas.openxmlformats.org/officeDocument/2006/relationships/hyperlink" Target="http://cmg.bbaw.de/epubl/online/suppl_or_05_02.php" TargetMode="External"/><Relationship Id="rId10" Type="http://schemas.openxmlformats.org/officeDocument/2006/relationships/hyperlink" Target="https://scaife.perseus.org/library/urn:cts:greekLit:tlg0057/" TargetMode="External"/><Relationship Id="rId4" Type="http://schemas.openxmlformats.org/officeDocument/2006/relationships/hyperlink" Target="https://cmg.bbaw.de/fileadmin/Webdateien/Dateien/Galen-Bibliographie.pdf" TargetMode="External"/><Relationship Id="rId9" Type="http://schemas.openxmlformats.org/officeDocument/2006/relationships/hyperlink" Target="https://cmg.bbaw.de/fileadmin/Webdateien/Dateien/Galen-Bibliographie.pdf" TargetMode="External"/><Relationship Id="rId14" Type="http://schemas.openxmlformats.org/officeDocument/2006/relationships/hyperlink" Target="https://cmg.bbaw.de/fileadmin/Webdateien/Dateien/Galen-Bibliographi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3887</TotalTime>
  <Pages>3</Pages>
  <Words>1312</Words>
  <Characters>6630</Characters>
  <Application>Microsoft Office Word</Application>
  <DocSecurity>0</DocSecurity>
  <Lines>100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72</cp:revision>
  <dcterms:created xsi:type="dcterms:W3CDTF">2022-06-15T12:07:00Z</dcterms:created>
  <dcterms:modified xsi:type="dcterms:W3CDTF">2024-04-05T20:13:00Z</dcterms:modified>
  <dc:language>fr-CH</dc:language>
</cp:coreProperties>
</file>