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D05E" w14:textId="40E44623" w:rsidR="009E42C3" w:rsidRDefault="009E42C3" w:rsidP="009E42C3">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t>Tables</w:t>
      </w:r>
    </w:p>
    <w:p w14:paraId="3C396251"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007D91CD" w14:textId="77777777" w:rsidR="009E42C3" w:rsidRDefault="009E42C3" w:rsidP="009E42C3">
      <w:pPr>
        <w:rPr>
          <w:rFonts w:asciiTheme="majorHAnsi" w:eastAsiaTheme="majorEastAsia" w:hAnsiTheme="majorHAnsi" w:cstheme="majorBidi"/>
          <w:b/>
          <w:bCs/>
          <w:color w:val="2F5496" w:themeColor="accent1" w:themeShade="BF"/>
          <w:sz w:val="32"/>
          <w:szCs w:val="32"/>
        </w:rPr>
      </w:pPr>
    </w:p>
    <w:p w14:paraId="6C4F06D0" w14:textId="374C89C5" w:rsidR="009E42C3" w:rsidRPr="009A75BA" w:rsidRDefault="009E42C3" w:rsidP="009E42C3">
      <w:pPr>
        <w:pStyle w:val="Caption"/>
        <w:keepNext/>
      </w:pPr>
      <w:r>
        <w:t xml:space="preserve">Table </w:t>
      </w:r>
      <w:r>
        <w:fldChar w:fldCharType="begin"/>
      </w:r>
      <w:r>
        <w:instrText xml:space="preserve"> SEQ Table \* ARABIC </w:instrText>
      </w:r>
      <w:r>
        <w:fldChar w:fldCharType="separate"/>
      </w:r>
      <w:r w:rsidR="002370D9">
        <w:rPr>
          <w:noProof/>
        </w:rPr>
        <w:t>1</w:t>
      </w:r>
      <w:r>
        <w:fldChar w:fldCharType="end"/>
      </w:r>
      <w:r>
        <w:t>: Normalization functions.</w:t>
      </w:r>
    </w:p>
    <w:p w14:paraId="2EC55340" w14:textId="77777777" w:rsidR="009E42C3" w:rsidRPr="009A75BA" w:rsidRDefault="009E42C3" w:rsidP="009E42C3">
      <w:pPr>
        <w:rPr>
          <w:i/>
          <w:iCs/>
          <w:color w:val="44546A" w:themeColor="text2"/>
          <w:sz w:val="18"/>
          <w:szCs w:val="18"/>
        </w:rPr>
      </w:pPr>
    </w:p>
    <w:tbl>
      <w:tblPr>
        <w:tblStyle w:val="TableGrid"/>
        <w:tblW w:w="11477" w:type="dxa"/>
        <w:jc w:val="center"/>
        <w:tblLook w:val="04A0" w:firstRow="1" w:lastRow="0" w:firstColumn="1" w:lastColumn="0" w:noHBand="0" w:noVBand="1"/>
      </w:tblPr>
      <w:tblGrid>
        <w:gridCol w:w="1194"/>
        <w:gridCol w:w="1782"/>
        <w:gridCol w:w="2814"/>
        <w:gridCol w:w="1860"/>
        <w:gridCol w:w="3827"/>
      </w:tblGrid>
      <w:tr w:rsidR="009E42C3" w14:paraId="4134D16C" w14:textId="77777777" w:rsidTr="002348A6">
        <w:trPr>
          <w:trHeight w:val="376"/>
          <w:jc w:val="center"/>
        </w:trPr>
        <w:tc>
          <w:tcPr>
            <w:tcW w:w="2976" w:type="dxa"/>
            <w:gridSpan w:val="2"/>
          </w:tcPr>
          <w:p w14:paraId="63177CAA" w14:textId="77777777" w:rsidR="009E42C3" w:rsidRPr="00B71476" w:rsidRDefault="009E42C3" w:rsidP="002348A6">
            <w:pPr>
              <w:rPr>
                <w:b/>
                <w:bCs/>
              </w:rPr>
            </w:pPr>
            <w:r w:rsidRPr="00B71476">
              <w:rPr>
                <w:b/>
                <w:bCs/>
              </w:rPr>
              <w:t>Normalization method</w:t>
            </w:r>
            <w:r>
              <w:rPr>
                <w:b/>
                <w:bCs/>
              </w:rPr>
              <w:t>s</w:t>
            </w:r>
          </w:p>
        </w:tc>
        <w:tc>
          <w:tcPr>
            <w:tcW w:w="2814" w:type="dxa"/>
          </w:tcPr>
          <w:p w14:paraId="17166B5D" w14:textId="77777777" w:rsidR="009E42C3" w:rsidRPr="00B71476" w:rsidRDefault="009E42C3" w:rsidP="002348A6">
            <w:pPr>
              <w:rPr>
                <w:b/>
                <w:bCs/>
              </w:rPr>
            </w:pPr>
            <w:r w:rsidRPr="00B71476">
              <w:rPr>
                <w:b/>
                <w:bCs/>
              </w:rPr>
              <w:t>Formula</w:t>
            </w:r>
          </w:p>
        </w:tc>
        <w:tc>
          <w:tcPr>
            <w:tcW w:w="1860" w:type="dxa"/>
          </w:tcPr>
          <w:p w14:paraId="52218DF3" w14:textId="77777777" w:rsidR="009E42C3" w:rsidRPr="00B71476" w:rsidRDefault="009E42C3" w:rsidP="002348A6">
            <w:pPr>
              <w:rPr>
                <w:b/>
                <w:bCs/>
              </w:rPr>
            </w:pPr>
            <w:r w:rsidRPr="00B71476">
              <w:rPr>
                <w:b/>
                <w:bCs/>
              </w:rPr>
              <w:t>Description</w:t>
            </w:r>
          </w:p>
        </w:tc>
        <w:tc>
          <w:tcPr>
            <w:tcW w:w="3827" w:type="dxa"/>
          </w:tcPr>
          <w:p w14:paraId="6C4F81D6" w14:textId="77777777" w:rsidR="009E42C3" w:rsidRPr="00B71476" w:rsidRDefault="009E42C3" w:rsidP="002348A6">
            <w:pPr>
              <w:rPr>
                <w:b/>
                <w:bCs/>
              </w:rPr>
            </w:pPr>
            <w:r w:rsidRPr="00B71476">
              <w:rPr>
                <w:b/>
                <w:bCs/>
              </w:rPr>
              <w:t>Comments</w:t>
            </w:r>
          </w:p>
        </w:tc>
      </w:tr>
      <w:tr w:rsidR="009E42C3" w14:paraId="62538400" w14:textId="77777777" w:rsidTr="002348A6">
        <w:trPr>
          <w:jc w:val="center"/>
        </w:trPr>
        <w:tc>
          <w:tcPr>
            <w:tcW w:w="1194" w:type="dxa"/>
            <w:vMerge w:val="restart"/>
            <w:vAlign w:val="center"/>
          </w:tcPr>
          <w:p w14:paraId="2252FE9E" w14:textId="77777777" w:rsidR="009E42C3" w:rsidRPr="00B71476" w:rsidRDefault="009E42C3" w:rsidP="002348A6">
            <w:pPr>
              <w:jc w:val="center"/>
              <w:rPr>
                <w:i/>
                <w:iCs/>
              </w:rPr>
            </w:pPr>
            <w:r w:rsidRPr="00B71476">
              <w:rPr>
                <w:i/>
                <w:iCs/>
              </w:rPr>
              <w:t>Linear scale</w:t>
            </w:r>
          </w:p>
        </w:tc>
        <w:tc>
          <w:tcPr>
            <w:tcW w:w="1782" w:type="dxa"/>
          </w:tcPr>
          <w:p w14:paraId="64FEB9D4" w14:textId="77777777" w:rsidR="009E42C3" w:rsidRPr="00FF7C19" w:rsidRDefault="009E42C3" w:rsidP="002348A6">
            <w:pPr>
              <w:rPr>
                <w:b/>
                <w:bCs/>
              </w:rPr>
            </w:pPr>
            <w:r w:rsidRPr="00FF7C19">
              <w:rPr>
                <w:b/>
                <w:bCs/>
              </w:rPr>
              <w:t>Min-max</w:t>
            </w:r>
          </w:p>
        </w:tc>
        <w:tc>
          <w:tcPr>
            <w:tcW w:w="2814" w:type="dxa"/>
            <w:vAlign w:val="center"/>
          </w:tcPr>
          <w:p w14:paraId="1B2BF054" w14:textId="77777777" w:rsidR="009E42C3" w:rsidRPr="005A52AB" w:rsidRDefault="00000000" w:rsidP="002348A6">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den>
                </m:f>
              </m:oMath>
            </m:oMathPara>
          </w:p>
        </w:tc>
        <w:tc>
          <w:tcPr>
            <w:tcW w:w="1860" w:type="dxa"/>
          </w:tcPr>
          <w:p w14:paraId="7FAF9915" w14:textId="77777777" w:rsidR="009E42C3" w:rsidRPr="00FF7C19" w:rsidRDefault="009E42C3" w:rsidP="002348A6">
            <w:pPr>
              <w:rPr>
                <w:sz w:val="20"/>
                <w:szCs w:val="20"/>
              </w:rPr>
            </w:pPr>
            <w:r w:rsidRPr="00FF7C19">
              <w:rPr>
                <w:sz w:val="20"/>
                <w:szCs w:val="20"/>
              </w:rPr>
              <w:t>It applies a linear transformation to rescale the data in a specified range (typically 0-1).</w:t>
            </w:r>
          </w:p>
        </w:tc>
        <w:tc>
          <w:tcPr>
            <w:tcW w:w="3827" w:type="dxa"/>
          </w:tcPr>
          <w:p w14:paraId="0E90C147" w14:textId="77777777" w:rsidR="009E42C3" w:rsidRPr="00466374" w:rsidRDefault="009E42C3" w:rsidP="00E57492">
            <w:pPr>
              <w:jc w:val="both"/>
              <w:rPr>
                <w:sz w:val="20"/>
                <w:szCs w:val="20"/>
              </w:rPr>
            </w:pPr>
            <w:r w:rsidRPr="00466374">
              <w:rPr>
                <w:sz w:val="20"/>
                <w:szCs w:val="20"/>
              </w:rPr>
              <w:t>Most common normalization method used. The order and proximity of the data points are maintained. Outliers can have a significant impact on the transformation. Loss of information: it compresses the range of the original data.</w:t>
            </w:r>
          </w:p>
        </w:tc>
      </w:tr>
      <w:tr w:rsidR="009E42C3" w14:paraId="6E05DBEA" w14:textId="77777777" w:rsidTr="002348A6">
        <w:trPr>
          <w:jc w:val="center"/>
        </w:trPr>
        <w:tc>
          <w:tcPr>
            <w:tcW w:w="1194" w:type="dxa"/>
            <w:vMerge/>
          </w:tcPr>
          <w:p w14:paraId="38FBF195" w14:textId="77777777" w:rsidR="009E42C3" w:rsidRDefault="009E42C3" w:rsidP="002348A6"/>
        </w:tc>
        <w:tc>
          <w:tcPr>
            <w:tcW w:w="1782" w:type="dxa"/>
          </w:tcPr>
          <w:p w14:paraId="346FA517" w14:textId="77777777" w:rsidR="009E42C3" w:rsidRPr="00FF7C19" w:rsidRDefault="009E42C3" w:rsidP="002348A6">
            <w:pPr>
              <w:jc w:val="center"/>
              <w:rPr>
                <w:b/>
                <w:bCs/>
              </w:rPr>
            </w:pPr>
            <w:r w:rsidRPr="00FF7C19">
              <w:rPr>
                <w:b/>
                <w:bCs/>
              </w:rPr>
              <w:t>Standardization</w:t>
            </w:r>
          </w:p>
          <w:p w14:paraId="3A1D3388" w14:textId="77777777" w:rsidR="009E42C3" w:rsidRDefault="009E42C3" w:rsidP="002348A6">
            <w:pPr>
              <w:jc w:val="center"/>
            </w:pPr>
            <w:r w:rsidRPr="00FF7C19">
              <w:rPr>
                <w:b/>
                <w:bCs/>
              </w:rPr>
              <w:t>(z-score)</w:t>
            </w:r>
          </w:p>
        </w:tc>
        <w:tc>
          <w:tcPr>
            <w:tcW w:w="2814" w:type="dxa"/>
            <w:vAlign w:val="center"/>
          </w:tcPr>
          <w:p w14:paraId="0D4EA986" w14:textId="77777777" w:rsidR="009E42C3" w:rsidRDefault="00000000" w:rsidP="002348A6">
            <m:oMathPara>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ic=</m:t>
                        </m:r>
                        <m:acc>
                          <m:accPr>
                            <m:chr m:val="̅"/>
                            <m:ctrlPr>
                              <w:rPr>
                                <w:rFonts w:ascii="Cambria Math" w:hAnsi="Cambria Math"/>
                                <w:i/>
                              </w:rPr>
                            </m:ctrlPr>
                          </m:accPr>
                          <m:e>
                            <m:r>
                              <w:rPr>
                                <w:rFonts w:ascii="Cambria Math" w:hAnsi="Cambria Math"/>
                              </w:rPr>
                              <m:t>c</m:t>
                            </m:r>
                          </m:e>
                        </m:acc>
                      </m:sub>
                    </m:sSub>
                  </m:num>
                  <m:den>
                    <m:sSub>
                      <m:sSubPr>
                        <m:ctrlPr>
                          <w:rPr>
                            <w:rFonts w:ascii="Cambria Math" w:hAnsi="Cambria Math"/>
                            <w:i/>
                          </w:rPr>
                        </m:ctrlPr>
                      </m:sSubPr>
                      <m:e>
                        <m:r>
                          <w:rPr>
                            <w:rFonts w:ascii="Cambria Math" w:hAnsi="Cambria Math"/>
                          </w:rPr>
                          <m:t>σ</m:t>
                        </m:r>
                      </m:e>
                      <m:sub>
                        <m:r>
                          <w:rPr>
                            <w:rFonts w:ascii="Cambria Math" w:hAnsi="Cambria Math"/>
                          </w:rPr>
                          <m:t>ic=</m:t>
                        </m:r>
                        <m:acc>
                          <m:accPr>
                            <m:chr m:val="̅"/>
                            <m:ctrlPr>
                              <w:rPr>
                                <w:rFonts w:ascii="Cambria Math" w:hAnsi="Cambria Math"/>
                                <w:i/>
                              </w:rPr>
                            </m:ctrlPr>
                          </m:accPr>
                          <m:e>
                            <m:r>
                              <w:rPr>
                                <w:rFonts w:ascii="Cambria Math" w:hAnsi="Cambria Math"/>
                              </w:rPr>
                              <m:t>c</m:t>
                            </m:r>
                          </m:e>
                        </m:acc>
                      </m:sub>
                    </m:sSub>
                  </m:den>
                </m:f>
              </m:oMath>
            </m:oMathPara>
          </w:p>
        </w:tc>
        <w:tc>
          <w:tcPr>
            <w:tcW w:w="1860" w:type="dxa"/>
          </w:tcPr>
          <w:p w14:paraId="1DCA273D" w14:textId="77777777" w:rsidR="009E42C3" w:rsidRPr="00FF7C19" w:rsidRDefault="009E42C3" w:rsidP="002348A6">
            <w:pPr>
              <w:rPr>
                <w:sz w:val="20"/>
                <w:szCs w:val="20"/>
              </w:rPr>
            </w:pPr>
            <w:r w:rsidRPr="00FF7C19">
              <w:rPr>
                <w:sz w:val="20"/>
                <w:szCs w:val="20"/>
              </w:rPr>
              <w:t>It applies a linear transformation with mean of 0 and standard deviation of 1.</w:t>
            </w:r>
          </w:p>
        </w:tc>
        <w:tc>
          <w:tcPr>
            <w:tcW w:w="3827" w:type="dxa"/>
          </w:tcPr>
          <w:p w14:paraId="6F50136B" w14:textId="77777777" w:rsidR="009E42C3" w:rsidRPr="00466374" w:rsidRDefault="009E42C3" w:rsidP="00E57492">
            <w:pPr>
              <w:jc w:val="both"/>
              <w:rPr>
                <w:sz w:val="20"/>
                <w:szCs w:val="20"/>
              </w:rPr>
            </w:pPr>
            <w:r w:rsidRPr="00466374">
              <w:rPr>
                <w:sz w:val="20"/>
                <w:szCs w:val="20"/>
              </w:rPr>
              <w:t>The order and proximity of the data points are maintained. The standardized data is not bounded. High values have a great impact on the result, which is desirable if the wish is to reward exceptional behaviour. It preserves the shape and distribution of the original data. Loss of information: none.</w:t>
            </w:r>
          </w:p>
        </w:tc>
      </w:tr>
      <w:tr w:rsidR="009E42C3" w14:paraId="50752820" w14:textId="77777777" w:rsidTr="002348A6">
        <w:trPr>
          <w:jc w:val="center"/>
        </w:trPr>
        <w:tc>
          <w:tcPr>
            <w:tcW w:w="1194" w:type="dxa"/>
            <w:vAlign w:val="center"/>
          </w:tcPr>
          <w:p w14:paraId="71D29D5C" w14:textId="77777777" w:rsidR="009E42C3" w:rsidRDefault="009E42C3" w:rsidP="002348A6">
            <w:pPr>
              <w:jc w:val="center"/>
            </w:pPr>
            <w:r w:rsidRPr="00466374">
              <w:rPr>
                <w:i/>
                <w:iCs/>
              </w:rPr>
              <w:t>Ratio scale</w:t>
            </w:r>
          </w:p>
        </w:tc>
        <w:tc>
          <w:tcPr>
            <w:tcW w:w="1782" w:type="dxa"/>
          </w:tcPr>
          <w:p w14:paraId="37EBCE47" w14:textId="77777777" w:rsidR="009E42C3" w:rsidRPr="00FF7C19" w:rsidRDefault="009E42C3" w:rsidP="002348A6">
            <w:pPr>
              <w:rPr>
                <w:b/>
                <w:bCs/>
              </w:rPr>
            </w:pPr>
            <w:r w:rsidRPr="00FF7C19">
              <w:rPr>
                <w:b/>
                <w:bCs/>
              </w:rPr>
              <w:t>Target</w:t>
            </w:r>
          </w:p>
        </w:tc>
        <w:tc>
          <w:tcPr>
            <w:tcW w:w="2814" w:type="dxa"/>
            <w:vAlign w:val="center"/>
          </w:tcPr>
          <w:p w14:paraId="6C555D5F" w14:textId="77777777" w:rsidR="009E42C3" w:rsidRDefault="00000000" w:rsidP="002348A6">
            <m:oMathPara>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ic</m:t>
                        </m:r>
                      </m:sub>
                    </m:sSub>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oMath>
            </m:oMathPara>
          </w:p>
        </w:tc>
        <w:tc>
          <w:tcPr>
            <w:tcW w:w="1860" w:type="dxa"/>
          </w:tcPr>
          <w:p w14:paraId="21EBEEB7" w14:textId="77777777" w:rsidR="009E42C3" w:rsidRPr="00FF7C19" w:rsidRDefault="009E42C3" w:rsidP="002348A6">
            <w:pPr>
              <w:rPr>
                <w:sz w:val="20"/>
                <w:szCs w:val="20"/>
              </w:rPr>
            </w:pPr>
            <w:r w:rsidRPr="00FF7C19">
              <w:rPr>
                <w:sz w:val="20"/>
                <w:szCs w:val="20"/>
              </w:rPr>
              <w:t>It normalizes the upper limit to 1.</w:t>
            </w:r>
          </w:p>
        </w:tc>
        <w:tc>
          <w:tcPr>
            <w:tcW w:w="3827" w:type="dxa"/>
          </w:tcPr>
          <w:p w14:paraId="733196DA" w14:textId="77777777" w:rsidR="009E42C3" w:rsidRPr="00466374" w:rsidRDefault="009E42C3" w:rsidP="00E57492">
            <w:pPr>
              <w:jc w:val="both"/>
              <w:rPr>
                <w:sz w:val="20"/>
                <w:szCs w:val="20"/>
              </w:rPr>
            </w:pPr>
            <w:r w:rsidRPr="00466374">
              <w:rPr>
                <w:sz w:val="20"/>
                <w:szCs w:val="20"/>
              </w:rPr>
              <w:t>The order and proximity of the data points are maintained. No fixed range. Sensitive to outliers. It can be useful when the maximum value is of particular interest or importance in the analysis. Loss of information: it can reduce the relative differences between values, potentially compressing the data.</w:t>
            </w:r>
          </w:p>
        </w:tc>
      </w:tr>
      <w:tr w:rsidR="009E42C3" w14:paraId="568430A8" w14:textId="77777777" w:rsidTr="002348A6">
        <w:trPr>
          <w:jc w:val="center"/>
        </w:trPr>
        <w:tc>
          <w:tcPr>
            <w:tcW w:w="1194" w:type="dxa"/>
            <w:vAlign w:val="center"/>
          </w:tcPr>
          <w:p w14:paraId="399121ED" w14:textId="77777777" w:rsidR="009E42C3" w:rsidRPr="00466374" w:rsidRDefault="009E42C3" w:rsidP="002348A6">
            <w:pPr>
              <w:jc w:val="center"/>
              <w:rPr>
                <w:i/>
                <w:iCs/>
              </w:rPr>
            </w:pPr>
            <w:r w:rsidRPr="00466374">
              <w:rPr>
                <w:i/>
                <w:iCs/>
              </w:rPr>
              <w:t>Ordinal</w:t>
            </w:r>
          </w:p>
        </w:tc>
        <w:tc>
          <w:tcPr>
            <w:tcW w:w="1782" w:type="dxa"/>
          </w:tcPr>
          <w:p w14:paraId="0FCF53D2" w14:textId="77777777" w:rsidR="009E42C3" w:rsidRPr="00FF7C19" w:rsidRDefault="009E42C3" w:rsidP="002348A6">
            <w:pPr>
              <w:rPr>
                <w:b/>
                <w:bCs/>
                <w:i/>
                <w:iCs/>
              </w:rPr>
            </w:pPr>
            <w:r w:rsidRPr="00FF7C19">
              <w:rPr>
                <w:b/>
                <w:bCs/>
              </w:rPr>
              <w:t>Rank</w:t>
            </w:r>
          </w:p>
        </w:tc>
        <w:tc>
          <w:tcPr>
            <w:tcW w:w="2814" w:type="dxa"/>
            <w:vAlign w:val="center"/>
          </w:tcPr>
          <w:p w14:paraId="1FCF6726" w14:textId="77777777" w:rsidR="009E42C3" w:rsidRDefault="00000000" w:rsidP="002348A6">
            <m:oMathPara>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rank(x</m:t>
                    </m:r>
                  </m:e>
                  <m:sub>
                    <m:r>
                      <w:rPr>
                        <w:rFonts w:ascii="Cambria Math" w:hAnsi="Cambria Math"/>
                      </w:rPr>
                      <m:t>ic</m:t>
                    </m:r>
                  </m:sub>
                </m:sSub>
                <m:r>
                  <w:rPr>
                    <w:rFonts w:ascii="Cambria Math" w:hAnsi="Cambria Math"/>
                  </w:rPr>
                  <m:t>)</m:t>
                </m:r>
              </m:oMath>
            </m:oMathPara>
          </w:p>
        </w:tc>
        <w:tc>
          <w:tcPr>
            <w:tcW w:w="1860" w:type="dxa"/>
          </w:tcPr>
          <w:p w14:paraId="72B4D7B2" w14:textId="77777777" w:rsidR="009E42C3" w:rsidRPr="00FF7C19" w:rsidRDefault="009E42C3" w:rsidP="002348A6">
            <w:pPr>
              <w:rPr>
                <w:sz w:val="20"/>
                <w:szCs w:val="20"/>
              </w:rPr>
            </w:pPr>
            <w:r w:rsidRPr="00FF7C19">
              <w:rPr>
                <w:sz w:val="20"/>
                <w:szCs w:val="20"/>
              </w:rPr>
              <w:t>The data points are ranked based on their relative values.</w:t>
            </w:r>
          </w:p>
        </w:tc>
        <w:tc>
          <w:tcPr>
            <w:tcW w:w="3827" w:type="dxa"/>
          </w:tcPr>
          <w:p w14:paraId="1EC3BF07" w14:textId="77777777" w:rsidR="009E42C3" w:rsidRPr="00466374" w:rsidRDefault="009E42C3" w:rsidP="00E57492">
            <w:pPr>
              <w:jc w:val="both"/>
              <w:rPr>
                <w:sz w:val="20"/>
                <w:szCs w:val="20"/>
              </w:rPr>
            </w:pPr>
            <w:r w:rsidRPr="00466374">
              <w:rPr>
                <w:sz w:val="20"/>
                <w:szCs w:val="20"/>
              </w:rPr>
              <w:t>The order and proximity of the data points are maintained. It does not impose a fixed range on the transformed data. It eliminates magnitude differences. It can be useful when the exact values are not important, but rather the relative positions or comparisons between values. Robust to outliers.</w:t>
            </w:r>
          </w:p>
        </w:tc>
      </w:tr>
      <w:tr w:rsidR="009E42C3" w14:paraId="6E7961C5" w14:textId="77777777" w:rsidTr="002348A6">
        <w:trPr>
          <w:jc w:val="center"/>
        </w:trPr>
        <w:tc>
          <w:tcPr>
            <w:tcW w:w="11477" w:type="dxa"/>
            <w:gridSpan w:val="5"/>
            <w:vAlign w:val="center"/>
          </w:tcPr>
          <w:p w14:paraId="284B70F4" w14:textId="77777777" w:rsidR="009E42C3" w:rsidRDefault="009E42C3" w:rsidP="002348A6">
            <w:pPr>
              <w:pStyle w:val="Caption"/>
              <w:keepNext/>
              <w:rPr>
                <w:b/>
                <w:bCs/>
                <w:i w:val="0"/>
                <w:iCs w:val="0"/>
                <w:color w:val="auto"/>
                <w:sz w:val="20"/>
                <w:szCs w:val="20"/>
              </w:rPr>
            </w:pPr>
            <w:r w:rsidRPr="00D45B77">
              <w:rPr>
                <w:b/>
                <w:bCs/>
                <w:i w:val="0"/>
                <w:iCs w:val="0"/>
                <w:color w:val="auto"/>
                <w:sz w:val="20"/>
                <w:szCs w:val="20"/>
              </w:rPr>
              <w:t>Legend</w:t>
            </w:r>
          </w:p>
          <w:p w14:paraId="713904E6" w14:textId="77777777" w:rsidR="009E42C3" w:rsidRPr="00D45B77" w:rsidRDefault="00000000" w:rsidP="002348A6">
            <w:pPr>
              <w:rPr>
                <w:b/>
                <w:bCs/>
                <w:sz w:val="20"/>
                <w:szCs w:val="20"/>
              </w:rPr>
            </w:pPr>
            <m:oMath>
              <m:sSub>
                <m:sSubPr>
                  <m:ctrlPr>
                    <w:rPr>
                      <w:rFonts w:ascii="Cambria Math" w:hAnsi="Cambria Math"/>
                      <w:i/>
                    </w:rPr>
                  </m:ctrlPr>
                </m:sSubPr>
                <m:e>
                  <m:r>
                    <w:rPr>
                      <w:rFonts w:ascii="Cambria Math" w:hAnsi="Cambria Math"/>
                    </w:rPr>
                    <m:t>I</m:t>
                  </m:r>
                </m:e>
                <m:sub>
                  <m:r>
                    <w:rPr>
                      <w:rFonts w:ascii="Cambria Math" w:hAnsi="Cambria Math"/>
                    </w:rPr>
                    <m:t>ic</m:t>
                  </m:r>
                </m:sub>
              </m:sSub>
            </m:oMath>
            <w:r w:rsidR="009E42C3" w:rsidRPr="00D45B77">
              <w:t xml:space="preserve">: the normalized value of indicator </w:t>
            </w:r>
            <w:proofErr w:type="spellStart"/>
            <w:r w:rsidR="009E42C3" w:rsidRPr="00F543B0">
              <w:rPr>
                <w:i/>
                <w:iCs/>
              </w:rPr>
              <w:t>i</w:t>
            </w:r>
            <w:proofErr w:type="spellEnd"/>
            <w:r w:rsidR="009E42C3" w:rsidRPr="00D45B77">
              <w:t xml:space="preserve"> for alternative </w:t>
            </w:r>
            <w:r w:rsidR="009E42C3" w:rsidRPr="00F543B0">
              <w:rPr>
                <w:i/>
                <w:iCs/>
              </w:rPr>
              <w:t>c.</w:t>
            </w:r>
          </w:p>
          <w:p w14:paraId="337DD79A" w14:textId="77777777" w:rsidR="009E42C3" w:rsidRDefault="00000000" w:rsidP="002348A6">
            <m:oMath>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ic</m:t>
                  </m:r>
                </m:sub>
              </m:sSub>
            </m:oMath>
            <w:r w:rsidR="009E42C3">
              <w:t xml:space="preserve">: the value of indicator i for alternative </w:t>
            </w:r>
            <w:r w:rsidR="009E42C3" w:rsidRPr="00F543B0">
              <w:rPr>
                <w:i/>
                <w:iCs/>
              </w:rPr>
              <w:t>c.</w:t>
            </w:r>
          </w:p>
          <w:p w14:paraId="7DC505EF" w14:textId="65C46335" w:rsidR="009E42C3" w:rsidRDefault="00000000" w:rsidP="002348A6">
            <m:oMath>
              <m:sSub>
                <m:sSubPr>
                  <m:ctrlPr>
                    <w:rPr>
                      <w:rFonts w:ascii="Cambria Math" w:hAnsi="Cambria Math"/>
                      <w:i/>
                    </w:rPr>
                  </m:ctrlPr>
                </m:sSubPr>
                <m:e>
                  <m:r>
                    <w:rPr>
                      <w:rFonts w:ascii="Cambria Math" w:hAnsi="Cambria Math"/>
                    </w:rPr>
                    <m:t>x</m:t>
                  </m:r>
                </m:e>
                <m:sub>
                  <m:r>
                    <w:rPr>
                      <w:rFonts w:ascii="Cambria Math" w:hAnsi="Cambria Math"/>
                    </w:rPr>
                    <m:t>ic=</m:t>
                  </m:r>
                  <m:acc>
                    <m:accPr>
                      <m:chr m:val="̅"/>
                      <m:ctrlPr>
                        <w:rPr>
                          <w:rFonts w:ascii="Cambria Math" w:hAnsi="Cambria Math"/>
                          <w:i/>
                        </w:rPr>
                      </m:ctrlPr>
                    </m:accPr>
                    <m:e>
                      <m:r>
                        <w:rPr>
                          <w:rFonts w:ascii="Cambria Math" w:hAnsi="Cambria Math"/>
                        </w:rPr>
                        <m:t>c</m:t>
                      </m:r>
                    </m:e>
                  </m:acc>
                </m:sub>
              </m:sSub>
            </m:oMath>
            <w:r w:rsidR="009E42C3">
              <w:t xml:space="preserve">the average value of indicator </w:t>
            </w:r>
            <w:proofErr w:type="spellStart"/>
            <w:r w:rsidR="009E42C3" w:rsidRPr="00F543B0">
              <w:rPr>
                <w:i/>
                <w:iCs/>
              </w:rPr>
              <w:t>i</w:t>
            </w:r>
            <w:proofErr w:type="spellEnd"/>
            <w:r w:rsidR="009E42C3" w:rsidRPr="00F543B0">
              <w:rPr>
                <w:i/>
                <w:iCs/>
              </w:rPr>
              <w:t xml:space="preserve"> </w:t>
            </w:r>
            <w:r w:rsidR="009E42C3">
              <w:t>across all alternatives</w:t>
            </w:r>
            <w:r w:rsidR="00BE41E3">
              <w:t>.</w:t>
            </w:r>
          </w:p>
          <w:p w14:paraId="0A819D9C" w14:textId="3A1ECEFB" w:rsidR="009E42C3" w:rsidRDefault="00000000" w:rsidP="002348A6">
            <m:oMath>
              <m:sSub>
                <m:sSubPr>
                  <m:ctrlPr>
                    <w:rPr>
                      <w:rFonts w:ascii="Cambria Math" w:hAnsi="Cambria Math"/>
                      <w:i/>
                    </w:rPr>
                  </m:ctrlPr>
                </m:sSubPr>
                <m:e>
                  <m:r>
                    <w:rPr>
                      <w:rFonts w:ascii="Cambria Math" w:hAnsi="Cambria Math"/>
                    </w:rPr>
                    <m:t>σ</m:t>
                  </m:r>
                </m:e>
                <m:sub>
                  <m:r>
                    <w:rPr>
                      <w:rFonts w:ascii="Cambria Math" w:hAnsi="Cambria Math"/>
                    </w:rPr>
                    <m:t>ic=</m:t>
                  </m:r>
                  <m:acc>
                    <m:accPr>
                      <m:chr m:val="̅"/>
                      <m:ctrlPr>
                        <w:rPr>
                          <w:rFonts w:ascii="Cambria Math" w:hAnsi="Cambria Math"/>
                          <w:i/>
                        </w:rPr>
                      </m:ctrlPr>
                    </m:accPr>
                    <m:e>
                      <m:r>
                        <w:rPr>
                          <w:rFonts w:ascii="Cambria Math" w:hAnsi="Cambria Math"/>
                        </w:rPr>
                        <m:t>c</m:t>
                      </m:r>
                    </m:e>
                  </m:acc>
                </m:sub>
              </m:sSub>
            </m:oMath>
            <w:r w:rsidR="009E42C3">
              <w:t xml:space="preserve">: the standard deviation of indicator </w:t>
            </w:r>
            <w:proofErr w:type="spellStart"/>
            <w:r w:rsidR="009E42C3" w:rsidRPr="00F543B0">
              <w:rPr>
                <w:i/>
                <w:iCs/>
              </w:rPr>
              <w:t>i</w:t>
            </w:r>
            <w:proofErr w:type="spellEnd"/>
            <w:r w:rsidR="009E42C3">
              <w:t xml:space="preserve"> across all alternatives</w:t>
            </w:r>
            <w:r w:rsidR="00BE41E3">
              <w:t>.</w:t>
            </w:r>
          </w:p>
          <w:p w14:paraId="29881FD9" w14:textId="4AF74E25" w:rsidR="009E42C3" w:rsidRDefault="00000000" w:rsidP="002348A6">
            <m:oMath>
              <m:sSub>
                <m:sSubPr>
                  <m:ctrlPr>
                    <w:rPr>
                      <w:rFonts w:ascii="Cambria Math" w:hAnsi="Cambria Math"/>
                      <w:i/>
                      <w:iCs/>
                      <w:sz w:val="20"/>
                      <w:szCs w:val="20"/>
                    </w:rPr>
                  </m:ctrlPr>
                </m:sSubPr>
                <m:e>
                  <m:r>
                    <w:rPr>
                      <w:rFonts w:ascii="Cambria Math" w:hAnsi="Cambria Math"/>
                      <w:sz w:val="20"/>
                      <w:szCs w:val="20"/>
                    </w:rPr>
                    <m:t>min(x</m:t>
                  </m:r>
                </m:e>
                <m:sub>
                  <m:r>
                    <w:rPr>
                      <w:rFonts w:ascii="Cambria Math" w:hAnsi="Cambria Math"/>
                      <w:sz w:val="20"/>
                      <w:szCs w:val="20"/>
                    </w:rPr>
                    <m:t>i</m:t>
                  </m:r>
                </m:sub>
              </m:sSub>
              <m:r>
                <w:rPr>
                  <w:rFonts w:ascii="Cambria Math" w:hAnsi="Cambria Math"/>
                  <w:sz w:val="20"/>
                  <w:szCs w:val="20"/>
                </w:rPr>
                <m:t>)</m:t>
              </m:r>
            </m:oMath>
            <w:r w:rsidR="009E42C3">
              <w:t xml:space="preserve">: the minimum value of indicator </w:t>
            </w:r>
            <w:proofErr w:type="spellStart"/>
            <w:r w:rsidR="009E42C3" w:rsidRPr="00F543B0">
              <w:rPr>
                <w:i/>
                <w:iCs/>
              </w:rPr>
              <w:t>i</w:t>
            </w:r>
            <w:proofErr w:type="spellEnd"/>
            <w:r w:rsidR="009E42C3">
              <w:t xml:space="preserve"> across all alternatives</w:t>
            </w:r>
            <w:r w:rsidR="00BE41E3">
              <w:t>.</w:t>
            </w:r>
          </w:p>
          <w:p w14:paraId="663A87D2" w14:textId="0C7DCEEA" w:rsidR="009E42C3" w:rsidRPr="00D45B77" w:rsidRDefault="00000000" w:rsidP="002348A6">
            <m:oMath>
              <m:sSub>
                <m:sSubPr>
                  <m:ctrlPr>
                    <w:rPr>
                      <w:rFonts w:ascii="Cambria Math" w:hAnsi="Cambria Math"/>
                      <w:i/>
                      <w:iCs/>
                      <w:sz w:val="20"/>
                      <w:szCs w:val="20"/>
                    </w:rPr>
                  </m:ctrlPr>
                </m:sSubPr>
                <m:e>
                  <m:r>
                    <w:rPr>
                      <w:rFonts w:ascii="Cambria Math" w:hAnsi="Cambria Math"/>
                      <w:sz w:val="20"/>
                      <w:szCs w:val="20"/>
                    </w:rPr>
                    <m:t>max(x</m:t>
                  </m:r>
                </m:e>
                <m:sub>
                  <m:r>
                    <w:rPr>
                      <w:rFonts w:ascii="Cambria Math" w:hAnsi="Cambria Math"/>
                      <w:sz w:val="20"/>
                      <w:szCs w:val="20"/>
                    </w:rPr>
                    <m:t>i</m:t>
                  </m:r>
                </m:sub>
              </m:sSub>
              <m:r>
                <w:rPr>
                  <w:rFonts w:ascii="Cambria Math" w:hAnsi="Cambria Math"/>
                  <w:sz w:val="20"/>
                  <w:szCs w:val="20"/>
                </w:rPr>
                <m:t>)</m:t>
              </m:r>
            </m:oMath>
            <w:r w:rsidR="009E42C3">
              <w:t xml:space="preserve">: the maximum value of indicator </w:t>
            </w:r>
            <w:proofErr w:type="spellStart"/>
            <w:r w:rsidR="009E42C3" w:rsidRPr="00F543B0">
              <w:rPr>
                <w:i/>
                <w:iCs/>
              </w:rPr>
              <w:t>i</w:t>
            </w:r>
            <w:proofErr w:type="spellEnd"/>
            <w:r w:rsidR="009E42C3" w:rsidRPr="00F543B0">
              <w:rPr>
                <w:i/>
                <w:iCs/>
              </w:rPr>
              <w:t xml:space="preserve"> </w:t>
            </w:r>
            <w:r w:rsidR="009E42C3">
              <w:t>across all alternatives</w:t>
            </w:r>
            <w:r w:rsidR="00BE41E3">
              <w:t>.</w:t>
            </w:r>
          </w:p>
        </w:tc>
      </w:tr>
    </w:tbl>
    <w:p w14:paraId="41A8C4A4" w14:textId="77777777" w:rsidR="009E42C3" w:rsidRDefault="009E42C3" w:rsidP="009E42C3"/>
    <w:p w14:paraId="028CAE02" w14:textId="77777777" w:rsidR="009E42C3" w:rsidRDefault="009E42C3" w:rsidP="009E42C3"/>
    <w:p w14:paraId="69FC41D0" w14:textId="77777777" w:rsidR="009E42C3" w:rsidRDefault="009E42C3" w:rsidP="009E42C3"/>
    <w:p w14:paraId="0D75C686" w14:textId="77777777" w:rsidR="009E42C3" w:rsidRDefault="009E42C3" w:rsidP="009E42C3"/>
    <w:p w14:paraId="7A4DB3C1" w14:textId="77777777" w:rsidR="009E42C3" w:rsidRDefault="009E42C3" w:rsidP="009E42C3"/>
    <w:p w14:paraId="11F5F258" w14:textId="77777777" w:rsidR="009E42C3" w:rsidRDefault="009E42C3" w:rsidP="009E42C3"/>
    <w:p w14:paraId="235EDDC8" w14:textId="77777777" w:rsidR="009E42C3" w:rsidRDefault="009E42C3" w:rsidP="009E42C3"/>
    <w:p w14:paraId="096F03E6" w14:textId="77777777" w:rsidR="009E42C3" w:rsidRDefault="009E42C3" w:rsidP="009E42C3"/>
    <w:p w14:paraId="02F5318D" w14:textId="7B66B51D" w:rsidR="009E42C3" w:rsidRDefault="009E42C3" w:rsidP="009E42C3">
      <w:pPr>
        <w:pStyle w:val="Caption"/>
        <w:keepNext/>
      </w:pPr>
      <w:r>
        <w:lastRenderedPageBreak/>
        <w:t xml:space="preserve">Table </w:t>
      </w:r>
      <w:r>
        <w:fldChar w:fldCharType="begin"/>
      </w:r>
      <w:r>
        <w:instrText xml:space="preserve"> SEQ Table \* ARABIC </w:instrText>
      </w:r>
      <w:r>
        <w:fldChar w:fldCharType="separate"/>
      </w:r>
      <w:r w:rsidR="002370D9">
        <w:rPr>
          <w:noProof/>
        </w:rPr>
        <w:t>2</w:t>
      </w:r>
      <w:r>
        <w:fldChar w:fldCharType="end"/>
      </w:r>
      <w:r w:rsidR="006E5DAB">
        <w:t>:</w:t>
      </w:r>
      <w:r>
        <w:t xml:space="preserve"> Aggregation functions. As reference see Langhans et al. [2014]. The sum of the weights is considered normalized to 1.</w:t>
      </w:r>
    </w:p>
    <w:tbl>
      <w:tblPr>
        <w:tblStyle w:val="TableGrid"/>
        <w:tblW w:w="11477" w:type="dxa"/>
        <w:jc w:val="center"/>
        <w:tblLook w:val="04A0" w:firstRow="1" w:lastRow="0" w:firstColumn="1" w:lastColumn="0" w:noHBand="0" w:noVBand="1"/>
      </w:tblPr>
      <w:tblGrid>
        <w:gridCol w:w="2541"/>
        <w:gridCol w:w="3326"/>
        <w:gridCol w:w="22"/>
        <w:gridCol w:w="2468"/>
        <w:gridCol w:w="3120"/>
      </w:tblGrid>
      <w:tr w:rsidR="009E42C3" w14:paraId="26E7736E" w14:textId="77777777" w:rsidTr="002348A6">
        <w:trPr>
          <w:trHeight w:val="376"/>
          <w:jc w:val="center"/>
        </w:trPr>
        <w:tc>
          <w:tcPr>
            <w:tcW w:w="2541" w:type="dxa"/>
          </w:tcPr>
          <w:p w14:paraId="137A9B08" w14:textId="77777777" w:rsidR="009E42C3" w:rsidRPr="00B71476" w:rsidRDefault="009E42C3" w:rsidP="002348A6">
            <w:pPr>
              <w:rPr>
                <w:b/>
                <w:bCs/>
              </w:rPr>
            </w:pPr>
            <w:r>
              <w:rPr>
                <w:b/>
                <w:bCs/>
              </w:rPr>
              <w:t>Aggregation</w:t>
            </w:r>
            <w:r w:rsidRPr="00B71476">
              <w:rPr>
                <w:b/>
                <w:bCs/>
              </w:rPr>
              <w:t xml:space="preserve"> method</w:t>
            </w:r>
            <w:r>
              <w:rPr>
                <w:b/>
                <w:bCs/>
              </w:rPr>
              <w:t>s</w:t>
            </w:r>
          </w:p>
        </w:tc>
        <w:tc>
          <w:tcPr>
            <w:tcW w:w="3348" w:type="dxa"/>
            <w:gridSpan w:val="2"/>
          </w:tcPr>
          <w:p w14:paraId="619A4D36" w14:textId="77777777" w:rsidR="009E42C3" w:rsidRPr="00B71476" w:rsidRDefault="009E42C3" w:rsidP="002348A6">
            <w:pPr>
              <w:rPr>
                <w:b/>
                <w:bCs/>
              </w:rPr>
            </w:pPr>
            <w:r w:rsidRPr="00B71476">
              <w:rPr>
                <w:b/>
                <w:bCs/>
              </w:rPr>
              <w:t>Formula</w:t>
            </w:r>
          </w:p>
        </w:tc>
        <w:tc>
          <w:tcPr>
            <w:tcW w:w="2468" w:type="dxa"/>
          </w:tcPr>
          <w:p w14:paraId="7790F026" w14:textId="77777777" w:rsidR="009E42C3" w:rsidRPr="00B71476" w:rsidRDefault="009E42C3" w:rsidP="002348A6">
            <w:pPr>
              <w:rPr>
                <w:b/>
                <w:bCs/>
              </w:rPr>
            </w:pPr>
            <w:r>
              <w:rPr>
                <w:b/>
                <w:bCs/>
              </w:rPr>
              <w:t>Level of compensation</w:t>
            </w:r>
          </w:p>
        </w:tc>
        <w:tc>
          <w:tcPr>
            <w:tcW w:w="3120" w:type="dxa"/>
          </w:tcPr>
          <w:p w14:paraId="0E59D25A" w14:textId="77777777" w:rsidR="009E42C3" w:rsidRPr="00B71476" w:rsidRDefault="009E42C3" w:rsidP="002348A6">
            <w:pPr>
              <w:rPr>
                <w:b/>
                <w:bCs/>
              </w:rPr>
            </w:pPr>
            <w:r w:rsidRPr="00B71476">
              <w:rPr>
                <w:b/>
                <w:bCs/>
              </w:rPr>
              <w:t>Comments</w:t>
            </w:r>
          </w:p>
        </w:tc>
      </w:tr>
      <w:tr w:rsidR="009E42C3" w14:paraId="4F4228A4" w14:textId="77777777" w:rsidTr="002348A6">
        <w:trPr>
          <w:jc w:val="center"/>
        </w:trPr>
        <w:tc>
          <w:tcPr>
            <w:tcW w:w="2541" w:type="dxa"/>
          </w:tcPr>
          <w:p w14:paraId="1844074C" w14:textId="77777777" w:rsidR="009E42C3" w:rsidRDefault="009E42C3" w:rsidP="002348A6">
            <w:pPr>
              <w:rPr>
                <w:b/>
                <w:bCs/>
              </w:rPr>
            </w:pPr>
            <w:r>
              <w:rPr>
                <w:b/>
                <w:bCs/>
              </w:rPr>
              <w:t>Additive</w:t>
            </w:r>
          </w:p>
          <w:p w14:paraId="04D8BB44" w14:textId="77777777" w:rsidR="009E42C3" w:rsidRPr="00FF7C19" w:rsidRDefault="009E42C3" w:rsidP="002348A6">
            <w:pPr>
              <w:rPr>
                <w:b/>
                <w:bCs/>
              </w:rPr>
            </w:pPr>
            <w:r>
              <w:rPr>
                <w:b/>
                <w:bCs/>
              </w:rPr>
              <w:t>(weighted arithmetic mean)</w:t>
            </w:r>
          </w:p>
        </w:tc>
        <w:tc>
          <w:tcPr>
            <w:tcW w:w="3326" w:type="dxa"/>
            <w:vAlign w:val="center"/>
          </w:tcPr>
          <w:p w14:paraId="0994CC37" w14:textId="77777777" w:rsidR="009E42C3" w:rsidRPr="005A52AB" w:rsidRDefault="00000000" w:rsidP="002348A6">
            <m:oMathPara>
              <m:oMathParaPr>
                <m:jc m:val="center"/>
              </m:oMathParaPr>
              <m:oMath>
                <m:sSub>
                  <m:sSubPr>
                    <m:ctrlPr>
                      <w:rPr>
                        <w:rFonts w:ascii="Cambria Math" w:hAnsi="Cambria Math"/>
                        <w:i/>
                      </w:rPr>
                    </m:ctrlPr>
                  </m:sSubPr>
                  <m:e>
                    <m:r>
                      <w:rPr>
                        <w:rFonts w:ascii="Cambria Math" w:hAnsi="Cambria Math"/>
                      </w:rPr>
                      <m:t>score</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ic</m:t>
                        </m:r>
                      </m:sub>
                    </m:sSub>
                  </m:e>
                </m:nary>
                <m:sSub>
                  <m:sSubPr>
                    <m:ctrlPr>
                      <w:rPr>
                        <w:rFonts w:ascii="Cambria Math" w:hAnsi="Cambria Math"/>
                        <w:i/>
                      </w:rPr>
                    </m:ctrlPr>
                  </m:sSubPr>
                  <m:e>
                    <m:r>
                      <w:rPr>
                        <w:rFonts w:ascii="Cambria Math" w:hAnsi="Cambria Math"/>
                      </w:rPr>
                      <m:t>w</m:t>
                    </m:r>
                  </m:e>
                  <m:sub>
                    <m:r>
                      <w:rPr>
                        <w:rFonts w:ascii="Cambria Math" w:hAnsi="Cambria Math"/>
                      </w:rPr>
                      <m:t>i</m:t>
                    </m:r>
                  </m:sub>
                </m:sSub>
              </m:oMath>
            </m:oMathPara>
          </w:p>
        </w:tc>
        <w:tc>
          <w:tcPr>
            <w:tcW w:w="2490" w:type="dxa"/>
            <w:gridSpan w:val="2"/>
          </w:tcPr>
          <w:p w14:paraId="2C6B0969" w14:textId="77777777" w:rsidR="009E42C3" w:rsidRPr="00FF7C19" w:rsidRDefault="009E42C3" w:rsidP="002348A6">
            <w:pPr>
              <w:rPr>
                <w:sz w:val="20"/>
                <w:szCs w:val="20"/>
              </w:rPr>
            </w:pPr>
            <w:r>
              <w:rPr>
                <w:sz w:val="20"/>
                <w:szCs w:val="20"/>
              </w:rPr>
              <w:t>Full</w:t>
            </w:r>
          </w:p>
        </w:tc>
        <w:tc>
          <w:tcPr>
            <w:tcW w:w="3120" w:type="dxa"/>
          </w:tcPr>
          <w:p w14:paraId="2154DA29" w14:textId="77777777" w:rsidR="009E42C3" w:rsidRPr="00466374" w:rsidRDefault="009E42C3" w:rsidP="0019685D">
            <w:pPr>
              <w:jc w:val="both"/>
              <w:rPr>
                <w:sz w:val="20"/>
                <w:szCs w:val="20"/>
              </w:rPr>
            </w:pPr>
            <w:r w:rsidRPr="00466374">
              <w:rPr>
                <w:sz w:val="20"/>
                <w:szCs w:val="20"/>
              </w:rPr>
              <w:t xml:space="preserve">Most common </w:t>
            </w:r>
            <w:r>
              <w:rPr>
                <w:sz w:val="20"/>
                <w:szCs w:val="20"/>
              </w:rPr>
              <w:t>aggregation</w:t>
            </w:r>
            <w:r w:rsidRPr="00466374">
              <w:rPr>
                <w:sz w:val="20"/>
                <w:szCs w:val="20"/>
              </w:rPr>
              <w:t xml:space="preserve"> method used. </w:t>
            </w:r>
            <w:r>
              <w:rPr>
                <w:sz w:val="20"/>
                <w:szCs w:val="20"/>
              </w:rPr>
              <w:t>It is a linear combination. It amplifies the effect of the higher values. C</w:t>
            </w:r>
            <w:r w:rsidRPr="00003F4F">
              <w:rPr>
                <w:sz w:val="20"/>
                <w:szCs w:val="20"/>
              </w:rPr>
              <w:t>ommonly used in situations where variables are considered equally important</w:t>
            </w:r>
            <w:r>
              <w:rPr>
                <w:sz w:val="20"/>
                <w:szCs w:val="20"/>
              </w:rPr>
              <w:t>.</w:t>
            </w:r>
          </w:p>
        </w:tc>
      </w:tr>
      <w:tr w:rsidR="009E42C3" w14:paraId="65CD79EC" w14:textId="77777777" w:rsidTr="002348A6">
        <w:trPr>
          <w:jc w:val="center"/>
        </w:trPr>
        <w:tc>
          <w:tcPr>
            <w:tcW w:w="2541" w:type="dxa"/>
          </w:tcPr>
          <w:p w14:paraId="381DFBF0" w14:textId="77777777" w:rsidR="009E42C3" w:rsidRDefault="009E42C3" w:rsidP="002348A6">
            <w:pPr>
              <w:rPr>
                <w:b/>
                <w:bCs/>
              </w:rPr>
            </w:pPr>
            <w:r>
              <w:rPr>
                <w:b/>
                <w:bCs/>
              </w:rPr>
              <w:t>Geometric</w:t>
            </w:r>
          </w:p>
          <w:p w14:paraId="7156F04A" w14:textId="77777777" w:rsidR="009E42C3" w:rsidRPr="00C47ECD" w:rsidRDefault="009E42C3" w:rsidP="002348A6">
            <w:pPr>
              <w:rPr>
                <w:b/>
                <w:bCs/>
              </w:rPr>
            </w:pPr>
            <w:r w:rsidRPr="00C47ECD">
              <w:rPr>
                <w:b/>
                <w:bCs/>
              </w:rPr>
              <w:t>(weighted geometric mean)</w:t>
            </w:r>
          </w:p>
        </w:tc>
        <w:tc>
          <w:tcPr>
            <w:tcW w:w="3326" w:type="dxa"/>
            <w:vAlign w:val="center"/>
          </w:tcPr>
          <w:p w14:paraId="2F4D3960" w14:textId="77777777" w:rsidR="009E42C3" w:rsidRPr="00DD3B4F" w:rsidRDefault="00000000" w:rsidP="002348A6">
            <w:pPr>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ic</m:t>
                                </m:r>
                              </m:sub>
                            </m:sSub>
                          </m:e>
                          <m:sub>
                            <m:r>
                              <w:rPr>
                                <w:rFonts w:ascii="Cambria Math" w:hAnsi="Cambria Math"/>
                              </w:rPr>
                              <m:t>i</m:t>
                            </m:r>
                          </m:sub>
                        </m:sSub>
                      </m:e>
                      <m:sup>
                        <m:sSub>
                          <m:sSubPr>
                            <m:ctrlPr>
                              <w:rPr>
                                <w:rFonts w:ascii="Cambria Math" w:hAnsi="Cambria Math"/>
                                <w:i/>
                              </w:rPr>
                            </m:ctrlPr>
                          </m:sSubPr>
                          <m:e>
                            <m:r>
                              <w:rPr>
                                <w:rFonts w:ascii="Cambria Math" w:hAnsi="Cambria Math"/>
                              </w:rPr>
                              <m:t>w</m:t>
                            </m:r>
                          </m:e>
                          <m:sub>
                            <m:r>
                              <w:rPr>
                                <w:rFonts w:ascii="Cambria Math" w:hAnsi="Cambria Math"/>
                              </w:rPr>
                              <m:t>i</m:t>
                            </m:r>
                          </m:sub>
                        </m:sSub>
                      </m:sup>
                    </m:sSup>
                  </m:e>
                </m:nary>
              </m:oMath>
            </m:oMathPara>
          </w:p>
        </w:tc>
        <w:tc>
          <w:tcPr>
            <w:tcW w:w="2490" w:type="dxa"/>
            <w:gridSpan w:val="2"/>
          </w:tcPr>
          <w:p w14:paraId="409EE055" w14:textId="77777777" w:rsidR="009E42C3" w:rsidRPr="00FF7C19" w:rsidRDefault="009E42C3" w:rsidP="002348A6">
            <w:pPr>
              <w:rPr>
                <w:sz w:val="20"/>
                <w:szCs w:val="20"/>
              </w:rPr>
            </w:pPr>
            <w:r>
              <w:rPr>
                <w:sz w:val="20"/>
                <w:szCs w:val="20"/>
              </w:rPr>
              <w:t>Partial</w:t>
            </w:r>
          </w:p>
        </w:tc>
        <w:tc>
          <w:tcPr>
            <w:tcW w:w="3120" w:type="dxa"/>
          </w:tcPr>
          <w:p w14:paraId="2A10E928" w14:textId="77777777" w:rsidR="009E42C3" w:rsidRPr="00466374" w:rsidRDefault="009E42C3" w:rsidP="0019685D">
            <w:pPr>
              <w:jc w:val="both"/>
              <w:rPr>
                <w:sz w:val="20"/>
                <w:szCs w:val="20"/>
              </w:rPr>
            </w:pPr>
            <w:r>
              <w:rPr>
                <w:sz w:val="20"/>
                <w:szCs w:val="20"/>
              </w:rPr>
              <w:t xml:space="preserve">The indicators values should be larger than 0. It is a non-linear combination. </w:t>
            </w:r>
            <w:r w:rsidRPr="00C47ECD">
              <w:rPr>
                <w:sz w:val="20"/>
                <w:szCs w:val="20"/>
              </w:rPr>
              <w:t>The impact of each variable's value is not proportional to its magnitude, and the relative contribution of each variable depends on the other variables involved.</w:t>
            </w:r>
            <w:r>
              <w:rPr>
                <w:sz w:val="20"/>
                <w:szCs w:val="20"/>
              </w:rPr>
              <w:t xml:space="preserve"> It </w:t>
            </w:r>
            <w:r w:rsidRPr="00A41BB7">
              <w:rPr>
                <w:sz w:val="20"/>
                <w:szCs w:val="20"/>
              </w:rPr>
              <w:t>amplifies the impact of variables with small values</w:t>
            </w:r>
            <w:r>
              <w:rPr>
                <w:sz w:val="20"/>
                <w:szCs w:val="20"/>
              </w:rPr>
              <w:t>. The</w:t>
            </w:r>
            <w:r w:rsidRPr="00A41BB7">
              <w:rPr>
                <w:sz w:val="20"/>
                <w:szCs w:val="20"/>
              </w:rPr>
              <w:t xml:space="preserve"> method is commonly used in situations where the interaction or joint effect of variables is of interest</w:t>
            </w:r>
            <w:r>
              <w:rPr>
                <w:sz w:val="20"/>
                <w:szCs w:val="20"/>
              </w:rPr>
              <w:t>.</w:t>
            </w:r>
          </w:p>
        </w:tc>
      </w:tr>
      <w:tr w:rsidR="009E42C3" w14:paraId="4B61EF6B" w14:textId="77777777" w:rsidTr="002348A6">
        <w:trPr>
          <w:jc w:val="center"/>
        </w:trPr>
        <w:tc>
          <w:tcPr>
            <w:tcW w:w="2541" w:type="dxa"/>
          </w:tcPr>
          <w:p w14:paraId="16CB3D23" w14:textId="77777777" w:rsidR="009E42C3" w:rsidRPr="00FF7C19" w:rsidRDefault="009E42C3" w:rsidP="002348A6">
            <w:pPr>
              <w:rPr>
                <w:b/>
                <w:bCs/>
              </w:rPr>
            </w:pPr>
            <w:r>
              <w:rPr>
                <w:b/>
                <w:bCs/>
              </w:rPr>
              <w:t>Harmonic</w:t>
            </w:r>
          </w:p>
        </w:tc>
        <w:tc>
          <w:tcPr>
            <w:tcW w:w="3326" w:type="dxa"/>
            <w:vAlign w:val="center"/>
          </w:tcPr>
          <w:p w14:paraId="0DF5187F" w14:textId="77777777" w:rsidR="009E42C3" w:rsidRDefault="00000000" w:rsidP="002348A6">
            <m:oMathPara>
              <m:oMath>
                <m:sSub>
                  <m:sSubPr>
                    <m:ctrlPr>
                      <w:rPr>
                        <w:rFonts w:ascii="Cambria Math" w:hAnsi="Cambria Math"/>
                        <w:i/>
                      </w:rPr>
                    </m:ctrlPr>
                  </m:sSubPr>
                  <m:e>
                    <m:r>
                      <w:rPr>
                        <w:rFonts w:ascii="Cambria Math" w:hAnsi="Cambria Math"/>
                      </w:rPr>
                      <m:t>score</m:t>
                    </m:r>
                  </m:e>
                  <m:sub>
                    <m:r>
                      <w:rPr>
                        <w:rFonts w:ascii="Cambria Math" w:hAnsi="Cambria Math"/>
                      </w:rPr>
                      <m:t>c</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e>
                        </m:nary>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I</m:t>
                                </m:r>
                              </m:e>
                              <m:sub>
                                <m:r>
                                  <w:rPr>
                                    <w:rFonts w:ascii="Cambria Math" w:hAnsi="Cambria Math"/>
                                  </w:rPr>
                                  <m:t>ic</m:t>
                                </m:r>
                              </m:sub>
                            </m:sSub>
                          </m:den>
                        </m:f>
                      </m:e>
                    </m:nary>
                  </m:den>
                </m:f>
              </m:oMath>
            </m:oMathPara>
          </w:p>
        </w:tc>
        <w:tc>
          <w:tcPr>
            <w:tcW w:w="2490" w:type="dxa"/>
            <w:gridSpan w:val="2"/>
          </w:tcPr>
          <w:p w14:paraId="0EB97D22" w14:textId="77777777" w:rsidR="009E42C3" w:rsidRDefault="009E42C3" w:rsidP="002348A6">
            <w:pPr>
              <w:rPr>
                <w:sz w:val="20"/>
                <w:szCs w:val="20"/>
              </w:rPr>
            </w:pPr>
            <w:r>
              <w:rPr>
                <w:sz w:val="20"/>
                <w:szCs w:val="20"/>
              </w:rPr>
              <w:t xml:space="preserve">Partial </w:t>
            </w:r>
          </w:p>
          <w:p w14:paraId="7D022F47" w14:textId="77777777" w:rsidR="009E42C3" w:rsidRPr="00FF7C19" w:rsidRDefault="009E42C3" w:rsidP="002348A6">
            <w:pPr>
              <w:rPr>
                <w:sz w:val="20"/>
                <w:szCs w:val="20"/>
              </w:rPr>
            </w:pPr>
            <w:r>
              <w:rPr>
                <w:sz w:val="20"/>
                <w:szCs w:val="20"/>
              </w:rPr>
              <w:t>(less than Geometric)</w:t>
            </w:r>
          </w:p>
        </w:tc>
        <w:tc>
          <w:tcPr>
            <w:tcW w:w="3120" w:type="dxa"/>
          </w:tcPr>
          <w:p w14:paraId="57DCC442" w14:textId="1CA697D1" w:rsidR="009E42C3" w:rsidRPr="00466374" w:rsidRDefault="009E42C3" w:rsidP="0019685D">
            <w:pPr>
              <w:jc w:val="both"/>
              <w:rPr>
                <w:sz w:val="20"/>
                <w:szCs w:val="20"/>
              </w:rPr>
            </w:pPr>
            <w:r>
              <w:rPr>
                <w:sz w:val="20"/>
                <w:szCs w:val="20"/>
              </w:rPr>
              <w:t xml:space="preserve">The indicators values should strictly be larger than 0. It is a non-linear combination. </w:t>
            </w:r>
            <w:r w:rsidRPr="00375CAE">
              <w:rPr>
                <w:sz w:val="20"/>
                <w:szCs w:val="20"/>
              </w:rPr>
              <w:t>The impact of each value is not proportional to its magnitude, and the relative contribution of each variable depends on the other variables involved.</w:t>
            </w:r>
            <w:r>
              <w:rPr>
                <w:sz w:val="20"/>
                <w:szCs w:val="20"/>
              </w:rPr>
              <w:t xml:space="preserve"> </w:t>
            </w:r>
            <w:r w:rsidRPr="00375CAE">
              <w:rPr>
                <w:sz w:val="20"/>
                <w:szCs w:val="20"/>
              </w:rPr>
              <w:t>Insensitivity to extreme values</w:t>
            </w:r>
            <w:r>
              <w:rPr>
                <w:sz w:val="20"/>
                <w:szCs w:val="20"/>
              </w:rPr>
              <w:t xml:space="preserve">. It </w:t>
            </w:r>
            <w:r w:rsidRPr="00592C1B">
              <w:rPr>
                <w:sz w:val="20"/>
                <w:szCs w:val="20"/>
              </w:rPr>
              <w:t>is primarily used in situations where smaller values are considered more important or when dealing with ratios or rates.</w:t>
            </w:r>
          </w:p>
        </w:tc>
      </w:tr>
      <w:tr w:rsidR="009E42C3" w14:paraId="74E3F27C" w14:textId="77777777" w:rsidTr="002348A6">
        <w:trPr>
          <w:jc w:val="center"/>
        </w:trPr>
        <w:tc>
          <w:tcPr>
            <w:tcW w:w="2541" w:type="dxa"/>
          </w:tcPr>
          <w:p w14:paraId="072AB4BD" w14:textId="77777777" w:rsidR="009E42C3" w:rsidRPr="00FF7C19" w:rsidRDefault="009E42C3" w:rsidP="002348A6">
            <w:pPr>
              <w:rPr>
                <w:b/>
                <w:bCs/>
                <w:i/>
                <w:iCs/>
              </w:rPr>
            </w:pPr>
            <w:r>
              <w:rPr>
                <w:b/>
                <w:bCs/>
              </w:rPr>
              <w:t>Minimum</w:t>
            </w:r>
          </w:p>
        </w:tc>
        <w:tc>
          <w:tcPr>
            <w:tcW w:w="3326" w:type="dxa"/>
            <w:vAlign w:val="center"/>
          </w:tcPr>
          <w:p w14:paraId="0C647A79" w14:textId="77777777" w:rsidR="009E42C3" w:rsidRDefault="00000000" w:rsidP="002348A6">
            <m:oMathPara>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min(I</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nc</m:t>
                    </m:r>
                  </m:sub>
                </m:sSub>
                <m:r>
                  <w:rPr>
                    <w:rFonts w:ascii="Cambria Math" w:hAnsi="Cambria Math"/>
                  </w:rPr>
                  <m:t>)</m:t>
                </m:r>
              </m:oMath>
            </m:oMathPara>
          </w:p>
        </w:tc>
        <w:tc>
          <w:tcPr>
            <w:tcW w:w="2490" w:type="dxa"/>
            <w:gridSpan w:val="2"/>
          </w:tcPr>
          <w:p w14:paraId="05BB3633" w14:textId="77777777" w:rsidR="009E42C3" w:rsidRPr="00FF7C19" w:rsidRDefault="009E42C3" w:rsidP="002348A6">
            <w:pPr>
              <w:rPr>
                <w:sz w:val="20"/>
                <w:szCs w:val="20"/>
              </w:rPr>
            </w:pPr>
            <w:r>
              <w:rPr>
                <w:sz w:val="20"/>
                <w:szCs w:val="20"/>
              </w:rPr>
              <w:t>None</w:t>
            </w:r>
          </w:p>
        </w:tc>
        <w:tc>
          <w:tcPr>
            <w:tcW w:w="3120" w:type="dxa"/>
          </w:tcPr>
          <w:p w14:paraId="7A1AE584" w14:textId="77777777" w:rsidR="009E42C3" w:rsidRPr="00466374" w:rsidRDefault="009E42C3" w:rsidP="0019685D">
            <w:pPr>
              <w:jc w:val="both"/>
              <w:rPr>
                <w:sz w:val="20"/>
                <w:szCs w:val="20"/>
              </w:rPr>
            </w:pPr>
            <w:r>
              <w:rPr>
                <w:sz w:val="20"/>
                <w:szCs w:val="20"/>
              </w:rPr>
              <w:t>The worst performing indicator equals the final score. Suitable if the DM is interested in an assessment driven by the worst performing indicator.</w:t>
            </w:r>
          </w:p>
        </w:tc>
      </w:tr>
      <w:tr w:rsidR="009E42C3" w14:paraId="58520C90" w14:textId="77777777" w:rsidTr="002348A6">
        <w:trPr>
          <w:jc w:val="center"/>
        </w:trPr>
        <w:tc>
          <w:tcPr>
            <w:tcW w:w="11477" w:type="dxa"/>
            <w:gridSpan w:val="5"/>
            <w:vAlign w:val="center"/>
          </w:tcPr>
          <w:p w14:paraId="67DA70B6" w14:textId="77777777" w:rsidR="009E42C3" w:rsidRDefault="009E42C3" w:rsidP="002348A6">
            <w:pPr>
              <w:pStyle w:val="Caption"/>
              <w:keepNext/>
              <w:rPr>
                <w:b/>
                <w:bCs/>
                <w:i w:val="0"/>
                <w:iCs w:val="0"/>
                <w:color w:val="auto"/>
                <w:sz w:val="20"/>
                <w:szCs w:val="20"/>
              </w:rPr>
            </w:pPr>
            <w:r w:rsidRPr="00D45B77">
              <w:rPr>
                <w:b/>
                <w:bCs/>
                <w:i w:val="0"/>
                <w:iCs w:val="0"/>
                <w:color w:val="auto"/>
                <w:sz w:val="20"/>
                <w:szCs w:val="20"/>
              </w:rPr>
              <w:t>Legend</w:t>
            </w:r>
          </w:p>
          <w:p w14:paraId="4222E516" w14:textId="77777777" w:rsidR="009E42C3" w:rsidRPr="00D45B77" w:rsidRDefault="00000000" w:rsidP="002348A6">
            <w:pPr>
              <w:rPr>
                <w:b/>
                <w:bCs/>
                <w:sz w:val="20"/>
                <w:szCs w:val="20"/>
              </w:rPr>
            </w:pPr>
            <m:oMath>
              <m:sSub>
                <m:sSubPr>
                  <m:ctrlPr>
                    <w:rPr>
                      <w:rFonts w:ascii="Cambria Math" w:hAnsi="Cambria Math"/>
                      <w:i/>
                    </w:rPr>
                  </m:ctrlPr>
                </m:sSubPr>
                <m:e>
                  <m:r>
                    <w:rPr>
                      <w:rFonts w:ascii="Cambria Math" w:hAnsi="Cambria Math"/>
                    </w:rPr>
                    <m:t>score</m:t>
                  </m:r>
                </m:e>
                <m:sub>
                  <m:r>
                    <w:rPr>
                      <w:rFonts w:ascii="Cambria Math" w:hAnsi="Cambria Math"/>
                    </w:rPr>
                    <m:t>c</m:t>
                  </m:r>
                </m:sub>
              </m:sSub>
            </m:oMath>
            <w:r w:rsidR="009E42C3" w:rsidRPr="00D45B77">
              <w:t xml:space="preserve">: the </w:t>
            </w:r>
            <w:r w:rsidR="009E42C3">
              <w:t xml:space="preserve">composite score for alternative </w:t>
            </w:r>
            <w:r w:rsidR="009E42C3" w:rsidRPr="00592C1B">
              <w:rPr>
                <w:i/>
                <w:iCs/>
              </w:rPr>
              <w:t>c</w:t>
            </w:r>
            <w:r w:rsidR="009E42C3">
              <w:t>.</w:t>
            </w:r>
          </w:p>
          <w:p w14:paraId="4FBB5735" w14:textId="77777777" w:rsidR="009E42C3" w:rsidRDefault="009E42C3" w:rsidP="002348A6">
            <m:oMath>
              <m:r>
                <w:rPr>
                  <w:rFonts w:ascii="Cambria Math" w:hAnsi="Cambria Math"/>
                  <w:sz w:val="20"/>
                  <w:szCs w:val="20"/>
                </w:rPr>
                <m:t>n</m:t>
              </m:r>
            </m:oMath>
            <w:r>
              <w:t>: the number of indicators</w:t>
            </w:r>
            <w:r w:rsidRPr="00F543B0">
              <w:rPr>
                <w:i/>
                <w:iCs/>
              </w:rPr>
              <w:t>.</w:t>
            </w:r>
          </w:p>
          <w:p w14:paraId="610D5A67" w14:textId="77777777" w:rsidR="009E42C3" w:rsidRPr="00904943" w:rsidRDefault="00000000" w:rsidP="002348A6">
            <w:pPr>
              <w:rPr>
                <w:i/>
                <w:iCs/>
              </w:rPr>
            </w:pPr>
            <m:oMath>
              <m:sSub>
                <m:sSubPr>
                  <m:ctrlPr>
                    <w:rPr>
                      <w:rFonts w:ascii="Cambria Math" w:hAnsi="Cambria Math"/>
                      <w:i/>
                    </w:rPr>
                  </m:ctrlPr>
                </m:sSubPr>
                <m:e>
                  <m:r>
                    <w:rPr>
                      <w:rFonts w:ascii="Cambria Math" w:hAnsi="Cambria Math"/>
                    </w:rPr>
                    <m:t>I</m:t>
                  </m:r>
                </m:e>
                <m:sub>
                  <m:r>
                    <w:rPr>
                      <w:rFonts w:ascii="Cambria Math" w:hAnsi="Cambria Math"/>
                    </w:rPr>
                    <m:t>ic</m:t>
                  </m:r>
                </m:sub>
              </m:sSub>
            </m:oMath>
            <w:r w:rsidR="009E42C3" w:rsidRPr="00D45B77">
              <w:t xml:space="preserve">: the normalized value of indicator </w:t>
            </w:r>
            <w:proofErr w:type="spellStart"/>
            <w:r w:rsidR="009E42C3" w:rsidRPr="00F543B0">
              <w:rPr>
                <w:i/>
                <w:iCs/>
              </w:rPr>
              <w:t>i</w:t>
            </w:r>
            <w:proofErr w:type="spellEnd"/>
            <w:r w:rsidR="009E42C3" w:rsidRPr="00D45B77">
              <w:t xml:space="preserve"> for alternative </w:t>
            </w:r>
            <w:r w:rsidR="009E42C3" w:rsidRPr="00F543B0">
              <w:rPr>
                <w:i/>
                <w:iCs/>
              </w:rPr>
              <w:t>c.</w:t>
            </w:r>
          </w:p>
        </w:tc>
      </w:tr>
    </w:tbl>
    <w:p w14:paraId="5EB8E6C6" w14:textId="77777777" w:rsidR="009E42C3" w:rsidRDefault="009E42C3" w:rsidP="009E42C3"/>
    <w:p w14:paraId="767A1A6F" w14:textId="77777777" w:rsidR="009E42C3" w:rsidRDefault="009E42C3" w:rsidP="009E42C3"/>
    <w:p w14:paraId="455512BA" w14:textId="77777777" w:rsidR="009E42C3" w:rsidRDefault="009E42C3" w:rsidP="009E42C3"/>
    <w:p w14:paraId="6BBC53E4" w14:textId="77777777" w:rsidR="009E42C3" w:rsidRDefault="009E42C3" w:rsidP="009E42C3"/>
    <w:p w14:paraId="32EB485E" w14:textId="77777777" w:rsidR="009E42C3" w:rsidRDefault="009E42C3" w:rsidP="009E42C3"/>
    <w:p w14:paraId="3F99FA46" w14:textId="77777777" w:rsidR="00341B41" w:rsidRDefault="00341B41" w:rsidP="009E42C3"/>
    <w:p w14:paraId="0B609FD9" w14:textId="77777777" w:rsidR="00341B41" w:rsidRDefault="00341B41" w:rsidP="009E42C3"/>
    <w:p w14:paraId="70BA38DE" w14:textId="1FEF04C2" w:rsidR="009E42C3" w:rsidRDefault="009E42C3" w:rsidP="009E42C3">
      <w:pPr>
        <w:rPr>
          <w:rFonts w:asciiTheme="majorHAnsi" w:eastAsiaTheme="majorEastAsia" w:hAnsiTheme="majorHAnsi" w:cstheme="majorBidi"/>
          <w:b/>
          <w:bCs/>
          <w:color w:val="2F5496" w:themeColor="accent1" w:themeShade="BF"/>
          <w:sz w:val="32"/>
          <w:szCs w:val="32"/>
        </w:rPr>
      </w:pPr>
    </w:p>
    <w:p w14:paraId="1E998942" w14:textId="75E84653" w:rsidR="009E42C3" w:rsidRDefault="009E42C3" w:rsidP="009E42C3">
      <w:pPr>
        <w:rPr>
          <w:rFonts w:asciiTheme="majorHAnsi" w:eastAsiaTheme="majorEastAsia" w:hAnsiTheme="majorHAnsi" w:cstheme="majorBidi"/>
          <w:b/>
          <w:bCs/>
          <w:color w:val="2F5496" w:themeColor="accent1" w:themeShade="BF"/>
          <w:sz w:val="32"/>
          <w:szCs w:val="32"/>
        </w:rPr>
      </w:pPr>
    </w:p>
    <w:p w14:paraId="69E9167D" w14:textId="48CB7213" w:rsidR="006E5DAB" w:rsidRDefault="006E5DAB" w:rsidP="006E5DAB">
      <w:pPr>
        <w:pStyle w:val="Caption"/>
        <w:keepNext/>
      </w:pPr>
      <w:r>
        <w:lastRenderedPageBreak/>
        <w:t xml:space="preserve">Table </w:t>
      </w:r>
      <w:r>
        <w:t>3: ProMCDA usages.</w:t>
      </w:r>
      <w:r>
        <w:t xml:space="preserve"> </w:t>
      </w:r>
    </w:p>
    <w:p w14:paraId="03F15250" w14:textId="57DE0AAF" w:rsidR="00686734" w:rsidRPr="006E5DAB" w:rsidRDefault="00686734" w:rsidP="006E5DAB">
      <w:pPr>
        <w:rPr>
          <w:rFonts w:asciiTheme="majorHAnsi" w:eastAsiaTheme="majorEastAsia" w:hAnsiTheme="majorHAnsi" w:cstheme="majorBidi"/>
          <w:b/>
          <w:bCs/>
          <w:color w:val="2F5496" w:themeColor="accent1" w:themeShade="BF"/>
          <w:sz w:val="32"/>
          <w:szCs w:val="32"/>
        </w:rPr>
      </w:pPr>
    </w:p>
    <w:tbl>
      <w:tblPr>
        <w:tblStyle w:val="TableGrid"/>
        <w:tblW w:w="11477" w:type="dxa"/>
        <w:jc w:val="center"/>
        <w:tblLook w:val="04A0" w:firstRow="1" w:lastRow="0" w:firstColumn="1" w:lastColumn="0" w:noHBand="0" w:noVBand="1"/>
      </w:tblPr>
      <w:tblGrid>
        <w:gridCol w:w="2830"/>
        <w:gridCol w:w="3119"/>
        <w:gridCol w:w="5528"/>
      </w:tblGrid>
      <w:tr w:rsidR="008B3EA4" w14:paraId="1FB090F8" w14:textId="77777777" w:rsidTr="008B3EA4">
        <w:trPr>
          <w:trHeight w:val="376"/>
          <w:jc w:val="center"/>
        </w:trPr>
        <w:tc>
          <w:tcPr>
            <w:tcW w:w="2830" w:type="dxa"/>
          </w:tcPr>
          <w:p w14:paraId="4C7EB966" w14:textId="25F44F71" w:rsidR="008B3EA4" w:rsidRPr="00351E55" w:rsidRDefault="008B3EA4" w:rsidP="008B3EA4">
            <w:pPr>
              <w:jc w:val="center"/>
              <w:rPr>
                <w:b/>
                <w:bCs/>
                <w:sz w:val="28"/>
                <w:szCs w:val="28"/>
              </w:rPr>
            </w:pPr>
            <w:r w:rsidRPr="00351E55">
              <w:rPr>
                <w:b/>
                <w:bCs/>
                <w:sz w:val="28"/>
                <w:szCs w:val="28"/>
              </w:rPr>
              <w:t>Possible usages of ProMCDA</w:t>
            </w:r>
          </w:p>
        </w:tc>
        <w:tc>
          <w:tcPr>
            <w:tcW w:w="3119" w:type="dxa"/>
          </w:tcPr>
          <w:p w14:paraId="349B6AC7" w14:textId="4B6216CF" w:rsidR="008B3EA4" w:rsidRPr="00351E55" w:rsidRDefault="008B3EA4" w:rsidP="008B3EA4">
            <w:pPr>
              <w:jc w:val="center"/>
              <w:rPr>
                <w:b/>
                <w:bCs/>
                <w:sz w:val="28"/>
                <w:szCs w:val="28"/>
              </w:rPr>
            </w:pPr>
            <w:r w:rsidRPr="00351E55">
              <w:rPr>
                <w:b/>
                <w:bCs/>
                <w:sz w:val="28"/>
                <w:szCs w:val="28"/>
              </w:rPr>
              <w:t>Specifications</w:t>
            </w:r>
          </w:p>
        </w:tc>
        <w:tc>
          <w:tcPr>
            <w:tcW w:w="5528" w:type="dxa"/>
          </w:tcPr>
          <w:p w14:paraId="17F150AC" w14:textId="56246128" w:rsidR="008B3EA4" w:rsidRPr="00351E55" w:rsidRDefault="008B3EA4" w:rsidP="008B3EA4">
            <w:pPr>
              <w:jc w:val="center"/>
              <w:rPr>
                <w:b/>
                <w:bCs/>
                <w:sz w:val="28"/>
                <w:szCs w:val="28"/>
              </w:rPr>
            </w:pPr>
            <w:r w:rsidRPr="00351E55">
              <w:rPr>
                <w:b/>
                <w:bCs/>
                <w:sz w:val="28"/>
                <w:szCs w:val="28"/>
              </w:rPr>
              <w:t>Notes</w:t>
            </w:r>
          </w:p>
        </w:tc>
      </w:tr>
      <w:tr w:rsidR="008B3EA4" w14:paraId="1EB0B7D1" w14:textId="77777777" w:rsidTr="008B3EA4">
        <w:trPr>
          <w:jc w:val="center"/>
        </w:trPr>
        <w:tc>
          <w:tcPr>
            <w:tcW w:w="2830" w:type="dxa"/>
          </w:tcPr>
          <w:p w14:paraId="7FA95C5C" w14:textId="1FBFD6F8" w:rsidR="008B3EA4" w:rsidRDefault="008B3EA4" w:rsidP="008B3EA4">
            <w:pPr>
              <w:jc w:val="center"/>
              <w:rPr>
                <w:b/>
                <w:bCs/>
              </w:rPr>
            </w:pPr>
            <w:r>
              <w:rPr>
                <w:b/>
                <w:bCs/>
              </w:rPr>
              <w:t>Simple MCDA</w:t>
            </w:r>
          </w:p>
          <w:p w14:paraId="108D29CD" w14:textId="0D3C317D" w:rsidR="008B3EA4" w:rsidRPr="008B3EA4" w:rsidRDefault="00231265" w:rsidP="009405B4">
            <w:pPr>
              <w:jc w:val="both"/>
            </w:pPr>
            <w:r>
              <w:t>N</w:t>
            </w:r>
            <w:r w:rsidR="008B3EA4" w:rsidRPr="008B3EA4">
              <w:t xml:space="preserve">o </w:t>
            </w:r>
            <w:r>
              <w:t>sensitivity</w:t>
            </w:r>
            <w:r w:rsidR="008B3EA4" w:rsidRPr="008B3EA4">
              <w:t xml:space="preserve"> nor </w:t>
            </w:r>
            <w:r>
              <w:t>robustness</w:t>
            </w:r>
            <w:r w:rsidR="008B3EA4" w:rsidRPr="008B3EA4">
              <w:t xml:space="preserve"> analysis</w:t>
            </w:r>
            <w:r w:rsidR="008B3EA4">
              <w:t xml:space="preserve"> is performed</w:t>
            </w:r>
            <w:r>
              <w:t>.</w:t>
            </w:r>
          </w:p>
        </w:tc>
        <w:tc>
          <w:tcPr>
            <w:tcW w:w="3119" w:type="dxa"/>
            <w:vAlign w:val="center"/>
          </w:tcPr>
          <w:p w14:paraId="12896867" w14:textId="02605CAD" w:rsidR="008B3EA4" w:rsidRPr="00686734" w:rsidRDefault="00351E55" w:rsidP="008B3EA4">
            <w:pPr>
              <w:jc w:val="both"/>
              <w:rPr>
                <w:rFonts w:eastAsiaTheme="minorEastAsia"/>
              </w:rPr>
            </w:pPr>
            <w:r>
              <w:rPr>
                <w:rFonts w:eastAsiaTheme="minorEastAsia"/>
              </w:rPr>
              <w:t>T</w:t>
            </w:r>
            <w:r w:rsidR="008B3EA4">
              <w:rPr>
                <w:rFonts w:eastAsiaTheme="minorEastAsia"/>
              </w:rPr>
              <w:t xml:space="preserve">he </w:t>
            </w:r>
            <w:r>
              <w:rPr>
                <w:rFonts w:eastAsiaTheme="minorEastAsia"/>
              </w:rPr>
              <w:t xml:space="preserve">specific </w:t>
            </w:r>
            <w:r w:rsidR="008B3EA4">
              <w:rPr>
                <w:rFonts w:eastAsiaTheme="minorEastAsia"/>
              </w:rPr>
              <w:t>pair normalization/aggregation to be used for the evaluation</w:t>
            </w:r>
            <w:r w:rsidR="009405B4">
              <w:rPr>
                <w:rFonts w:eastAsiaTheme="minorEastAsia"/>
              </w:rPr>
              <w:t xml:space="preserve"> of the alternatives</w:t>
            </w:r>
            <w:r w:rsidR="008B3EA4">
              <w:rPr>
                <w:rFonts w:eastAsiaTheme="minorEastAsia"/>
              </w:rPr>
              <w:t>.</w:t>
            </w:r>
          </w:p>
        </w:tc>
        <w:tc>
          <w:tcPr>
            <w:tcW w:w="5528" w:type="dxa"/>
          </w:tcPr>
          <w:p w14:paraId="3C770379" w14:textId="0F330C28" w:rsidR="008B3EA4" w:rsidRPr="00BC426D" w:rsidRDefault="00BC426D" w:rsidP="00BC426D">
            <w:pPr>
              <w:jc w:val="both"/>
            </w:pPr>
            <w:r w:rsidRPr="00BC426D">
              <w:t>For a fully controlled MCDA.</w:t>
            </w:r>
          </w:p>
        </w:tc>
      </w:tr>
      <w:tr w:rsidR="008B3EA4" w14:paraId="69F57455" w14:textId="77777777" w:rsidTr="008B3EA4">
        <w:trPr>
          <w:jc w:val="center"/>
        </w:trPr>
        <w:tc>
          <w:tcPr>
            <w:tcW w:w="2830" w:type="dxa"/>
          </w:tcPr>
          <w:p w14:paraId="6FC9D99E" w14:textId="3EBDF86E" w:rsidR="008B3EA4" w:rsidRDefault="00231265" w:rsidP="008B3EA4">
            <w:pPr>
              <w:jc w:val="center"/>
              <w:rPr>
                <w:b/>
                <w:bCs/>
              </w:rPr>
            </w:pPr>
            <w:r>
              <w:rPr>
                <w:b/>
                <w:bCs/>
              </w:rPr>
              <w:t>Sensitivity</w:t>
            </w:r>
            <w:r w:rsidR="008B3EA4">
              <w:rPr>
                <w:b/>
                <w:bCs/>
              </w:rPr>
              <w:t xml:space="preserve"> analysis</w:t>
            </w:r>
          </w:p>
          <w:p w14:paraId="1B2027B0" w14:textId="200C8B27" w:rsidR="00351E55" w:rsidRPr="00351E55" w:rsidRDefault="00231265" w:rsidP="009405B4">
            <w:pPr>
              <w:jc w:val="both"/>
            </w:pPr>
            <w:r>
              <w:t>F</w:t>
            </w:r>
            <w:r w:rsidR="00351E55" w:rsidRPr="00351E55">
              <w:t>ocus is on the role of the normalization and aggregation functions</w:t>
            </w:r>
            <w:r>
              <w:t>.</w:t>
            </w:r>
          </w:p>
        </w:tc>
        <w:tc>
          <w:tcPr>
            <w:tcW w:w="3119" w:type="dxa"/>
            <w:vAlign w:val="center"/>
          </w:tcPr>
          <w:p w14:paraId="3B9F5066" w14:textId="5038A45C" w:rsidR="008B3EA4" w:rsidRPr="00DD3B4F" w:rsidRDefault="008B3EA4" w:rsidP="008B3EA4">
            <w:pPr>
              <w:jc w:val="both"/>
              <w:rPr>
                <w:rFonts w:eastAsiaTheme="minorEastAsia"/>
              </w:rPr>
            </w:pPr>
            <w:r>
              <w:rPr>
                <w:rFonts w:eastAsiaTheme="minorEastAsia"/>
              </w:rPr>
              <w:t>All normalization and aggregation pairs are used for the evaluation of the alternatives.</w:t>
            </w:r>
          </w:p>
        </w:tc>
        <w:tc>
          <w:tcPr>
            <w:tcW w:w="5528" w:type="dxa"/>
          </w:tcPr>
          <w:p w14:paraId="7610A174" w14:textId="68204FB0" w:rsidR="008B3EA4" w:rsidRPr="00BC426D" w:rsidRDefault="008B3EA4" w:rsidP="00BC426D">
            <w:pPr>
              <w:jc w:val="both"/>
            </w:pPr>
            <w:r w:rsidRPr="00BC426D">
              <w:t>Each pair normalization/aggregation</w:t>
            </w:r>
            <w:r w:rsidR="00BC426D">
              <w:t xml:space="preserve"> </w:t>
            </w:r>
            <w:r w:rsidRPr="00BC426D">
              <w:t>will produce different score</w:t>
            </w:r>
            <w:r w:rsidR="00231265">
              <w:t>s</w:t>
            </w:r>
            <w:r w:rsidRPr="00BC426D">
              <w:t xml:space="preserve"> for every alternative.</w:t>
            </w:r>
          </w:p>
          <w:p w14:paraId="69DC1B24" w14:textId="48582E74" w:rsidR="008B3EA4" w:rsidRPr="009405B4" w:rsidRDefault="008B3EA4" w:rsidP="00BC426D">
            <w:pPr>
              <w:jc w:val="both"/>
              <w:rPr>
                <w:b/>
                <w:bCs/>
                <w:sz w:val="20"/>
                <w:szCs w:val="20"/>
              </w:rPr>
            </w:pPr>
            <w:r w:rsidRPr="009405B4">
              <w:rPr>
                <w:b/>
                <w:bCs/>
              </w:rPr>
              <w:t xml:space="preserve">The </w:t>
            </w:r>
            <w:r w:rsidR="00231265">
              <w:rPr>
                <w:b/>
                <w:bCs/>
              </w:rPr>
              <w:t>sensitivity</w:t>
            </w:r>
            <w:r w:rsidR="00BC426D" w:rsidRPr="009405B4">
              <w:rPr>
                <w:b/>
                <w:bCs/>
              </w:rPr>
              <w:t xml:space="preserve"> analysis</w:t>
            </w:r>
            <w:r w:rsidRPr="009405B4">
              <w:rPr>
                <w:b/>
                <w:bCs/>
              </w:rPr>
              <w:t xml:space="preserve"> can be associated</w:t>
            </w:r>
            <w:r w:rsidR="00BC426D" w:rsidRPr="009405B4">
              <w:rPr>
                <w:b/>
                <w:bCs/>
              </w:rPr>
              <w:t xml:space="preserve"> </w:t>
            </w:r>
            <w:r w:rsidRPr="009405B4">
              <w:rPr>
                <w:b/>
                <w:bCs/>
              </w:rPr>
              <w:t xml:space="preserve">with the </w:t>
            </w:r>
            <w:r w:rsidR="00231265">
              <w:rPr>
                <w:b/>
                <w:bCs/>
              </w:rPr>
              <w:t>robustness</w:t>
            </w:r>
            <w:r w:rsidRPr="009405B4">
              <w:rPr>
                <w:b/>
                <w:bCs/>
              </w:rPr>
              <w:t xml:space="preserve"> analysis</w:t>
            </w:r>
            <w:r w:rsidR="00BC426D" w:rsidRPr="009405B4">
              <w:rPr>
                <w:b/>
                <w:bCs/>
              </w:rPr>
              <w:t xml:space="preserve"> </w:t>
            </w:r>
            <w:r w:rsidR="00351E55" w:rsidRPr="009405B4">
              <w:rPr>
                <w:b/>
                <w:bCs/>
              </w:rPr>
              <w:t>due to the weights or the indicators.</w:t>
            </w:r>
          </w:p>
        </w:tc>
      </w:tr>
      <w:tr w:rsidR="008B3EA4" w14:paraId="0E0C709C" w14:textId="77777777" w:rsidTr="00BC426D">
        <w:trPr>
          <w:trHeight w:val="996"/>
          <w:jc w:val="center"/>
        </w:trPr>
        <w:tc>
          <w:tcPr>
            <w:tcW w:w="2830" w:type="dxa"/>
          </w:tcPr>
          <w:p w14:paraId="1D69ED6F" w14:textId="43AFD291" w:rsidR="008B3EA4" w:rsidRDefault="00231265" w:rsidP="008B3EA4">
            <w:pPr>
              <w:jc w:val="center"/>
              <w:rPr>
                <w:b/>
                <w:bCs/>
              </w:rPr>
            </w:pPr>
            <w:r>
              <w:rPr>
                <w:b/>
                <w:bCs/>
              </w:rPr>
              <w:t>Robustness</w:t>
            </w:r>
            <w:r w:rsidR="008B3EA4">
              <w:rPr>
                <w:b/>
                <w:bCs/>
              </w:rPr>
              <w:t xml:space="preserve"> analysis of one weight at time.</w:t>
            </w:r>
          </w:p>
          <w:p w14:paraId="087CD1CD" w14:textId="7FAC86E5" w:rsidR="00351E55" w:rsidRPr="00FF7C19" w:rsidRDefault="00231265" w:rsidP="009405B4">
            <w:pPr>
              <w:jc w:val="both"/>
              <w:rPr>
                <w:b/>
                <w:bCs/>
              </w:rPr>
            </w:pPr>
            <w:r>
              <w:t>F</w:t>
            </w:r>
            <w:r w:rsidR="00351E55" w:rsidRPr="00351E55">
              <w:t xml:space="preserve">ocus is on the role of </w:t>
            </w:r>
            <w:r w:rsidR="00351E55">
              <w:t xml:space="preserve">one indicator </w:t>
            </w:r>
            <w:r>
              <w:t xml:space="preserve">and its relative weight </w:t>
            </w:r>
            <w:r w:rsidR="00351E55">
              <w:t>at time</w:t>
            </w:r>
            <w:r>
              <w:t>.</w:t>
            </w:r>
          </w:p>
        </w:tc>
        <w:tc>
          <w:tcPr>
            <w:tcW w:w="3119" w:type="dxa"/>
            <w:vAlign w:val="center"/>
          </w:tcPr>
          <w:p w14:paraId="5CC63D9C" w14:textId="30AC2DED" w:rsidR="008B3EA4" w:rsidRPr="00686734" w:rsidRDefault="008B3EA4" w:rsidP="008B3EA4">
            <w:pPr>
              <w:jc w:val="both"/>
              <w:rPr>
                <w:rFonts w:eastAsiaTheme="minorEastAsia"/>
              </w:rPr>
            </w:pPr>
            <w:r>
              <w:rPr>
                <w:rFonts w:eastAsiaTheme="minorEastAsia"/>
              </w:rPr>
              <w:t>One single weight at time is sampled from the uniform distribution [0,1].</w:t>
            </w:r>
          </w:p>
          <w:p w14:paraId="17F9ABF5" w14:textId="77777777" w:rsidR="008B3EA4" w:rsidRPr="00686734" w:rsidRDefault="008B3EA4" w:rsidP="00C100CF">
            <w:pPr>
              <w:rPr>
                <w:rFonts w:eastAsiaTheme="minorEastAsia"/>
              </w:rPr>
            </w:pPr>
          </w:p>
          <w:p w14:paraId="4C3FFF12" w14:textId="77777777" w:rsidR="008B3EA4" w:rsidRPr="00686734" w:rsidRDefault="008B3EA4" w:rsidP="00C100CF">
            <w:pPr>
              <w:rPr>
                <w:rFonts w:eastAsiaTheme="minorEastAsia"/>
              </w:rPr>
            </w:pPr>
          </w:p>
          <w:p w14:paraId="37894EAF" w14:textId="6046A547" w:rsidR="008B3EA4" w:rsidRPr="00686734" w:rsidRDefault="008B3EA4" w:rsidP="00C100CF">
            <w:pPr>
              <w:rPr>
                <w:rFonts w:eastAsiaTheme="minorEastAsia"/>
              </w:rPr>
            </w:pPr>
          </w:p>
        </w:tc>
        <w:tc>
          <w:tcPr>
            <w:tcW w:w="5528" w:type="dxa"/>
          </w:tcPr>
          <w:p w14:paraId="0AB80444" w14:textId="7D1B6D9F" w:rsidR="00351E55" w:rsidRDefault="008B3EA4" w:rsidP="00351E55">
            <w:r w:rsidRPr="00BC426D">
              <w:t xml:space="preserve">This </w:t>
            </w:r>
            <w:r w:rsidR="00351E55">
              <w:t>run</w:t>
            </w:r>
            <w:r w:rsidRPr="00BC426D">
              <w:t xml:space="preserve"> can help investigate the importance of each indicator for the final score</w:t>
            </w:r>
            <w:r w:rsidR="00BC426D">
              <w:t>s</w:t>
            </w:r>
            <w:r w:rsidRPr="00BC426D">
              <w:t xml:space="preserve">. </w:t>
            </w:r>
            <w:r w:rsidR="009405B4">
              <w:t>Average results are reported a number-of-indicator times.</w:t>
            </w:r>
          </w:p>
          <w:p w14:paraId="6FF51FA5" w14:textId="2A2FDD0E" w:rsidR="00BC426D" w:rsidRPr="00BC426D" w:rsidRDefault="00BC426D" w:rsidP="00351E55">
            <w:r w:rsidRPr="00BC426D">
              <w:rPr>
                <w:b/>
                <w:bCs/>
                <w:i/>
                <w:iCs/>
              </w:rPr>
              <w:t xml:space="preserve">This </w:t>
            </w:r>
            <w:r w:rsidR="00231265">
              <w:rPr>
                <w:b/>
                <w:bCs/>
                <w:i/>
                <w:iCs/>
              </w:rPr>
              <w:t>robustness</w:t>
            </w:r>
            <w:r w:rsidRPr="00BC426D">
              <w:rPr>
                <w:b/>
                <w:bCs/>
                <w:i/>
                <w:iCs/>
              </w:rPr>
              <w:t xml:space="preserve"> analysis cannot be used together with the </w:t>
            </w:r>
            <w:r w:rsidR="00231265">
              <w:rPr>
                <w:b/>
                <w:bCs/>
                <w:i/>
                <w:iCs/>
              </w:rPr>
              <w:t>robustness</w:t>
            </w:r>
            <w:r w:rsidRPr="00BC426D">
              <w:rPr>
                <w:b/>
                <w:bCs/>
                <w:i/>
                <w:iCs/>
              </w:rPr>
              <w:t xml:space="preserve"> analysis associated </w:t>
            </w:r>
            <w:r w:rsidR="00351E55">
              <w:rPr>
                <w:b/>
                <w:bCs/>
                <w:i/>
                <w:iCs/>
              </w:rPr>
              <w:t>with</w:t>
            </w:r>
            <w:r w:rsidRPr="00BC426D">
              <w:rPr>
                <w:b/>
                <w:bCs/>
                <w:i/>
                <w:iCs/>
              </w:rPr>
              <w:t xml:space="preserve"> the indicators</w:t>
            </w:r>
            <w:r w:rsidR="00351E55">
              <w:rPr>
                <w:b/>
                <w:bCs/>
                <w:i/>
                <w:iCs/>
              </w:rPr>
              <w:t>.</w:t>
            </w:r>
          </w:p>
        </w:tc>
      </w:tr>
      <w:tr w:rsidR="008B3EA4" w14:paraId="1475E11B" w14:textId="77777777" w:rsidTr="008B3EA4">
        <w:trPr>
          <w:jc w:val="center"/>
        </w:trPr>
        <w:tc>
          <w:tcPr>
            <w:tcW w:w="2830" w:type="dxa"/>
          </w:tcPr>
          <w:p w14:paraId="26A0AC14" w14:textId="4E5F5993" w:rsidR="008B3EA4" w:rsidRDefault="00231265" w:rsidP="008B3EA4">
            <w:pPr>
              <w:jc w:val="center"/>
              <w:rPr>
                <w:b/>
                <w:bCs/>
              </w:rPr>
            </w:pPr>
            <w:r>
              <w:rPr>
                <w:b/>
                <w:bCs/>
              </w:rPr>
              <w:t>Robustness</w:t>
            </w:r>
            <w:r w:rsidR="00681170">
              <w:rPr>
                <w:b/>
                <w:bCs/>
              </w:rPr>
              <w:t xml:space="preserve"> analysis of all weights.</w:t>
            </w:r>
          </w:p>
          <w:p w14:paraId="0E48D3A9" w14:textId="7877DACC" w:rsidR="00351E55" w:rsidRPr="00FF7C19" w:rsidRDefault="00231265" w:rsidP="009405B4">
            <w:pPr>
              <w:jc w:val="both"/>
              <w:rPr>
                <w:b/>
                <w:bCs/>
                <w:i/>
                <w:iCs/>
              </w:rPr>
            </w:pPr>
            <w:r>
              <w:t>F</w:t>
            </w:r>
            <w:r w:rsidR="00351E55" w:rsidRPr="00351E55">
              <w:t xml:space="preserve">ocus is on the role of </w:t>
            </w:r>
            <w:r w:rsidR="00351E55">
              <w:t>the weights</w:t>
            </w:r>
            <w:r>
              <w:t>.</w:t>
            </w:r>
          </w:p>
        </w:tc>
        <w:tc>
          <w:tcPr>
            <w:tcW w:w="3119" w:type="dxa"/>
            <w:vAlign w:val="center"/>
          </w:tcPr>
          <w:p w14:paraId="3533E14C" w14:textId="4317558E" w:rsidR="00681170" w:rsidRPr="00686734" w:rsidRDefault="00681170" w:rsidP="00681170">
            <w:pPr>
              <w:jc w:val="both"/>
              <w:rPr>
                <w:rFonts w:eastAsiaTheme="minorEastAsia"/>
              </w:rPr>
            </w:pPr>
            <w:r>
              <w:rPr>
                <w:rFonts w:eastAsiaTheme="minorEastAsia"/>
              </w:rPr>
              <w:t>All weights are sampled from the uniform distribution [0,1].</w:t>
            </w:r>
          </w:p>
          <w:p w14:paraId="1AECBCB5" w14:textId="492CD9A4" w:rsidR="008B3EA4" w:rsidRDefault="008B3EA4" w:rsidP="00C100CF"/>
        </w:tc>
        <w:tc>
          <w:tcPr>
            <w:tcW w:w="5528" w:type="dxa"/>
          </w:tcPr>
          <w:p w14:paraId="089884F8" w14:textId="4495AC5E" w:rsidR="00DF660D" w:rsidRDefault="00681170" w:rsidP="00351E55">
            <w:r w:rsidRPr="00BC426D">
              <w:t xml:space="preserve">This run can help understanding the </w:t>
            </w:r>
            <w:r w:rsidR="00BC426D">
              <w:t xml:space="preserve">overall </w:t>
            </w:r>
            <w:r w:rsidRPr="00BC426D">
              <w:t xml:space="preserve">impact of the uncertainty </w:t>
            </w:r>
            <w:r w:rsidR="00231265">
              <w:t>due to</w:t>
            </w:r>
            <w:r w:rsidRPr="00BC426D">
              <w:t xml:space="preserve"> the weights.</w:t>
            </w:r>
            <w:r w:rsidR="00BC426D">
              <w:t xml:space="preserve"> </w:t>
            </w:r>
          </w:p>
          <w:p w14:paraId="07103C15" w14:textId="2BC52340" w:rsidR="008B3EA4" w:rsidRPr="00BC426D" w:rsidRDefault="00BC426D" w:rsidP="00351E55">
            <w:r w:rsidRPr="00BC426D">
              <w:rPr>
                <w:b/>
                <w:bCs/>
                <w:i/>
                <w:iCs/>
              </w:rPr>
              <w:t xml:space="preserve">This </w:t>
            </w:r>
            <w:r w:rsidR="00231265">
              <w:rPr>
                <w:b/>
                <w:bCs/>
                <w:i/>
                <w:iCs/>
              </w:rPr>
              <w:t>robustness</w:t>
            </w:r>
            <w:r w:rsidRPr="00BC426D">
              <w:rPr>
                <w:b/>
                <w:bCs/>
                <w:i/>
                <w:iCs/>
              </w:rPr>
              <w:t xml:space="preserve"> analysis cannot be used together with the </w:t>
            </w:r>
            <w:r w:rsidR="00231265">
              <w:rPr>
                <w:b/>
                <w:bCs/>
                <w:i/>
                <w:iCs/>
              </w:rPr>
              <w:t>robustness</w:t>
            </w:r>
            <w:r w:rsidRPr="00BC426D">
              <w:rPr>
                <w:b/>
                <w:bCs/>
                <w:i/>
                <w:iCs/>
              </w:rPr>
              <w:t xml:space="preserve"> analysis associated </w:t>
            </w:r>
            <w:r w:rsidR="00351E55">
              <w:rPr>
                <w:b/>
                <w:bCs/>
                <w:i/>
                <w:iCs/>
              </w:rPr>
              <w:t>with</w:t>
            </w:r>
            <w:r w:rsidRPr="00BC426D">
              <w:rPr>
                <w:b/>
                <w:bCs/>
                <w:i/>
                <w:iCs/>
              </w:rPr>
              <w:t xml:space="preserve"> the indicators</w:t>
            </w:r>
            <w:r w:rsidR="00351E55">
              <w:rPr>
                <w:b/>
                <w:bCs/>
                <w:i/>
                <w:iCs/>
              </w:rPr>
              <w:t>.</w:t>
            </w:r>
          </w:p>
        </w:tc>
      </w:tr>
      <w:tr w:rsidR="00BC426D" w14:paraId="4287F53F" w14:textId="77777777" w:rsidTr="008B3EA4">
        <w:trPr>
          <w:jc w:val="center"/>
        </w:trPr>
        <w:tc>
          <w:tcPr>
            <w:tcW w:w="2830" w:type="dxa"/>
          </w:tcPr>
          <w:p w14:paraId="6F99D911" w14:textId="50A2C824" w:rsidR="00BC426D" w:rsidRDefault="00231265" w:rsidP="008B3EA4">
            <w:pPr>
              <w:jc w:val="center"/>
              <w:rPr>
                <w:b/>
                <w:bCs/>
              </w:rPr>
            </w:pPr>
            <w:r>
              <w:rPr>
                <w:b/>
                <w:bCs/>
              </w:rPr>
              <w:t>Robustness</w:t>
            </w:r>
            <w:r w:rsidR="00BC426D">
              <w:rPr>
                <w:b/>
                <w:bCs/>
              </w:rPr>
              <w:t xml:space="preserve"> analysis of the indicators.</w:t>
            </w:r>
          </w:p>
          <w:p w14:paraId="6C5D7221" w14:textId="50B696A5" w:rsidR="00351E55" w:rsidRDefault="00231265" w:rsidP="009405B4">
            <w:pPr>
              <w:jc w:val="both"/>
              <w:rPr>
                <w:b/>
                <w:bCs/>
              </w:rPr>
            </w:pPr>
            <w:r>
              <w:t>F</w:t>
            </w:r>
            <w:r w:rsidR="00351E55" w:rsidRPr="00351E55">
              <w:t xml:space="preserve">ocus is on the role of </w:t>
            </w:r>
            <w:r w:rsidR="00351E55">
              <w:t>the uncertainty of the indicators</w:t>
            </w:r>
            <w:r>
              <w:t>.</w:t>
            </w:r>
          </w:p>
        </w:tc>
        <w:tc>
          <w:tcPr>
            <w:tcW w:w="3119" w:type="dxa"/>
            <w:vAlign w:val="center"/>
          </w:tcPr>
          <w:p w14:paraId="57F058BE" w14:textId="45365078" w:rsidR="00BC426D" w:rsidRDefault="00BC426D" w:rsidP="00681170">
            <w:pPr>
              <w:jc w:val="both"/>
              <w:rPr>
                <w:rFonts w:eastAsiaTheme="minorEastAsia"/>
              </w:rPr>
            </w:pPr>
            <w:r>
              <w:rPr>
                <w:rFonts w:eastAsiaTheme="minorEastAsia"/>
              </w:rPr>
              <w:t>All indicators</w:t>
            </w:r>
            <w:r w:rsidR="009405B4">
              <w:rPr>
                <w:rFonts w:eastAsiaTheme="minorEastAsia"/>
              </w:rPr>
              <w:t>,</w:t>
            </w:r>
            <w:r>
              <w:rPr>
                <w:rFonts w:eastAsiaTheme="minorEastAsia"/>
              </w:rPr>
              <w:t xml:space="preserve"> whose values are distributed as a non-exact pdf</w:t>
            </w:r>
            <w:r w:rsidR="009405B4">
              <w:rPr>
                <w:rFonts w:eastAsiaTheme="minorEastAsia"/>
              </w:rPr>
              <w:t>,</w:t>
            </w:r>
            <w:r>
              <w:rPr>
                <w:rFonts w:eastAsiaTheme="minorEastAsia"/>
              </w:rPr>
              <w:t xml:space="preserve"> are randomly sampled.</w:t>
            </w:r>
            <w:r w:rsidR="00351E55">
              <w:rPr>
                <w:rFonts w:eastAsiaTheme="minorEastAsia"/>
              </w:rPr>
              <w:t xml:space="preserve"> </w:t>
            </w:r>
            <w:r w:rsidR="00351E55" w:rsidRPr="00351E55">
              <w:rPr>
                <w:rFonts w:eastAsiaTheme="minorEastAsia"/>
                <w:i/>
                <w:iCs/>
              </w:rPr>
              <w:t>ProMCDA</w:t>
            </w:r>
            <w:r w:rsidR="00351E55">
              <w:rPr>
                <w:rFonts w:eastAsiaTheme="minorEastAsia"/>
              </w:rPr>
              <w:t xml:space="preserve"> needs N-values for each indicator per alternative to build N random input-matrices.</w:t>
            </w:r>
          </w:p>
        </w:tc>
        <w:tc>
          <w:tcPr>
            <w:tcW w:w="5528" w:type="dxa"/>
          </w:tcPr>
          <w:p w14:paraId="480DCD13" w14:textId="47BC9D05" w:rsidR="00BC426D" w:rsidRDefault="00351E55" w:rsidP="00351E55">
            <w:pPr>
              <w:jc w:val="both"/>
            </w:pPr>
            <w:r>
              <w:t xml:space="preserve">This run let the user analyse the impact of the uncertainty on the indicators </w:t>
            </w:r>
            <w:r w:rsidR="009405B4">
              <w:t>for</w:t>
            </w:r>
            <w:r>
              <w:t xml:space="preserve"> the final scores.</w:t>
            </w:r>
          </w:p>
          <w:p w14:paraId="3A895B7F" w14:textId="3062FAE5" w:rsidR="00351E55" w:rsidRPr="00BC426D" w:rsidRDefault="00351E55" w:rsidP="00351E55">
            <w:pPr>
              <w:jc w:val="both"/>
            </w:pPr>
            <w:r w:rsidRPr="00BC426D">
              <w:rPr>
                <w:b/>
                <w:bCs/>
                <w:i/>
                <w:iCs/>
              </w:rPr>
              <w:t xml:space="preserve">This </w:t>
            </w:r>
            <w:r w:rsidR="00C07496">
              <w:rPr>
                <w:b/>
                <w:bCs/>
                <w:i/>
                <w:iCs/>
              </w:rPr>
              <w:t>robustness</w:t>
            </w:r>
            <w:r w:rsidRPr="00BC426D">
              <w:rPr>
                <w:b/>
                <w:bCs/>
                <w:i/>
                <w:iCs/>
              </w:rPr>
              <w:t xml:space="preserve"> analysis cannot be used together with the </w:t>
            </w:r>
            <w:r w:rsidR="00C07496">
              <w:rPr>
                <w:b/>
                <w:bCs/>
                <w:i/>
                <w:iCs/>
              </w:rPr>
              <w:t>robustness</w:t>
            </w:r>
            <w:r w:rsidRPr="00BC426D">
              <w:rPr>
                <w:b/>
                <w:bCs/>
                <w:i/>
                <w:iCs/>
              </w:rPr>
              <w:t xml:space="preserve"> analysis associated to the </w:t>
            </w:r>
            <w:r>
              <w:rPr>
                <w:b/>
                <w:bCs/>
                <w:i/>
                <w:iCs/>
              </w:rPr>
              <w:t>weights.</w:t>
            </w:r>
          </w:p>
        </w:tc>
      </w:tr>
    </w:tbl>
    <w:p w14:paraId="0B5427CB" w14:textId="77777777" w:rsidR="00686734" w:rsidRPr="00686734" w:rsidRDefault="00686734" w:rsidP="00686734">
      <w:pPr>
        <w:tabs>
          <w:tab w:val="left" w:pos="1884"/>
        </w:tabs>
      </w:pPr>
    </w:p>
    <w:sectPr w:rsidR="00686734" w:rsidRPr="0068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EB5"/>
    <w:multiLevelType w:val="hybridMultilevel"/>
    <w:tmpl w:val="741CC2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923DDF"/>
    <w:multiLevelType w:val="hybridMultilevel"/>
    <w:tmpl w:val="278A4EC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921BB9"/>
    <w:multiLevelType w:val="hybridMultilevel"/>
    <w:tmpl w:val="42C013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3B5BCA"/>
    <w:multiLevelType w:val="hybridMultilevel"/>
    <w:tmpl w:val="29CE0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66CC2"/>
    <w:multiLevelType w:val="hybridMultilevel"/>
    <w:tmpl w:val="1AB28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32B60"/>
    <w:multiLevelType w:val="hybridMultilevel"/>
    <w:tmpl w:val="7E027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C2499"/>
    <w:multiLevelType w:val="hybridMultilevel"/>
    <w:tmpl w:val="3DA43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4754A"/>
    <w:multiLevelType w:val="hybridMultilevel"/>
    <w:tmpl w:val="DB32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186534">
    <w:abstractNumId w:val="2"/>
  </w:num>
  <w:num w:numId="2" w16cid:durableId="433017398">
    <w:abstractNumId w:val="6"/>
  </w:num>
  <w:num w:numId="3" w16cid:durableId="1469085533">
    <w:abstractNumId w:val="1"/>
  </w:num>
  <w:num w:numId="4" w16cid:durableId="2059355801">
    <w:abstractNumId w:val="0"/>
  </w:num>
  <w:num w:numId="5" w16cid:durableId="334917799">
    <w:abstractNumId w:val="5"/>
  </w:num>
  <w:num w:numId="6" w16cid:durableId="2056077439">
    <w:abstractNumId w:val="4"/>
  </w:num>
  <w:num w:numId="7" w16cid:durableId="336809148">
    <w:abstractNumId w:val="7"/>
  </w:num>
  <w:num w:numId="8" w16cid:durableId="143120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A2"/>
    <w:rsid w:val="000823C0"/>
    <w:rsid w:val="000E1F87"/>
    <w:rsid w:val="0019685D"/>
    <w:rsid w:val="00217C4C"/>
    <w:rsid w:val="00231265"/>
    <w:rsid w:val="002370D9"/>
    <w:rsid w:val="00266C4F"/>
    <w:rsid w:val="00283282"/>
    <w:rsid w:val="002A0F47"/>
    <w:rsid w:val="00341B41"/>
    <w:rsid w:val="0034584A"/>
    <w:rsid w:val="00351E55"/>
    <w:rsid w:val="00426A3A"/>
    <w:rsid w:val="004B5647"/>
    <w:rsid w:val="004E70C0"/>
    <w:rsid w:val="005411DF"/>
    <w:rsid w:val="0057111A"/>
    <w:rsid w:val="005B171A"/>
    <w:rsid w:val="005D000B"/>
    <w:rsid w:val="006311CE"/>
    <w:rsid w:val="00657C45"/>
    <w:rsid w:val="006661A2"/>
    <w:rsid w:val="00681170"/>
    <w:rsid w:val="00686734"/>
    <w:rsid w:val="00690A99"/>
    <w:rsid w:val="006B19A4"/>
    <w:rsid w:val="006E5DAB"/>
    <w:rsid w:val="007C17D2"/>
    <w:rsid w:val="0080338C"/>
    <w:rsid w:val="00827176"/>
    <w:rsid w:val="008B3EA4"/>
    <w:rsid w:val="00924E2B"/>
    <w:rsid w:val="009405B4"/>
    <w:rsid w:val="00995582"/>
    <w:rsid w:val="009E42C3"/>
    <w:rsid w:val="00B44A29"/>
    <w:rsid w:val="00B50A67"/>
    <w:rsid w:val="00B8160A"/>
    <w:rsid w:val="00BC426D"/>
    <w:rsid w:val="00BE41E3"/>
    <w:rsid w:val="00C07496"/>
    <w:rsid w:val="00C21CD2"/>
    <w:rsid w:val="00CB60A4"/>
    <w:rsid w:val="00D86059"/>
    <w:rsid w:val="00DB3657"/>
    <w:rsid w:val="00DF1166"/>
    <w:rsid w:val="00DF660D"/>
    <w:rsid w:val="00E57492"/>
    <w:rsid w:val="00E81FBD"/>
    <w:rsid w:val="00E837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EC6A"/>
  <w15:chartTrackingRefBased/>
  <w15:docId w15:val="{1B943AC0-C28B-7C4D-8E11-37CEB43D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67"/>
    <w:rPr>
      <w:lang w:val="en-GB"/>
    </w:rPr>
  </w:style>
  <w:style w:type="paragraph" w:styleId="Heading1">
    <w:name w:val="heading 1"/>
    <w:basedOn w:val="Normal"/>
    <w:next w:val="Normal"/>
    <w:link w:val="Heading1Char"/>
    <w:uiPriority w:val="9"/>
    <w:qFormat/>
    <w:rsid w:val="00B50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3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A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67"/>
    <w:rPr>
      <w:rFonts w:asciiTheme="majorHAnsi" w:eastAsiaTheme="majorEastAsia" w:hAnsiTheme="majorHAnsi" w:cstheme="majorBidi"/>
      <w:spacing w:val="-10"/>
      <w:kern w:val="28"/>
      <w:sz w:val="56"/>
      <w:szCs w:val="56"/>
      <w:lang w:val="en-GB"/>
    </w:rPr>
  </w:style>
  <w:style w:type="character" w:styleId="IntenseReference">
    <w:name w:val="Intense Reference"/>
    <w:basedOn w:val="DefaultParagraphFont"/>
    <w:uiPriority w:val="32"/>
    <w:qFormat/>
    <w:rsid w:val="00B50A67"/>
    <w:rPr>
      <w:b/>
      <w:bCs/>
      <w:smallCaps/>
      <w:color w:val="4472C4" w:themeColor="accent1"/>
      <w:spacing w:val="5"/>
    </w:rPr>
  </w:style>
  <w:style w:type="character" w:styleId="SubtleReference">
    <w:name w:val="Subtle Reference"/>
    <w:basedOn w:val="DefaultParagraphFont"/>
    <w:uiPriority w:val="31"/>
    <w:qFormat/>
    <w:rsid w:val="00B50A67"/>
    <w:rPr>
      <w:smallCaps/>
      <w:color w:val="5A5A5A" w:themeColor="text1" w:themeTint="A5"/>
    </w:rPr>
  </w:style>
  <w:style w:type="paragraph" w:styleId="IntenseQuote">
    <w:name w:val="Intense Quote"/>
    <w:basedOn w:val="Normal"/>
    <w:next w:val="Normal"/>
    <w:link w:val="IntenseQuoteChar"/>
    <w:uiPriority w:val="30"/>
    <w:qFormat/>
    <w:rsid w:val="00B50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0A67"/>
    <w:rPr>
      <w:i/>
      <w:iCs/>
      <w:color w:val="4472C4" w:themeColor="accent1"/>
      <w:lang w:val="en-GB"/>
    </w:rPr>
  </w:style>
  <w:style w:type="paragraph" w:styleId="Quote">
    <w:name w:val="Quote"/>
    <w:basedOn w:val="Normal"/>
    <w:next w:val="Normal"/>
    <w:link w:val="QuoteChar"/>
    <w:uiPriority w:val="29"/>
    <w:qFormat/>
    <w:rsid w:val="00B50A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0A67"/>
    <w:rPr>
      <w:i/>
      <w:iCs/>
      <w:color w:val="404040" w:themeColor="text1" w:themeTint="BF"/>
      <w:lang w:val="en-GB"/>
    </w:rPr>
  </w:style>
  <w:style w:type="character" w:styleId="CommentReference">
    <w:name w:val="annotation reference"/>
    <w:basedOn w:val="DefaultParagraphFont"/>
    <w:uiPriority w:val="99"/>
    <w:semiHidden/>
    <w:unhideWhenUsed/>
    <w:rsid w:val="00B50A67"/>
    <w:rPr>
      <w:sz w:val="16"/>
      <w:szCs w:val="16"/>
    </w:rPr>
  </w:style>
  <w:style w:type="paragraph" w:styleId="CommentText">
    <w:name w:val="annotation text"/>
    <w:basedOn w:val="Normal"/>
    <w:link w:val="CommentTextChar"/>
    <w:uiPriority w:val="99"/>
    <w:unhideWhenUsed/>
    <w:rsid w:val="00B50A67"/>
    <w:rPr>
      <w:sz w:val="20"/>
      <w:szCs w:val="20"/>
    </w:rPr>
  </w:style>
  <w:style w:type="character" w:customStyle="1" w:styleId="CommentTextChar">
    <w:name w:val="Comment Text Char"/>
    <w:basedOn w:val="DefaultParagraphFont"/>
    <w:link w:val="CommentText"/>
    <w:uiPriority w:val="99"/>
    <w:rsid w:val="00B50A67"/>
    <w:rPr>
      <w:sz w:val="20"/>
      <w:szCs w:val="20"/>
      <w:lang w:val="en-GB"/>
    </w:rPr>
  </w:style>
  <w:style w:type="character" w:customStyle="1" w:styleId="Heading1Char">
    <w:name w:val="Heading 1 Char"/>
    <w:basedOn w:val="DefaultParagraphFont"/>
    <w:link w:val="Heading1"/>
    <w:uiPriority w:val="9"/>
    <w:rsid w:val="00B50A6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0338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0338C"/>
    <w:pPr>
      <w:ind w:left="720"/>
      <w:contextualSpacing/>
    </w:pPr>
  </w:style>
  <w:style w:type="table" w:styleId="TableGrid">
    <w:name w:val="Table Grid"/>
    <w:basedOn w:val="TableNormal"/>
    <w:uiPriority w:val="39"/>
    <w:rsid w:val="009E42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C3"/>
    <w:pPr>
      <w:spacing w:after="200"/>
    </w:pPr>
    <w:rPr>
      <w:i/>
      <w:iCs/>
      <w:color w:val="44546A" w:themeColor="text2"/>
      <w:sz w:val="18"/>
      <w:szCs w:val="18"/>
    </w:rPr>
  </w:style>
  <w:style w:type="character" w:styleId="Hyperlink">
    <w:name w:val="Hyperlink"/>
    <w:basedOn w:val="DefaultParagraphFont"/>
    <w:uiPriority w:val="99"/>
    <w:unhideWhenUsed/>
    <w:rsid w:val="00CB60A4"/>
    <w:rPr>
      <w:color w:val="0563C1" w:themeColor="hyperlink"/>
      <w:u w:val="single"/>
    </w:rPr>
  </w:style>
  <w:style w:type="character" w:customStyle="1" w:styleId="react-xocs-alternative-link">
    <w:name w:val="react-xocs-alternative-link"/>
    <w:basedOn w:val="DefaultParagraphFont"/>
    <w:rsid w:val="0034584A"/>
  </w:style>
  <w:style w:type="character" w:customStyle="1" w:styleId="given-name">
    <w:name w:val="given-name"/>
    <w:basedOn w:val="DefaultParagraphFont"/>
    <w:rsid w:val="0034584A"/>
  </w:style>
  <w:style w:type="character" w:customStyle="1" w:styleId="text">
    <w:name w:val="text"/>
    <w:basedOn w:val="DefaultParagraphFont"/>
    <w:rsid w:val="0034584A"/>
  </w:style>
  <w:style w:type="character" w:styleId="UnresolvedMention">
    <w:name w:val="Unresolved Mention"/>
    <w:basedOn w:val="DefaultParagraphFont"/>
    <w:uiPriority w:val="99"/>
    <w:semiHidden/>
    <w:unhideWhenUsed/>
    <w:rsid w:val="0034584A"/>
    <w:rPr>
      <w:color w:val="605E5C"/>
      <w:shd w:val="clear" w:color="auto" w:fill="E1DFDD"/>
    </w:rPr>
  </w:style>
  <w:style w:type="character" w:customStyle="1" w:styleId="author-ref">
    <w:name w:val="author-ref"/>
    <w:basedOn w:val="DefaultParagraphFont"/>
    <w:rsid w:val="00827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42">
      <w:bodyDiv w:val="1"/>
      <w:marLeft w:val="0"/>
      <w:marRight w:val="0"/>
      <w:marTop w:val="0"/>
      <w:marBottom w:val="0"/>
      <w:divBdr>
        <w:top w:val="none" w:sz="0" w:space="0" w:color="auto"/>
        <w:left w:val="none" w:sz="0" w:space="0" w:color="auto"/>
        <w:bottom w:val="none" w:sz="0" w:space="0" w:color="auto"/>
        <w:right w:val="none" w:sz="0" w:space="0" w:color="auto"/>
      </w:divBdr>
    </w:div>
    <w:div w:id="550532044">
      <w:bodyDiv w:val="1"/>
      <w:marLeft w:val="0"/>
      <w:marRight w:val="0"/>
      <w:marTop w:val="0"/>
      <w:marBottom w:val="0"/>
      <w:divBdr>
        <w:top w:val="none" w:sz="0" w:space="0" w:color="auto"/>
        <w:left w:val="none" w:sz="0" w:space="0" w:color="auto"/>
        <w:bottom w:val="none" w:sz="0" w:space="0" w:color="auto"/>
        <w:right w:val="none" w:sz="0" w:space="0" w:color="auto"/>
      </w:divBdr>
    </w:div>
    <w:div w:id="634986097">
      <w:bodyDiv w:val="1"/>
      <w:marLeft w:val="0"/>
      <w:marRight w:val="0"/>
      <w:marTop w:val="0"/>
      <w:marBottom w:val="0"/>
      <w:divBdr>
        <w:top w:val="none" w:sz="0" w:space="0" w:color="auto"/>
        <w:left w:val="none" w:sz="0" w:space="0" w:color="auto"/>
        <w:bottom w:val="none" w:sz="0" w:space="0" w:color="auto"/>
        <w:right w:val="none" w:sz="0" w:space="0" w:color="auto"/>
      </w:divBdr>
    </w:div>
    <w:div w:id="661272057">
      <w:bodyDiv w:val="1"/>
      <w:marLeft w:val="0"/>
      <w:marRight w:val="0"/>
      <w:marTop w:val="0"/>
      <w:marBottom w:val="0"/>
      <w:divBdr>
        <w:top w:val="none" w:sz="0" w:space="0" w:color="auto"/>
        <w:left w:val="none" w:sz="0" w:space="0" w:color="auto"/>
        <w:bottom w:val="none" w:sz="0" w:space="0" w:color="auto"/>
        <w:right w:val="none" w:sz="0" w:space="0" w:color="auto"/>
      </w:divBdr>
    </w:div>
    <w:div w:id="1090586015">
      <w:bodyDiv w:val="1"/>
      <w:marLeft w:val="0"/>
      <w:marRight w:val="0"/>
      <w:marTop w:val="0"/>
      <w:marBottom w:val="0"/>
      <w:divBdr>
        <w:top w:val="none" w:sz="0" w:space="0" w:color="auto"/>
        <w:left w:val="none" w:sz="0" w:space="0" w:color="auto"/>
        <w:bottom w:val="none" w:sz="0" w:space="0" w:color="auto"/>
        <w:right w:val="none" w:sz="0" w:space="0" w:color="auto"/>
      </w:divBdr>
    </w:div>
    <w:div w:id="1233085461">
      <w:bodyDiv w:val="1"/>
      <w:marLeft w:val="0"/>
      <w:marRight w:val="0"/>
      <w:marTop w:val="0"/>
      <w:marBottom w:val="0"/>
      <w:divBdr>
        <w:top w:val="none" w:sz="0" w:space="0" w:color="auto"/>
        <w:left w:val="none" w:sz="0" w:space="0" w:color="auto"/>
        <w:bottom w:val="none" w:sz="0" w:space="0" w:color="auto"/>
        <w:right w:val="none" w:sz="0" w:space="0" w:color="auto"/>
      </w:divBdr>
    </w:div>
    <w:div w:id="1635255741">
      <w:bodyDiv w:val="1"/>
      <w:marLeft w:val="0"/>
      <w:marRight w:val="0"/>
      <w:marTop w:val="0"/>
      <w:marBottom w:val="0"/>
      <w:divBdr>
        <w:top w:val="none" w:sz="0" w:space="0" w:color="auto"/>
        <w:left w:val="none" w:sz="0" w:space="0" w:color="auto"/>
        <w:bottom w:val="none" w:sz="0" w:space="0" w:color="auto"/>
        <w:right w:val="none" w:sz="0" w:space="0" w:color="auto"/>
      </w:divBdr>
    </w:div>
    <w:div w:id="1785536454">
      <w:bodyDiv w:val="1"/>
      <w:marLeft w:val="0"/>
      <w:marRight w:val="0"/>
      <w:marTop w:val="0"/>
      <w:marBottom w:val="0"/>
      <w:divBdr>
        <w:top w:val="none" w:sz="0" w:space="0" w:color="auto"/>
        <w:left w:val="none" w:sz="0" w:space="0" w:color="auto"/>
        <w:bottom w:val="none" w:sz="0" w:space="0" w:color="auto"/>
        <w:right w:val="none" w:sz="0" w:space="0" w:color="auto"/>
      </w:divBdr>
    </w:div>
    <w:div w:id="20416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Flaminia Catalli</dc:creator>
  <cp:keywords/>
  <dc:description/>
  <cp:lastModifiedBy>Flaminia Catalli</cp:lastModifiedBy>
  <cp:revision>3</cp:revision>
  <dcterms:created xsi:type="dcterms:W3CDTF">2023-11-09T13:36:00Z</dcterms:created>
  <dcterms:modified xsi:type="dcterms:W3CDTF">2023-11-09T13:39:00Z</dcterms:modified>
</cp:coreProperties>
</file>