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proofErr w:type="gramStart"/>
      <w:r w:rsidR="00D14195">
        <w:rPr>
          <w:sz w:val="22"/>
          <w:szCs w:val="22"/>
        </w:rPr>
        <w:t>Summer  2013</w:t>
      </w:r>
      <w:proofErr w:type="gramEnd"/>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 xml:space="preserve">Keith </w:t>
      </w:r>
      <w:proofErr w:type="spellStart"/>
      <w:r>
        <w:rPr>
          <w:sz w:val="22"/>
        </w:rPr>
        <w:t>Miron</w:t>
      </w:r>
      <w:proofErr w:type="spellEnd"/>
    </w:p>
    <w:p w:rsidR="00044712" w:rsidRDefault="00044712" w:rsidP="00044712">
      <w:pPr>
        <w:tabs>
          <w:tab w:val="left" w:pos="1980"/>
          <w:tab w:val="left" w:pos="5760"/>
        </w:tabs>
        <w:ind w:right="720"/>
        <w:rPr>
          <w:b/>
          <w:bCs/>
          <w:iCs/>
          <w:sz w:val="22"/>
        </w:rPr>
      </w:pPr>
      <w:r>
        <w:rPr>
          <w:b/>
          <w:bCs/>
          <w:iCs/>
          <w:sz w:val="22"/>
        </w:rPr>
        <w:t xml:space="preserve">Email Address: </w:t>
      </w:r>
      <w:hyperlink r:id="rId9" w:history="1">
        <w:r w:rsidRPr="003636CF">
          <w:rPr>
            <w:rStyle w:val="Hyperlink"/>
            <w:sz w:val="22"/>
          </w:rPr>
          <w:t>kmiron@gmail.com</w:t>
        </w:r>
      </w:hyperlink>
      <w:r>
        <w:rPr>
          <w:sz w:val="22"/>
        </w:rPr>
        <w:t xml:space="preserve"> </w:t>
      </w:r>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t xml:space="preserve">Materials and Supplies: </w:t>
      </w:r>
      <w:r w:rsidR="00A436F2">
        <w:rPr>
          <w:sz w:val="22"/>
        </w:rPr>
        <w:t xml:space="preserve">Students will need a copy of Unity (Free edition), as well as a copy of </w:t>
      </w:r>
      <w:hyperlink r:id="rId10"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w:t>
      </w:r>
      <w:r>
        <w:rPr>
          <w:sz w:val="22"/>
        </w:rPr>
        <w:lastRenderedPageBreak/>
        <w:t xml:space="preserve">(e.g.,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D25BAD">
              <w:rPr>
                <w:color w:val="000000"/>
              </w:rPr>
              <w:t>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15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15</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D25BAD" w:rsidP="007844C2">
            <w:pPr>
              <w:pStyle w:val="syltext"/>
              <w:ind w:left="0"/>
              <w:rPr>
                <w:color w:val="000000"/>
              </w:rPr>
            </w:pPr>
            <w:r>
              <w:rPr>
                <w:color w:val="000000"/>
              </w:rPr>
              <w:t>25</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w:t>
      </w:r>
      <w:proofErr w:type="gramStart"/>
      <w:r w:rsidR="0076506E">
        <w:rPr>
          <w:color w:val="000000"/>
          <w:sz w:val="18"/>
          <w:szCs w:val="18"/>
        </w:rPr>
        <w:t>classes</w:t>
      </w:r>
      <w:proofErr w:type="gramEnd"/>
      <w:r w:rsidR="0076506E">
        <w:rPr>
          <w:color w:val="000000"/>
          <w:sz w:val="18"/>
          <w:szCs w:val="18"/>
        </w:rPr>
        <w:t xml:space="preserve"> results in an automatic failure of the course.  Every class missed after the second absence will result 10 points deducted</w:t>
      </w:r>
      <w:proofErr w:type="gramStart"/>
      <w:r w:rsidR="0076506E">
        <w:rPr>
          <w:color w:val="000000"/>
          <w:sz w:val="18"/>
          <w:szCs w:val="18"/>
        </w:rPr>
        <w:t>..</w:t>
      </w:r>
      <w:proofErr w:type="gramEnd"/>
      <w:r w:rsidR="0076506E">
        <w:rPr>
          <w:color w:val="000000"/>
          <w:sz w:val="18"/>
          <w:szCs w:val="18"/>
        </w:rPr>
        <w:t xml:space="preserve">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w:t>
      </w:r>
      <w:proofErr w:type="gramStart"/>
      <w:r w:rsidR="0076506E">
        <w:rPr>
          <w:color w:val="000000"/>
          <w:sz w:val="18"/>
          <w:szCs w:val="18"/>
        </w:rPr>
        <w:t>including</w:t>
      </w:r>
      <w:proofErr w:type="gramEnd"/>
      <w:r w:rsidR="0076506E">
        <w:rPr>
          <w:color w:val="000000"/>
          <w:sz w:val="18"/>
          <w:szCs w:val="18"/>
        </w:rPr>
        <w:t xml:space="preserve">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0" w:name="OLE_LINK1"/>
      <w:bookmarkStart w:id="1"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 xml:space="preserve">No food allowed in computer labs at any time. Drinks in </w:t>
      </w:r>
      <w:proofErr w:type="spellStart"/>
      <w:r>
        <w:rPr>
          <w:sz w:val="22"/>
          <w:szCs w:val="22"/>
        </w:rPr>
        <w:t>recloseable</w:t>
      </w:r>
      <w:proofErr w:type="spellEnd"/>
      <w:r>
        <w:rPr>
          <w:sz w:val="22"/>
          <w:szCs w:val="22"/>
        </w:rPr>
        <w:t xml:space="preserv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lastRenderedPageBreak/>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szCs w:val="22"/>
        </w:rPr>
      </w:pPr>
      <w:r w:rsidRPr="00F5566A">
        <w:rPr>
          <w:b/>
          <w:sz w:val="22"/>
          <w:szCs w:val="22"/>
        </w:rPr>
        <w:t>Attendance Policy:</w:t>
      </w:r>
    </w:p>
    <w:p w:rsidR="00044712" w:rsidRPr="00F5566A" w:rsidRDefault="00044712" w:rsidP="00044712">
      <w:pPr>
        <w:tabs>
          <w:tab w:val="left" w:pos="1440"/>
        </w:tabs>
        <w:ind w:left="72"/>
        <w:rPr>
          <w:sz w:val="22"/>
          <w:szCs w:val="22"/>
        </w:rPr>
      </w:pPr>
      <w:r w:rsidRPr="00F5566A">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044712" w:rsidRPr="00F5566A" w:rsidRDefault="00044712" w:rsidP="00044712">
      <w:pPr>
        <w:tabs>
          <w:tab w:val="left" w:pos="1440"/>
        </w:tabs>
        <w:ind w:left="72"/>
        <w:rPr>
          <w:sz w:val="22"/>
          <w:szCs w:val="22"/>
        </w:rPr>
      </w:pPr>
    </w:p>
    <w:p w:rsidR="00044712" w:rsidRPr="00F5566A" w:rsidRDefault="00044712" w:rsidP="00044712">
      <w:pPr>
        <w:tabs>
          <w:tab w:val="left" w:pos="1440"/>
        </w:tabs>
        <w:ind w:left="72"/>
        <w:rPr>
          <w:sz w:val="22"/>
          <w:szCs w:val="22"/>
        </w:rPr>
      </w:pPr>
      <w:r w:rsidRPr="00F5566A">
        <w:rPr>
          <w:sz w:val="22"/>
          <w:szCs w:val="22"/>
        </w:rPr>
        <w:t xml:space="preserve">It is strongly recommended that any student who – for ANY reason – misses more than 2 </w:t>
      </w:r>
      <w:proofErr w:type="spellStart"/>
      <w:r w:rsidRPr="00F5566A">
        <w:rPr>
          <w:sz w:val="22"/>
          <w:szCs w:val="22"/>
        </w:rPr>
        <w:t>weeks worth</w:t>
      </w:r>
      <w:proofErr w:type="spellEnd"/>
      <w:r w:rsidRPr="00F5566A">
        <w:rPr>
          <w:sz w:val="22"/>
          <w:szCs w:val="22"/>
        </w:rPr>
        <w:t xml:space="preserve">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044712" w:rsidRPr="00F5566A" w:rsidRDefault="00044712" w:rsidP="00044712">
      <w:pPr>
        <w:tabs>
          <w:tab w:val="left" w:pos="1440"/>
        </w:tabs>
        <w:ind w:left="72"/>
        <w:rPr>
          <w:sz w:val="22"/>
          <w:szCs w:val="22"/>
        </w:rPr>
      </w:pP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Lecture/Lab classes   </w:t>
      </w:r>
      <w:r w:rsidRPr="00F5566A">
        <w:rPr>
          <w:sz w:val="22"/>
          <w:szCs w:val="22"/>
        </w:rPr>
        <w:tab/>
        <w:t>(4 hours)</w:t>
      </w:r>
      <w:r w:rsidRPr="00F5566A">
        <w:rPr>
          <w:sz w:val="22"/>
          <w:szCs w:val="22"/>
        </w:rPr>
        <w:tab/>
        <w:t>20% = 2 Weeks = 8 hours</w:t>
      </w:r>
      <w:r w:rsidRPr="00F5566A">
        <w:rPr>
          <w:sz w:val="22"/>
          <w:szCs w:val="22"/>
        </w:rPr>
        <w:tab/>
        <w:t>30% = 3 Weeks = 12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Culinary Lab classes   </w:t>
      </w:r>
      <w:r w:rsidRPr="00F5566A">
        <w:rPr>
          <w:sz w:val="22"/>
          <w:szCs w:val="22"/>
        </w:rPr>
        <w:tab/>
        <w:t>(5 hours)</w:t>
      </w:r>
      <w:r w:rsidRPr="00F5566A">
        <w:rPr>
          <w:sz w:val="22"/>
          <w:szCs w:val="22"/>
        </w:rPr>
        <w:tab/>
        <w:t>20% = 2 Weeks = 10 hours</w:t>
      </w:r>
      <w:r w:rsidRPr="00F5566A">
        <w:rPr>
          <w:sz w:val="22"/>
          <w:szCs w:val="22"/>
        </w:rPr>
        <w:tab/>
        <w:t>30% = 3 Weeks = 15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ab/>
      </w:r>
      <w:r w:rsidRPr="00F5566A">
        <w:rPr>
          <w:sz w:val="22"/>
          <w:szCs w:val="22"/>
        </w:rPr>
        <w:tab/>
        <w:t xml:space="preserve">       </w:t>
      </w:r>
      <w:r w:rsidRPr="00F5566A">
        <w:rPr>
          <w:sz w:val="22"/>
          <w:szCs w:val="22"/>
        </w:rPr>
        <w:tab/>
        <w:t>(10 hours)</w:t>
      </w:r>
      <w:r w:rsidRPr="00F5566A">
        <w:rPr>
          <w:sz w:val="22"/>
          <w:szCs w:val="22"/>
        </w:rPr>
        <w:tab/>
        <w:t>20% = 2 Weeks = 20 hours</w:t>
      </w:r>
      <w:r w:rsidRPr="00F5566A">
        <w:rPr>
          <w:sz w:val="22"/>
          <w:szCs w:val="22"/>
        </w:rPr>
        <w:tab/>
        <w:t>30% = 3 Weeks = 30 hours</w:t>
      </w:r>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rPr>
      </w:pPr>
      <w:r w:rsidRPr="00F5566A">
        <w:rPr>
          <w:b/>
          <w:sz w:val="22"/>
        </w:rPr>
        <w:t>Student Conduct Policy:</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1"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 xml:space="preserve">Analog prototype and </w:t>
      </w:r>
      <w:proofErr w:type="spellStart"/>
      <w:r w:rsidR="00446811" w:rsidRPr="00446811">
        <w:rPr>
          <w:color w:val="000000"/>
          <w:sz w:val="23"/>
          <w:szCs w:val="23"/>
        </w:rPr>
        <w:t>modding</w:t>
      </w:r>
      <w:proofErr w:type="spellEnd"/>
      <w:r w:rsidR="00446811" w:rsidRPr="00446811">
        <w:rPr>
          <w:color w:val="000000"/>
          <w:sz w:val="23"/>
          <w:szCs w:val="23"/>
        </w:rPr>
        <w:t xml:space="preserve">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w:t>
      </w:r>
      <w:proofErr w:type="spellStart"/>
      <w:r w:rsidR="000569B9">
        <w:rPr>
          <w:rStyle w:val="apple-tab-span"/>
          <w:bCs/>
          <w:color w:val="000000"/>
          <w:sz w:val="23"/>
          <w:szCs w:val="23"/>
        </w:rPr>
        <w:t>vs</w:t>
      </w:r>
      <w:proofErr w:type="spellEnd"/>
      <w:r w:rsidR="000569B9">
        <w:rPr>
          <w:rStyle w:val="apple-tab-span"/>
          <w:bCs/>
          <w:color w:val="000000"/>
          <w:sz w:val="23"/>
          <w:szCs w:val="23"/>
        </w:rPr>
        <w:t xml:space="preserve">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 xml:space="preserve">otype and </w:t>
      </w:r>
      <w:proofErr w:type="spellStart"/>
      <w:r w:rsidR="007F1F9B">
        <w:rPr>
          <w:bCs/>
          <w:color w:val="000000"/>
          <w:sz w:val="23"/>
          <w:szCs w:val="23"/>
        </w:rPr>
        <w:t>modding</w:t>
      </w:r>
      <w:proofErr w:type="spellEnd"/>
      <w:r w:rsidR="007F1F9B">
        <w:rPr>
          <w:bCs/>
          <w:color w:val="000000"/>
          <w:sz w:val="23"/>
          <w:szCs w:val="23"/>
        </w:rPr>
        <w:t xml:space="preserve"> Diablo (RPG</w:t>
      </w:r>
      <w:r w:rsidR="00CE1B15">
        <w:rPr>
          <w:bCs/>
          <w:color w:val="000000"/>
          <w:sz w:val="23"/>
          <w:szCs w:val="23"/>
        </w:rPr>
        <w:t xml:space="preserve">) </w:t>
      </w:r>
      <w:r w:rsidR="00CE1B15" w:rsidRPr="00CE1B15">
        <w:rPr>
          <w:bCs/>
          <w:color w:val="000000"/>
          <w:sz w:val="23"/>
          <w:szCs w:val="23"/>
        </w:rPr>
        <w:t xml:space="preserve">and </w:t>
      </w:r>
      <w:proofErr w:type="spellStart"/>
      <w:r w:rsidR="00CE1B15" w:rsidRPr="00CE1B15">
        <w:rPr>
          <w:bCs/>
          <w:color w:val="000000"/>
          <w:sz w:val="23"/>
          <w:szCs w:val="23"/>
        </w:rPr>
        <w:t>Starcraft</w:t>
      </w:r>
      <w:proofErr w:type="spellEnd"/>
      <w:r w:rsidR="00CE1B15" w:rsidRPr="00CE1B15">
        <w:rPr>
          <w:bCs/>
          <w:color w:val="000000"/>
          <w:sz w:val="23"/>
          <w:szCs w:val="23"/>
        </w:rPr>
        <w:t xml:space="preserve">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proofErr w:type="gramStart"/>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w:t>
      </w:r>
      <w:proofErr w:type="gramEnd"/>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proofErr w:type="gramStart"/>
      <w:r w:rsidR="00837A45">
        <w:rPr>
          <w:sz w:val="22"/>
          <w:szCs w:val="22"/>
        </w:rPr>
        <w:t>Examples.</w:t>
      </w:r>
      <w:proofErr w:type="gramEnd"/>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0"/>
      <w:bookmarkEnd w:id="1"/>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 xml:space="preserve">Complete </w:t>
      </w:r>
      <w:r w:rsidR="0069690C">
        <w:rPr>
          <w:sz w:val="22"/>
          <w:szCs w:val="22"/>
        </w:rPr>
        <w:t>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proofErr w:type="gramStart"/>
      <w:r w:rsidR="008C4B23">
        <w:rPr>
          <w:sz w:val="22"/>
          <w:szCs w:val="22"/>
        </w:rPr>
        <w:t xml:space="preserve">, </w:t>
      </w:r>
      <w:r w:rsidR="00AF0405">
        <w:rPr>
          <w:sz w:val="22"/>
          <w:szCs w:val="22"/>
        </w:rPr>
        <w:t xml:space="preserve"> “</w:t>
      </w:r>
      <w:proofErr w:type="gramEnd"/>
      <w:r w:rsidR="00AF0405">
        <w:rPr>
          <w:sz w:val="22"/>
          <w:szCs w:val="22"/>
        </w:rPr>
        <w:t>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Make a presenta</w:t>
      </w:r>
      <w:bookmarkStart w:id="2" w:name="_GoBack"/>
      <w:bookmarkEnd w:id="2"/>
      <w:r>
        <w:rPr>
          <w:sz w:val="22"/>
          <w:szCs w:val="22"/>
        </w:rPr>
        <w:t xml:space="preserve">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5024F8" w:rsidP="007F1F9B">
      <w:pPr>
        <w:pStyle w:val="Heading1"/>
      </w:pPr>
    </w:p>
    <w:sectPr w:rsidR="00720723" w:rsidSect="002F7152">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F8" w:rsidRDefault="005024F8" w:rsidP="006C753D">
      <w:r>
        <w:separator/>
      </w:r>
    </w:p>
  </w:endnote>
  <w:endnote w:type="continuationSeparator" w:id="0">
    <w:p w:rsidR="005024F8" w:rsidRDefault="005024F8"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5024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227C">
      <w:rPr>
        <w:rStyle w:val="PageNumber"/>
        <w:noProof/>
      </w:rPr>
      <w:t>5</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F8" w:rsidRDefault="005024F8" w:rsidP="006C753D">
      <w:r>
        <w:separator/>
      </w:r>
    </w:p>
  </w:footnote>
  <w:footnote w:type="continuationSeparator" w:id="0">
    <w:p w:rsidR="005024F8" w:rsidRDefault="005024F8"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320CD4"/>
    <w:rsid w:val="00363AA5"/>
    <w:rsid w:val="00396FBE"/>
    <w:rsid w:val="003B7587"/>
    <w:rsid w:val="003C316D"/>
    <w:rsid w:val="003E1FDB"/>
    <w:rsid w:val="00440EE7"/>
    <w:rsid w:val="00446811"/>
    <w:rsid w:val="00463CC8"/>
    <w:rsid w:val="004B41CB"/>
    <w:rsid w:val="005024F8"/>
    <w:rsid w:val="00505EBB"/>
    <w:rsid w:val="00530E0B"/>
    <w:rsid w:val="005644E7"/>
    <w:rsid w:val="00582680"/>
    <w:rsid w:val="005A3711"/>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23225"/>
    <w:rsid w:val="00832837"/>
    <w:rsid w:val="00837A45"/>
    <w:rsid w:val="00897165"/>
    <w:rsid w:val="008C3B3C"/>
    <w:rsid w:val="008C4B23"/>
    <w:rsid w:val="008E0743"/>
    <w:rsid w:val="008F75F1"/>
    <w:rsid w:val="00971EE2"/>
    <w:rsid w:val="009A20D2"/>
    <w:rsid w:val="00A42A4C"/>
    <w:rsid w:val="00A436F2"/>
    <w:rsid w:val="00A55741"/>
    <w:rsid w:val="00A82802"/>
    <w:rsid w:val="00AF0405"/>
    <w:rsid w:val="00B85003"/>
    <w:rsid w:val="00BF6E7E"/>
    <w:rsid w:val="00C009E1"/>
    <w:rsid w:val="00CD00BC"/>
    <w:rsid w:val="00CE1B15"/>
    <w:rsid w:val="00D14195"/>
    <w:rsid w:val="00D25BAD"/>
    <w:rsid w:val="00DA0D94"/>
    <w:rsid w:val="00DB0131"/>
    <w:rsid w:val="00E13521"/>
    <w:rsid w:val="00EA3043"/>
    <w:rsid w:val="00F05E88"/>
    <w:rsid w:val="00F34459"/>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aii.edu/~gwd301/library.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utonggames.com/" TargetMode="External"/><Relationship Id="rId4" Type="http://schemas.microsoft.com/office/2007/relationships/stylesWithEffects" Target="stylesWithEffects.xml"/><Relationship Id="rId9" Type="http://schemas.openxmlformats.org/officeDocument/2006/relationships/hyperlink" Target="mailto:kmir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FF079-577D-416F-899E-AAD1B064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65</cp:revision>
  <dcterms:created xsi:type="dcterms:W3CDTF">2013-01-10T04:37:00Z</dcterms:created>
  <dcterms:modified xsi:type="dcterms:W3CDTF">2013-07-13T04:24:00Z</dcterms:modified>
</cp:coreProperties>
</file>