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sz w:val="24"/>
        </w:rPr>
        <w:t>МИНИСТЕРСТВО НАУКИ И ВЫСШЕГО ОБРАЗОВАНИЯ РОССИЙСКОЙ ФЕДЕРАЦИИ</w:t>
        <w:br/>
      </w:r>
      <w:r>
        <w:rPr>
          <w:rFonts w:ascii="Times New Roman" w:hAnsi="Times New Roman" w:eastAsia="Times New Roman"/>
          <w:sz w:val="24"/>
        </w:rPr>
        <w:t>[НАИМЕНОВАНИЕ УНИВЕРСИТЕТА]</w:t>
        <w:br/>
      </w:r>
      <w:r>
        <w:rPr>
          <w:rFonts w:ascii="Times New Roman" w:hAnsi="Times New Roman" w:eastAsia="Times New Roman"/>
          <w:sz w:val="24"/>
        </w:rPr>
        <w:t>[КАФЕДРА / ИНСТИТУТ]</w:t>
        <w:br/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sz w:val="24"/>
        </w:rPr>
        <w:t>НАУЧНАЯ РАБОТА</w:t>
        <w:br/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sz w:val="24"/>
        </w:rPr>
        <w:t>на тему:</w:t>
        <w:br/>
      </w:r>
      <w:r>
        <w:rPr>
          <w:rFonts w:ascii="Times New Roman" w:hAnsi="Times New Roman" w:eastAsia="Times New Roman"/>
          <w:b/>
          <w:sz w:val="28"/>
        </w:rPr>
        <w:t>«HI-CSG-R: структурно-диагностическое графовое представление русского рукописного текста»</w:t>
        <w:br/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sz w:val="24"/>
        </w:rPr>
        <w:t>Выполнил: [Ф. И. О. студента]</w:t>
        <w:br/>
      </w:r>
      <w:r>
        <w:rPr>
          <w:rFonts w:ascii="Times New Roman" w:hAnsi="Times New Roman" w:eastAsia="Times New Roman"/>
          <w:sz w:val="24"/>
        </w:rPr>
        <w:t>Научный руководитель: [Ф. И. О., степень, должность]</w:t>
        <w:br/>
      </w:r>
      <w:r>
        <w:rPr>
          <w:rFonts w:ascii="Times New Roman" w:hAnsi="Times New Roman" w:eastAsia="Times New Roman"/>
          <w:sz w:val="24"/>
        </w:rPr>
        <w:br/>
      </w:r>
      <w:r>
        <w:rPr>
          <w:rFonts w:ascii="Times New Roman" w:hAnsi="Times New Roman" w:eastAsia="Times New Roman"/>
          <w:sz w:val="24"/>
        </w:rPr>
        <w:t>Москва — 2026</w:t>
        <w:br/>
      </w:r>
    </w:p>
    <w:p>
      <w:r>
        <w:br w:type="page"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РЕФЕРАТ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3"/>
        </w:rPr>
        <w:t>Работа посвящена разработке и проверке HI-CSG-R — канонического графа видимой штриховой структуры, предназначенного для структурной диагностики офлайн-изображений русского рукописного текста. Метод не претендует на восстановление истинной траектории пера или порядка написания штрихов; он описывает только видимую структуру изображения и используется для контроля качества, анализа ошибок и повышения надежности распознавания.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3"/>
        </w:rPr>
        <w:t>В ходе исследования были последовательно выполнены аудит данных, построение графового конвейера, обучение базовой модели распознавания, проверка графового дополнения модели, анализ устойчивости, исправление проблем в тетрадном домене, подтверждение результата на трех зернах случайности, доменный анализ и проверка избирательной выдачи предсказаний. Главный воспроизводимый результат состоит в снижении посимвольной ошибки при добавлении релевантных кириллических данных, особенно на изображениях из школьных тетрадей.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3"/>
        </w:rPr>
        <w:t>Ключевые слова: рукописный текст, офлайн-распознавание, граф штриховой структуры, структурная диагностика, скелетизация, CTC, CRNN, посимвольная ошибка.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ОГЛАВЛЕНИЕ</w:t>
      </w:r>
    </w:p>
    <w:p>
      <w:pPr>
        <w:spacing w:after="0" w:line="259" w:lineRule="auto"/>
        <w:jc w:val="both"/>
      </w:pPr>
      <w:r>
        <w:rPr>
          <w:rFonts w:ascii="Times New Roman" w:hAnsi="Times New Roman" w:eastAsia="Times New Roman"/>
          <w:sz w:val="23"/>
        </w:rPr>
        <w:t>Введение</w:t>
      </w:r>
    </w:p>
    <w:p>
      <w:pPr>
        <w:spacing w:after="0" w:line="259" w:lineRule="auto"/>
        <w:jc w:val="both"/>
      </w:pPr>
      <w:r>
        <w:rPr>
          <w:rFonts w:ascii="Times New Roman" w:hAnsi="Times New Roman" w:eastAsia="Times New Roman"/>
          <w:sz w:val="23"/>
        </w:rPr>
        <w:t>1. Постановка задачи и ход исследования</w:t>
      </w:r>
    </w:p>
    <w:p>
      <w:pPr>
        <w:spacing w:after="0" w:line="259" w:lineRule="auto"/>
        <w:jc w:val="both"/>
      </w:pPr>
      <w:r>
        <w:rPr>
          <w:rFonts w:ascii="Times New Roman" w:hAnsi="Times New Roman" w:eastAsia="Times New Roman"/>
          <w:sz w:val="23"/>
        </w:rPr>
        <w:t>2. Метод HI-CSG-R</w:t>
      </w:r>
    </w:p>
    <w:p>
      <w:pPr>
        <w:spacing w:after="0" w:line="259" w:lineRule="auto"/>
        <w:jc w:val="both"/>
      </w:pPr>
      <w:r>
        <w:rPr>
          <w:rFonts w:ascii="Times New Roman" w:hAnsi="Times New Roman" w:eastAsia="Times New Roman"/>
          <w:sz w:val="23"/>
        </w:rPr>
        <w:t>3. Экспериментальный протокол</w:t>
      </w:r>
    </w:p>
    <w:p>
      <w:pPr>
        <w:spacing w:after="0" w:line="259" w:lineRule="auto"/>
        <w:jc w:val="both"/>
      </w:pPr>
      <w:r>
        <w:rPr>
          <w:rFonts w:ascii="Times New Roman" w:hAnsi="Times New Roman" w:eastAsia="Times New Roman"/>
          <w:sz w:val="23"/>
        </w:rPr>
        <w:t>4. Результаты</w:t>
      </w:r>
    </w:p>
    <w:p>
      <w:pPr>
        <w:spacing w:after="0" w:line="259" w:lineRule="auto"/>
        <w:jc w:val="both"/>
      </w:pPr>
      <w:r>
        <w:rPr>
          <w:rFonts w:ascii="Times New Roman" w:hAnsi="Times New Roman" w:eastAsia="Times New Roman"/>
          <w:sz w:val="23"/>
        </w:rPr>
        <w:t>5. Обсуждение и ограничения</w:t>
      </w:r>
    </w:p>
    <w:p>
      <w:pPr>
        <w:spacing w:after="0" w:line="259" w:lineRule="auto"/>
        <w:jc w:val="both"/>
      </w:pPr>
      <w:r>
        <w:rPr>
          <w:rFonts w:ascii="Times New Roman" w:hAnsi="Times New Roman" w:eastAsia="Times New Roman"/>
          <w:sz w:val="23"/>
        </w:rPr>
        <w:t>Заключение</w:t>
      </w:r>
    </w:p>
    <w:p>
      <w:pPr>
        <w:spacing w:after="0" w:line="259" w:lineRule="auto"/>
        <w:jc w:val="both"/>
      </w:pPr>
      <w:r>
        <w:rPr>
          <w:rFonts w:ascii="Times New Roman" w:hAnsi="Times New Roman" w:eastAsia="Times New Roman"/>
          <w:sz w:val="23"/>
        </w:rPr>
        <w:t>Список использованных источников</w:t>
      </w:r>
    </w:p>
    <w:p>
      <w:r>
        <w:br w:type="page"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ВВЕДЕНИЕ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3"/>
        </w:rPr>
        <w:t>Офлайн-распознавание рукописного текста осложняется тем, что система получает только готовое изображение, не имея данных о движении пера. Поэтому ошибка распознавания может быть вызвана не только слабостью модели, но и шумом, линиями тетради, потерей части штриха, слипанием символов или неудачным выделением письменного следа. Научная проблема данной работы состоит в том, чтобы дополнить распознавание структурно-диагностическим представлением, позволяющим анализировать качество изображения и риск ошибки.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3"/>
        </w:rPr>
        <w:t>Цель работы — разработать и экспериментально оценить структурно-диагностический конвейер HI-CSG-R для анализа русских рукописных изображений и поддержки офлайн-распознавания. Объект исследования — изображения русского рукописного текста; предмет — методы построения и применения канонического графа видимой штриховой структуры. В работе проверяются три основные идеи: диагностическая пригодность графа, влияние релевантных дополнительных данных на качество распознавания и возможность избирательной выдачи более надежных предсказаний.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3"/>
        </w:rPr>
        <w:t>Ход исследования был итеративным. Первичная гипотеза о прямом повышении качества за счет графового объединения признаков была проверена и затем ослаблена: граф оказался более надежным как диагностический слой, чем как основной источник снижения ошибки. Поэтому итоговая логика работы строится вокруг HI-CSG-R как средства структурной диагностики, а численная проверка распознавания используется для оценки практической применимости метода.</w:t>
      </w:r>
    </w:p>
    <w:p>
      <w:r>
        <w:br w:type="page"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1. Постановка задачи и ход исследования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В начале работы рассматривалась идея восстановления структуры почерка по изображению. Однако было методологически зафиксировано, что по статическому изображению нельзя строго восстановить истинную траекторию пера, порядок штрихов, скорость письма или нажим. В результате задача была переформулирована: вместо реконструкции процесса письма строится каноническое описание видимой штриховой формы. Это позволило избежать недоказуемых утверждений и сделать метод проверяемым.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Дальнейшая работа включала несколько этапов. Сначала были проанализированы доступные кириллические наборы данных и выявлены различия между относительно чистыми словарными изображениями и сложным тетрадным доменом. Затем был реализован конвейер выделения письменного следа, скелетизации и построения графа. После этого была построена базовая модель распознавания на основе сверточно-рекуррентной архитектуры с CTC-декодированием. На промежуточных этапах были обнаружены технические проблемы, включая коллапс в пустой символ у CTC-модели и нестабильность графового дополнения модели распознавания. Эти проблемы были не скрыты, а учтены при уточнении гипотез.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Важным поворотом стало изучение изображений из школьных тетрадей. Для них были характерны линии фона, шум, неоднородный контраст и потеря части письменного следа. Поэтому тетрадный домен стал основной проверкой практической ценности метода: если структурная диагностика и дополнительные данные улучшают качество именно на таких изображениях, результат имеет прикладной смысл.</w:t>
      </w:r>
    </w:p>
    <w:p>
      <w:r>
        <w:drawing>
          <wp:inline xmlns:a="http://schemas.openxmlformats.org/drawingml/2006/main" xmlns:pic="http://schemas.openxmlformats.org/drawingml/2006/picture">
            <wp:extent cx="4968000" cy="176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7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Рисунок 1 — Основные этапы выполнения исследования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2. Метод HI-CSG-R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HI-CSG-R определяется как канонический граф видимой штриховой структуры рукописного изображения. Вершины и ребра графа формируются после выделения письменного следа и скелетизации. Такой граф не является реальным маршрутом движения пера, а служит структурной моделью видимой формы: он помогает оценить связность, разрывы, ложные ветви, остатки линий фона и другие признаки качества.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Конвейер метода включает пять стадий: исходное изображение, выделение письменного следа, построение скелета, построение графа и расчет диагностических признаков. В дальнейшем эти признаки используются не как самостоятельное доказательство правильности распознавания, а как средство контроля качества и объяснения ошибок. Такой подход сохраняет графовую основу исследования, но не требует недоказуемого утверждения о полном восстановлении почеркового процесса.</w:t>
      </w:r>
    </w:p>
    <w:p>
      <w:r>
        <w:drawing>
          <wp:inline xmlns:a="http://schemas.openxmlformats.org/drawingml/2006/main" xmlns:pic="http://schemas.openxmlformats.org/drawingml/2006/picture">
            <wp:extent cx="5112000" cy="147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4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Рисунок 2 — Обобщенная схема конвейера HI-CSG-R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Для проверки структурной части была использована контрольная структурная разметка. Она оценивала пригодность выделения письменного следа, скелета и графа. На 200 проверенных примерах доля пригодных результатов составила 1,000 для всех трех уровней: выделение следа, скелет и граф. При этом результат интерпретируется осторожно: он подтверждает диагностическую пригодность, но не является доказательством полной топологической правильности каждого графа.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Показатель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Значение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Интерпретация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Объем контрольной разметки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200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проверка структурной пригодности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Письменный след пригоден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1,000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ошибки не блокируют диагностику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Скелет пригоден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1,000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скелетизация применима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Граф пригоден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1,000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граф можно использовать для анализа</w:t>
            </w:r>
          </w:p>
        </w:tc>
      </w:tr>
    </w:tbl>
    <w:p>
      <w:pPr>
        <w:spacing w:after="0"/>
      </w:pP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Таблица 1 — Итог контрольной структурной разметки</w:t>
      </w:r>
    </w:p>
    <w:p>
      <w:r>
        <w:br w:type="page"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3. Экспериментальный протокол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Основная экспериментальная база включала кириллические изображения из трех источников: Cyrillic Handwriting, HKR Words и School Notebooks. Первые два источника использовались как относительно чистые словарные домены, а School Notebooks — как сложный тетрадный домен. Англоязычный набор IAM в итоговый экспериментальный вывод не включался, так как он не использовался для основных русскоязычных результатов и смешивал бы влияние языка с влиянием структуры изображения.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Качество распознавания оценивалось посимвольной ошибкой CER, пословной ошибкой WER и долей полностью правильных предсказаний. Для проверки устойчивости итогового эффекта сравнивались базовая модель по изображению и модель с добавлением релевантных дополнительных данных на трех зернах случайности: 42, 43 и 44. Отдельно был выполнен контроль происхождения сводного результата для зерна 42: количество примеров, проверочный набор, штраф пустого символа и пересчитанные метрики совпали, что позволило использовать этот результат в основной таблице.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Отдельное внимание было уделено корректности выводов. После первичного результата были выполнены контрольные выборки того же объема и разбиение без пересечения страниц. Эти проверки показали, что эффект нельзя полностью приписывать только естественному строковому контексту: более осторожная формулировка состоит в том, что качество повышает добавление релевантных и близких к целевому домену данных.</w:t>
      </w:r>
    </w:p>
    <w:p>
      <w:r>
        <w:drawing>
          <wp:inline xmlns:a="http://schemas.openxmlformats.org/drawingml/2006/main" xmlns:pic="http://schemas.openxmlformats.org/drawingml/2006/picture">
            <wp:extent cx="4860000" cy="285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page_disjo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Рисунок 3 — Проверка результата при разбиении без пересечения страниц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4. Результаты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Главный численный результат состоит в том, что добавление релевантных дополнительных данных снизило ошибку распознавания на всех трех зернах случайности. Среднее изменение посимвольной ошибки составило −0,016952, относительное изменение — −10,89 %. Пословная ошибка в среднем снизилась на 0,039321, а доля полностью правильных ответов выросла на 0,040805. Это позволяет считать основной результат воспроизводимым, а не случайным следствием одного запуска.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Зерно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CER базовой модели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CER с доп. данными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Изменение CER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Отн. изменение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0,145446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0,135127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−0,010319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−7,09 %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0,148931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0,137146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−0,011785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−7,91 %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44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0,162917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0,134165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−0,028752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−17,65 %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Среднее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−0,016952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−10,89 %</w:t>
            </w:r>
          </w:p>
        </w:tc>
      </w:tr>
    </w:tbl>
    <w:p>
      <w:pPr>
        <w:spacing w:after="0"/>
      </w:pP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Таблица 2 — Проверка основного результата на трех зернах случайности</w:t>
      </w:r>
    </w:p>
    <w:p>
      <w:r>
        <w:drawing>
          <wp:inline xmlns:a="http://schemas.openxmlformats.org/drawingml/2006/main" xmlns:pic="http://schemas.openxmlformats.org/drawingml/2006/picture">
            <wp:extent cx="4752000" cy="285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seed_c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8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Рисунок 4 — Сравнение посимвольной ошибки по трем запускам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Доменный анализ уточнил, где именно проявляется эффект. Самое сильное и устойчивое улучшение получено для School Notebooks: среднее изменение CER составило −0,026981, или −16,38 %, и наблюдалось во всех трех запусках. Для Cyrillic Handwriting улучшение также было устойчивым во всех трех запусках, но меньшим по величине. Для HKR Words улучшение было положительным в среднем, однако не полностью устойчивым по всем зернам случайности.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Домен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Среднее ΔCER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Отн. ΔCER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Улучшенных запусков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Вывод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Cyrillic Handwriting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−0,014170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−6,75 %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3/3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устойчивое улучшение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HKR Words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−0,009097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−8,30 %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2/3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улучшение в среднем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School Notebooks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−0,026981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−16,38 %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3/3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самый сильный эффект</w:t>
            </w:r>
          </w:p>
        </w:tc>
      </w:tr>
    </w:tbl>
    <w:p>
      <w:pPr>
        <w:spacing w:after="0"/>
      </w:pP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Таблица 3 — Доменный анализ изменения ошибки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Проверка избирательной выдачи предсказаний показала, что диагностические признаки могут использоваться как слой надежности. Только графовые и качественные признаки дают умеренный результат, однако уверенность модели и ее сочетание с диагностическими признаками существенно лучше отделяют рискованные случаи. На уровне всех данных ROC-AUC составил 0,796691 для уверенности модели и 0,812214 для сочетания уверенности и графовых признаков. Обнаруженный признак длины текста использовался только в отчетной стратификации, а не как вход модели риска.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Модель риска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ROC-AUC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CER@80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CER@50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Качественные признаки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0,603645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0,133754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0,139034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умеренная самостоятельная сила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Уверенность модели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0,796691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0,091126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0,056861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сильный основной сигнал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Уверенность + граф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0,812214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0,092165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0,063897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лучший риск-скоринг по ROC-AUC</w:t>
            </w:r>
          </w:p>
        </w:tc>
      </w:tr>
    </w:tbl>
    <w:p>
      <w:pPr>
        <w:spacing w:after="0"/>
      </w:pP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Таблица 4 — Избирательная выдача предсказаний</w:t>
      </w:r>
    </w:p>
    <w:p>
      <w:r>
        <w:drawing>
          <wp:inline xmlns:a="http://schemas.openxmlformats.org/drawingml/2006/main" xmlns:pic="http://schemas.openxmlformats.org/drawingml/2006/picture">
            <wp:extent cx="4608000" cy="27142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sele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71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Рисунок 5 — Связь покрытия выборки и ошибки распознавания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5. Обсуждение и ограничения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Полученные результаты подтверждают не исходную сильную гипотезу о безусловном превосходстве графового дополнения модели распознавания, а более строгую и защищаемую постановку. HI-CSG-R оказался полезен прежде всего как структурно-диагностическое представление: он позволяет фиксировать качество письменного следа, скелета и графа, анализировать сложные случаи и поддерживать избирательную выдачу предсказаний. При этом прямое графовое объединение признаков рассматривается как поисковый результат: в одном запуске оно немного улучшило CER и WER, но снизило точность полного совпадения и не было подтверждено на нескольких зернах случайности.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Модель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CER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WER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Полное совпадение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Статус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Базовая модель с доп. данными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0,135127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0,492426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0,463599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основной 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Графовое объединение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0,133805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0,478634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0,456229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поисковый результат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Отключение графа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0,153587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0,536638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0,415244</w:t>
            </w:r>
          </w:p>
        </w:tc>
        <w:tc>
          <w:tcPr>
            <w:tcW w:type="dxa" w:w="198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проверка зависимости от графовой ветви</w:t>
            </w:r>
          </w:p>
        </w:tc>
      </w:tr>
    </w:tbl>
    <w:p>
      <w:pPr>
        <w:spacing w:after="0"/>
      </w:pPr>
    </w:p>
    <w:p>
      <w:pPr>
        <w:spacing w:before="20" w:after="60"/>
        <w:jc w:val="center"/>
      </w:pPr>
      <w:r>
        <w:rPr>
          <w:rFonts w:ascii="Times New Roman" w:hAnsi="Times New Roman" w:eastAsia="Times New Roman"/>
          <w:sz w:val="20"/>
        </w:rPr>
        <w:t>Таблица 5 — Поисковая проверка графового объединения признаков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Основные ограничения работы следующие. Во-первых, контрольная структурная разметка подтверждает диагностическую пригодность, но не полную топологическую корректность графа. Во-вторых, добавление релевантных данных улучшает распознавание, но уникальность именно строкового контекста не доказана контрольными выборками того же объема. В-третьих, графовое объединение признаков требует дальнейшей проверки, прежде чем его можно будет считать устойчивым способом повышения качества распознавания. В-четвертых, результаты относятся к русским рукописным данным и не должны автоматически переноситься на другие языки и типы документов.</w:t>
      </w:r>
      <w:r>
        <w:br w:type="page"/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ЗАКЛЮЧЕНИЕ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В работе разработано и проверено структурно-диагностическое графовое представление HI-CSG-R для офлайн-изображений русского рукописного текста. В отличие от подходов, претендующих на восстановление реального процесса письма, предложенный метод описывает только видимую штриховую структуру и используется для диагностики качества и анализа ошибок.</w:t>
      </w:r>
    </w:p>
    <w:p>
      <w:pPr>
        <w:spacing w:after="60" w:line="259" w:lineRule="auto"/>
        <w:ind w:firstLine="709"/>
        <w:jc w:val="both"/>
      </w:pPr>
      <w:r>
        <w:rPr>
          <w:rFonts w:ascii="Times New Roman" w:hAnsi="Times New Roman" w:eastAsia="Times New Roman"/>
          <w:sz w:val="22"/>
        </w:rPr>
        <w:t>Экспериментальная часть показала, что добавление релевантных кириллических данных устойчиво снижает ошибку распознавания на трех запусках, особенно для изображений из школьных тетрадей. Структурная разметка подтвердила диагностическую пригодность графового конвейера, а избирательная выдача предсказаний показала прикладную ценность диагностических признаков для оценки надежности результата. При этом прямое графовое объединение признаков не заявляется как доказанное универсальное улучшение модели распознавания.</w:t>
      </w:r>
    </w:p>
    <w:p>
      <w:pPr>
        <w:pStyle w:val="Heading1"/>
        <w:spacing w:before="80" w:after="60" w:line="240" w:lineRule="auto"/>
      </w:pPr>
      <w:r>
        <w:rPr>
          <w:rFonts w:ascii="Times New Roman" w:hAnsi="Times New Roman" w:eastAsia="Times New Roman"/>
          <w:b/>
          <w:sz w:val="26"/>
        </w:rPr>
        <w:t>СПИСОК ИСПОЛЬЗОВАННЫХ ИСТОЧНИКОВ</w:t>
      </w:r>
    </w:p>
    <w:p>
      <w:pPr>
        <w:spacing w:after="20" w:line="259" w:lineRule="auto"/>
        <w:jc w:val="both"/>
      </w:pPr>
      <w:r>
        <w:rPr>
          <w:rFonts w:ascii="Times New Roman" w:hAnsi="Times New Roman" w:eastAsia="Times New Roman"/>
          <w:sz w:val="21"/>
        </w:rPr>
        <w:t>1. Graves A., Fernandez S., Gomez F., Schmidhuber J. Connectionist Temporal Classification: Labelling Unsegmented Sequence Data with Recurrent Neural Networks // Proceedings of ICML. 2006.</w:t>
      </w:r>
    </w:p>
    <w:p>
      <w:pPr>
        <w:spacing w:after="20" w:line="259" w:lineRule="auto"/>
        <w:jc w:val="both"/>
      </w:pPr>
      <w:r>
        <w:rPr>
          <w:rFonts w:ascii="Times New Roman" w:hAnsi="Times New Roman" w:eastAsia="Times New Roman"/>
          <w:sz w:val="21"/>
        </w:rPr>
        <w:t>2. Shi B., Bai X., Yao C. An End-to-End Trainable Neural Network for Image-based Sequence Recognition and Its Application to Scene Text Recognition // IEEE TPAMI. 2017.</w:t>
      </w:r>
    </w:p>
    <w:p>
      <w:pPr>
        <w:spacing w:after="20" w:line="259" w:lineRule="auto"/>
        <w:jc w:val="both"/>
      </w:pPr>
      <w:r>
        <w:rPr>
          <w:rFonts w:ascii="Times New Roman" w:hAnsi="Times New Roman" w:eastAsia="Times New Roman"/>
          <w:sz w:val="21"/>
        </w:rPr>
        <w:t>3. Smith R. An Overview of the Tesseract OCR Engine // Proceedings of ICDAR. 2007.</w:t>
      </w:r>
    </w:p>
    <w:p>
      <w:pPr>
        <w:spacing w:after="20" w:line="259" w:lineRule="auto"/>
        <w:jc w:val="both"/>
      </w:pPr>
      <w:r>
        <w:rPr>
          <w:rFonts w:ascii="Times New Roman" w:hAnsi="Times New Roman" w:eastAsia="Times New Roman"/>
          <w:sz w:val="21"/>
        </w:rPr>
        <w:t>4. ГОСТ Р 7.0.100-2018. Библиографическая запись. Библиографическое описание. Общие требования и правила составления.</w:t>
      </w:r>
    </w:p>
    <w:p>
      <w:pPr>
        <w:spacing w:after="20" w:line="259" w:lineRule="auto"/>
        <w:jc w:val="both"/>
      </w:pPr>
      <w:r>
        <w:rPr>
          <w:rFonts w:ascii="Times New Roman" w:hAnsi="Times New Roman" w:eastAsia="Times New Roman"/>
          <w:sz w:val="21"/>
        </w:rPr>
        <w:t>5. ГОСТ Р 7.0.5-2008. Библиографическая ссылка. Общие требования и правила составления.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