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EE07" w14:textId="1DB32CF1" w:rsidR="00140B43" w:rsidRDefault="00E03822" w:rsidP="00E03822">
      <w:pPr>
        <w:jc w:val="center"/>
        <w:rPr>
          <w:sz w:val="44"/>
          <w:szCs w:val="44"/>
        </w:rPr>
      </w:pPr>
      <w:r w:rsidRPr="00E03822">
        <w:rPr>
          <w:sz w:val="44"/>
          <w:szCs w:val="44"/>
        </w:rPr>
        <w:t>Descrizione dello schema per la persistenza dati</w:t>
      </w:r>
    </w:p>
    <w:p w14:paraId="6DF9604C" w14:textId="73590AAD" w:rsidR="00E03822" w:rsidRPr="00E03822" w:rsidRDefault="00E03822" w:rsidP="00E03822">
      <w:r w:rsidRPr="00E03822">
        <w:t>Il livello di persistenza dei dati è stato progettato secondo il paradigma relazionale e</w:t>
      </w:r>
      <w:r>
        <w:t>d</w:t>
      </w:r>
      <w:r w:rsidRPr="00E03822">
        <w:t xml:space="preserve"> implementato su </w:t>
      </w:r>
      <w:proofErr w:type="spellStart"/>
      <w:r w:rsidRPr="00E03822">
        <w:t>PostgreSQL</w:t>
      </w:r>
      <w:proofErr w:type="spellEnd"/>
      <w:r w:rsidRPr="00E03822">
        <w:t>. Lo schema fisico riflette in modo diretto il mapping Object-</w:t>
      </w:r>
      <w:proofErr w:type="spellStart"/>
      <w:r w:rsidRPr="00E03822">
        <w:t>Relational</w:t>
      </w:r>
      <w:proofErr w:type="spellEnd"/>
      <w:r w:rsidRPr="00E03822">
        <w:t xml:space="preserve"> delle entità di dominio definite nel </w:t>
      </w:r>
      <w:proofErr w:type="spellStart"/>
      <w:r w:rsidRPr="00E03822">
        <w:t>backend</w:t>
      </w:r>
      <w:proofErr w:type="spellEnd"/>
      <w:r w:rsidRPr="00E03822">
        <w:t xml:space="preserve"> (Spring Data JPA), garantendo consistenza tra la logica a oggetti e lo storage relazionale.</w:t>
      </w:r>
    </w:p>
    <w:p w14:paraId="12F02ED6" w14:textId="39FB9412" w:rsidR="00E03822" w:rsidRPr="00E03822" w:rsidRDefault="00E03822" w:rsidP="00E03822">
      <w:r w:rsidRPr="00E03822">
        <w:t>Le scelte architetturali e di design del database si articolano sui seguenti punti:</w:t>
      </w:r>
    </w:p>
    <w:p w14:paraId="23417886" w14:textId="0E3D36FA" w:rsidR="00E03822" w:rsidRPr="00E03822" w:rsidRDefault="00E03822" w:rsidP="00E03822">
      <w:r w:rsidRPr="00E03822">
        <w:rPr>
          <w:b/>
          <w:bCs/>
        </w:rPr>
        <w:t xml:space="preserve">1. Scelta delle Chiavi Primarie </w:t>
      </w:r>
    </w:p>
    <w:p w14:paraId="21B969AC" w14:textId="0740A752" w:rsidR="00E03822" w:rsidRPr="00E03822" w:rsidRDefault="00E03822" w:rsidP="00E03822">
      <w:r w:rsidRPr="00E03822">
        <w:t>Per tutte le tabelle del sistema (</w:t>
      </w:r>
      <w:proofErr w:type="spellStart"/>
      <w:r w:rsidRPr="00E03822">
        <w:t>auth_user</w:t>
      </w:r>
      <w:proofErr w:type="spellEnd"/>
      <w:r w:rsidRPr="00E03822">
        <w:t xml:space="preserve">, </w:t>
      </w:r>
      <w:proofErr w:type="spellStart"/>
      <w:r w:rsidRPr="00E03822">
        <w:t>issue</w:t>
      </w:r>
      <w:proofErr w:type="spellEnd"/>
      <w:r w:rsidRPr="00E03822">
        <w:t xml:space="preserve">, attachment) si è optato per l'utilizzo di </w:t>
      </w:r>
      <w:r w:rsidRPr="00E03822">
        <w:rPr>
          <w:b/>
          <w:bCs/>
        </w:rPr>
        <w:t>chiavi primarie surrogate</w:t>
      </w:r>
      <w:r>
        <w:t xml:space="preserve"> (</w:t>
      </w:r>
      <w:r w:rsidRPr="00E03822">
        <w:t xml:space="preserve">id di tipo </w:t>
      </w:r>
      <w:proofErr w:type="spellStart"/>
      <w:r w:rsidRPr="00E03822">
        <w:t>Integer</w:t>
      </w:r>
      <w:proofErr w:type="spellEnd"/>
      <w:r w:rsidRPr="00E03822">
        <w:t xml:space="preserve"> </w:t>
      </w:r>
      <w:proofErr w:type="spellStart"/>
      <w:r w:rsidRPr="00E03822">
        <w:t>autoincrementante</w:t>
      </w:r>
      <w:proofErr w:type="spellEnd"/>
      <w:r w:rsidRPr="00E03822">
        <w:t>). Questa scelta disaccoppia l'identità fisica del record dalle informazioni di business, garantendo che eventuali modifiche anagrafiche non intacchino l'integrità referenziale delle chiavi esterne.</w:t>
      </w:r>
    </w:p>
    <w:p w14:paraId="6117BFC7" w14:textId="35CB8564" w:rsidR="00E03822" w:rsidRPr="00E03822" w:rsidRDefault="00E03822" w:rsidP="00E03822">
      <w:r w:rsidRPr="00E03822">
        <w:rPr>
          <w:b/>
          <w:bCs/>
        </w:rPr>
        <w:t xml:space="preserve">2. Mappatura dei </w:t>
      </w:r>
      <w:r>
        <w:rPr>
          <w:b/>
          <w:bCs/>
        </w:rPr>
        <w:t>t</w:t>
      </w:r>
      <w:r w:rsidRPr="00E03822">
        <w:rPr>
          <w:b/>
          <w:bCs/>
        </w:rPr>
        <w:t xml:space="preserve">ipi di </w:t>
      </w:r>
      <w:r>
        <w:rPr>
          <w:b/>
          <w:bCs/>
        </w:rPr>
        <w:t>d</w:t>
      </w:r>
      <w:r w:rsidRPr="00E03822">
        <w:rPr>
          <w:b/>
          <w:bCs/>
        </w:rPr>
        <w:t>ato e degli Enumeratori</w:t>
      </w:r>
    </w:p>
    <w:p w14:paraId="67251C64" w14:textId="77777777" w:rsidR="00E03822" w:rsidRPr="00E03822" w:rsidRDefault="00E03822" w:rsidP="00E03822">
      <w:r w:rsidRPr="00E03822">
        <w:t>I tipi di dato fisici sono stati scelti per ottimizzare lo storage e mantenere la leggibilità:</w:t>
      </w:r>
    </w:p>
    <w:p w14:paraId="15BF2623" w14:textId="77777777" w:rsidR="00E03822" w:rsidRPr="00E03822" w:rsidRDefault="00E03822" w:rsidP="00E03822">
      <w:pPr>
        <w:numPr>
          <w:ilvl w:val="0"/>
          <w:numId w:val="1"/>
        </w:numPr>
      </w:pPr>
      <w:r w:rsidRPr="00E03822">
        <w:rPr>
          <w:b/>
          <w:bCs/>
        </w:rPr>
        <w:t>Enumeratori come Stringhe:</w:t>
      </w:r>
      <w:r w:rsidRPr="00E03822">
        <w:t xml:space="preserve"> I campi che a livello applicativo sono gestiti tramite </w:t>
      </w:r>
      <w:proofErr w:type="spellStart"/>
      <w:r w:rsidRPr="00E03822">
        <w:t>Enum</w:t>
      </w:r>
      <w:proofErr w:type="spellEnd"/>
      <w:r w:rsidRPr="00E03822">
        <w:t xml:space="preserve"> (come ruolo, stato e tipo della </w:t>
      </w:r>
      <w:proofErr w:type="spellStart"/>
      <w:r w:rsidRPr="00E03822">
        <w:t>Issue</w:t>
      </w:r>
      <w:proofErr w:type="spellEnd"/>
      <w:r w:rsidRPr="00E03822">
        <w:t xml:space="preserve">) sono stati mappati sul database come VARCHAR(255). Questa scelta garantisce una leggibilità immediata dei record eseguendo query dirette sul database e rende il sistema flessibile a futuri inserimenti di nuovi stati senza dover creare tipi </w:t>
      </w:r>
      <w:r w:rsidRPr="00E03822">
        <w:rPr>
          <w:i/>
          <w:iCs/>
        </w:rPr>
        <w:t>custom</w:t>
      </w:r>
      <w:r w:rsidRPr="00E03822">
        <w:t xml:space="preserve"> complessi a livello SQL.</w:t>
      </w:r>
    </w:p>
    <w:p w14:paraId="6126BF37" w14:textId="72F3BFCA" w:rsidR="00E03822" w:rsidRPr="00E03822" w:rsidRDefault="00E03822" w:rsidP="00E03822">
      <w:pPr>
        <w:numPr>
          <w:ilvl w:val="0"/>
          <w:numId w:val="1"/>
        </w:numPr>
      </w:pPr>
      <w:r w:rsidRPr="00E03822">
        <w:rPr>
          <w:b/>
          <w:bCs/>
        </w:rPr>
        <w:t>Persistenza dei File:</w:t>
      </w:r>
      <w:r w:rsidRPr="00E03822">
        <w:t xml:space="preserve"> Per la gestione degli allegati si è scelto di salvare il file direttamente all'interno del database nella tabella attachment, utilizzando il tipo BYTEA. Considerando che il sistema prevede allegati leggeri, questa scelta centralizza il backup e semplifica il deployment, evitando la necessità di configurare un file system esterno o un bucket cloud.</w:t>
      </w:r>
    </w:p>
    <w:p w14:paraId="26828B28" w14:textId="3C89E421" w:rsidR="00E03822" w:rsidRPr="00E03822" w:rsidRDefault="00E03822" w:rsidP="00E03822">
      <w:pPr>
        <w:numPr>
          <w:ilvl w:val="0"/>
          <w:numId w:val="1"/>
        </w:numPr>
      </w:pPr>
      <w:r w:rsidRPr="00E03822">
        <w:rPr>
          <w:b/>
          <w:bCs/>
        </w:rPr>
        <w:t xml:space="preserve">Gestione </w:t>
      </w:r>
      <w:r>
        <w:rPr>
          <w:b/>
          <w:bCs/>
        </w:rPr>
        <w:t>Date</w:t>
      </w:r>
      <w:r w:rsidRPr="00E03822">
        <w:rPr>
          <w:b/>
          <w:bCs/>
        </w:rPr>
        <w:t>:</w:t>
      </w:r>
      <w:r w:rsidRPr="00E03822">
        <w:t xml:space="preserve"> Le date di transizione di stato delle </w:t>
      </w:r>
      <w:proofErr w:type="spellStart"/>
      <w:r w:rsidRPr="00E03822">
        <w:t>issue</w:t>
      </w:r>
      <w:proofErr w:type="spellEnd"/>
      <w:r w:rsidRPr="00E03822">
        <w:t xml:space="preserve"> (data, </w:t>
      </w:r>
      <w:proofErr w:type="spellStart"/>
      <w:r w:rsidRPr="00E03822">
        <w:t>data_assegnazione</w:t>
      </w:r>
      <w:proofErr w:type="spellEnd"/>
      <w:r w:rsidRPr="00E03822">
        <w:t xml:space="preserve">, </w:t>
      </w:r>
      <w:proofErr w:type="spellStart"/>
      <w:r w:rsidRPr="00E03822">
        <w:t>data_risoluzione</w:t>
      </w:r>
      <w:proofErr w:type="spellEnd"/>
      <w:r w:rsidRPr="00E03822">
        <w:t>) utilizzano il tipo TIMESTAMP. Questo permette tracciabilità esatta e calcolo preciso delle metriche operative.</w:t>
      </w:r>
    </w:p>
    <w:p w14:paraId="79213FC4" w14:textId="3F1EA379" w:rsidR="00E03822" w:rsidRPr="00E03822" w:rsidRDefault="00E03822" w:rsidP="00E03822">
      <w:r w:rsidRPr="00E03822">
        <w:rPr>
          <w:b/>
          <w:bCs/>
        </w:rPr>
        <w:t xml:space="preserve">3. Implementazione delle Relazioni e Vincoli di Integrità </w:t>
      </w:r>
      <w:r>
        <w:rPr>
          <w:b/>
          <w:bCs/>
        </w:rPr>
        <w:t>referenziale</w:t>
      </w:r>
    </w:p>
    <w:p w14:paraId="0B9831ED" w14:textId="15721F2B" w:rsidR="00E03822" w:rsidRPr="00E03822" w:rsidRDefault="00E03822" w:rsidP="00E03822">
      <w:r w:rsidRPr="00E03822">
        <w:t>Le associazioni tra le entità sono state modellate per rispettare le cardinalità del dominio, demandando al database il controllo sull'integrità referenziale:</w:t>
      </w:r>
    </w:p>
    <w:p w14:paraId="68BFFDFA" w14:textId="7571E455" w:rsidR="00E03822" w:rsidRPr="00E03822" w:rsidRDefault="00E03822" w:rsidP="00E03822">
      <w:pPr>
        <w:numPr>
          <w:ilvl w:val="0"/>
          <w:numId w:val="2"/>
        </w:numPr>
      </w:pPr>
      <w:r w:rsidRPr="00E03822">
        <w:rPr>
          <w:b/>
          <w:bCs/>
        </w:rPr>
        <w:t xml:space="preserve">Relazione </w:t>
      </w:r>
      <w:r>
        <w:rPr>
          <w:b/>
          <w:bCs/>
        </w:rPr>
        <w:t>ASSEGNAZIONE</w:t>
      </w:r>
      <w:r w:rsidRPr="00E03822">
        <w:rPr>
          <w:b/>
          <w:bCs/>
        </w:rPr>
        <w:t xml:space="preserve"> (</w:t>
      </w:r>
      <w:proofErr w:type="spellStart"/>
      <w:r w:rsidRPr="00E03822">
        <w:rPr>
          <w:b/>
          <w:bCs/>
        </w:rPr>
        <w:t>Issue</w:t>
      </w:r>
      <w:proofErr w:type="spellEnd"/>
      <w:r w:rsidRPr="00E03822">
        <w:rPr>
          <w:b/>
          <w:bCs/>
        </w:rPr>
        <w:t xml:space="preserve"> </w:t>
      </w:r>
      <m:oMath>
        <m:r>
          <w:rPr>
            <w:rFonts w:ascii="Cambria Math" w:hAnsi="Cambria Math"/>
          </w:rPr>
          <m:t>↔</m:t>
        </m:r>
      </m:oMath>
      <w:r w:rsidRPr="00E03822">
        <w:rPr>
          <w:b/>
          <w:bCs/>
        </w:rPr>
        <w:t xml:space="preserve"> Auth_User | 1</w:t>
      </w:r>
      <w:r>
        <w:rPr>
          <w:b/>
          <w:bCs/>
        </w:rPr>
        <w:t xml:space="preserve"> a </w:t>
      </w:r>
      <w:r w:rsidRPr="00E03822">
        <w:rPr>
          <w:b/>
          <w:bCs/>
        </w:rPr>
        <w:t>N):</w:t>
      </w:r>
    </w:p>
    <w:p w14:paraId="287F5875" w14:textId="7E940676" w:rsidR="00E03822" w:rsidRPr="00E03822" w:rsidRDefault="00E03822" w:rsidP="00E03822">
      <w:r w:rsidRPr="00E03822">
        <w:t xml:space="preserve">Modellata tramite la Foreign Key </w:t>
      </w:r>
      <w:proofErr w:type="spellStart"/>
      <w:r w:rsidRPr="00E03822">
        <w:t>assignee_id</w:t>
      </w:r>
      <w:proofErr w:type="spellEnd"/>
      <w:r w:rsidRPr="00E03822">
        <w:t xml:space="preserve"> all'interno della tabella </w:t>
      </w:r>
      <w:proofErr w:type="spellStart"/>
      <w:r w:rsidRPr="00E03822">
        <w:t>issue</w:t>
      </w:r>
      <w:proofErr w:type="spellEnd"/>
      <w:r w:rsidRPr="00E03822">
        <w:t xml:space="preserve">. Questo vincolo permette a una specifica </w:t>
      </w:r>
      <w:proofErr w:type="spellStart"/>
      <w:r w:rsidRPr="00E03822">
        <w:t>issue</w:t>
      </w:r>
      <w:proofErr w:type="spellEnd"/>
      <w:r w:rsidRPr="00E03822">
        <w:t xml:space="preserve"> di avere al massimo un solo utente assegnatario (</w:t>
      </w:r>
      <w:proofErr w:type="gramStart"/>
      <w:r w:rsidRPr="00E03822">
        <w:t>0..</w:t>
      </w:r>
      <w:proofErr w:type="gramEnd"/>
      <w:r w:rsidRPr="00E03822">
        <w:t xml:space="preserve">1), mentre lo stesso utente può prendere in carico </w:t>
      </w:r>
      <w:r>
        <w:t xml:space="preserve">un numero non specificato </w:t>
      </w:r>
      <w:r w:rsidRPr="00E03822">
        <w:t>di segnalazioni (</w:t>
      </w:r>
      <w:proofErr w:type="gramStart"/>
      <w:r w:rsidRPr="00E03822">
        <w:t>0..</w:t>
      </w:r>
      <w:proofErr w:type="gramEnd"/>
      <w:r w:rsidRPr="00E03822">
        <w:t>*).</w:t>
      </w:r>
    </w:p>
    <w:p w14:paraId="387144EA" w14:textId="473496B7" w:rsidR="00E03822" w:rsidRPr="00E03822" w:rsidRDefault="00E03822" w:rsidP="00E03822">
      <w:pPr>
        <w:numPr>
          <w:ilvl w:val="0"/>
          <w:numId w:val="2"/>
        </w:numPr>
      </w:pPr>
      <w:r w:rsidRPr="00E03822">
        <w:rPr>
          <w:b/>
          <w:bCs/>
        </w:rPr>
        <w:t xml:space="preserve">Relazione </w:t>
      </w:r>
      <w:r>
        <w:rPr>
          <w:b/>
          <w:bCs/>
        </w:rPr>
        <w:t>CONTIENE</w:t>
      </w:r>
      <w:r w:rsidRPr="00E03822">
        <w:rPr>
          <w:b/>
          <w:bCs/>
        </w:rPr>
        <w:t xml:space="preserve"> (</w:t>
      </w:r>
      <w:proofErr w:type="spellStart"/>
      <w:r w:rsidRPr="00E03822">
        <w:rPr>
          <w:b/>
          <w:bCs/>
        </w:rPr>
        <w:t>Issue</w:t>
      </w:r>
      <w:proofErr w:type="spellEnd"/>
      <w:r w:rsidRPr="00E03822">
        <w:rPr>
          <w:b/>
          <w:bCs/>
        </w:rPr>
        <w:t xml:space="preserve"> </w:t>
      </w:r>
      <m:oMath>
        <m:r>
          <w:rPr>
            <w:rFonts w:ascii="Cambria Math" w:hAnsi="Cambria Math"/>
          </w:rPr>
          <m:t>↔</m:t>
        </m:r>
      </m:oMath>
      <w:r w:rsidRPr="00E03822">
        <w:rPr>
          <w:b/>
          <w:bCs/>
        </w:rPr>
        <w:t xml:space="preserve"> Attachment | 1:1):</w:t>
      </w:r>
    </w:p>
    <w:p w14:paraId="6C6D98A0" w14:textId="2E8D412C" w:rsidR="00E03822" w:rsidRPr="00E03822" w:rsidRDefault="00E03822" w:rsidP="00E03822">
      <w:r w:rsidRPr="00E03822">
        <w:lastRenderedPageBreak/>
        <w:t xml:space="preserve">Modellata tramite la Foreign Key </w:t>
      </w:r>
      <w:proofErr w:type="spellStart"/>
      <w:r w:rsidRPr="00E03822">
        <w:t>id_allegato</w:t>
      </w:r>
      <w:proofErr w:type="spellEnd"/>
      <w:r w:rsidRPr="00E03822">
        <w:t xml:space="preserve"> all'interno della tabella </w:t>
      </w:r>
      <w:proofErr w:type="spellStart"/>
      <w:r w:rsidRPr="00E03822">
        <w:t>issue</w:t>
      </w:r>
      <w:proofErr w:type="spellEnd"/>
      <w:r w:rsidRPr="00E03822">
        <w:t xml:space="preserve">. Per imporre la cardinalità Uno-a-Uno ed evitare che uno stesso allegato venga associato per errore a più </w:t>
      </w:r>
      <w:proofErr w:type="spellStart"/>
      <w:r w:rsidRPr="00E03822">
        <w:t>issue</w:t>
      </w:r>
      <w:proofErr w:type="spellEnd"/>
      <w:r w:rsidRPr="00E03822">
        <w:t xml:space="preserve"> diverse, oltre al vincolo referenziale è stato applicato un </w:t>
      </w:r>
      <w:r w:rsidRPr="00E03822">
        <w:rPr>
          <w:b/>
          <w:bCs/>
        </w:rPr>
        <w:t>vincolo di univocità</w:t>
      </w:r>
      <w:r w:rsidRPr="00E03822">
        <w:t xml:space="preserve"> (UNIQUE) sulla colonna </w:t>
      </w:r>
      <w:proofErr w:type="spellStart"/>
      <w:r w:rsidRPr="00E03822">
        <w:t>id_allegato</w:t>
      </w:r>
      <w:proofErr w:type="spellEnd"/>
      <w:r w:rsidRPr="00E03822">
        <w:t>.</w:t>
      </w:r>
    </w:p>
    <w:p w14:paraId="5CAB4FFF" w14:textId="7F229D4C" w:rsidR="00E03822" w:rsidRPr="00E03822" w:rsidRDefault="00E03822" w:rsidP="00E03822"/>
    <w:sectPr w:rsidR="00E03822" w:rsidRPr="00E038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BF3"/>
    <w:multiLevelType w:val="multilevel"/>
    <w:tmpl w:val="69B4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D6C11"/>
    <w:multiLevelType w:val="multilevel"/>
    <w:tmpl w:val="4E4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528376">
    <w:abstractNumId w:val="1"/>
  </w:num>
  <w:num w:numId="2" w16cid:durableId="199159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22"/>
    <w:rsid w:val="00140B43"/>
    <w:rsid w:val="00403765"/>
    <w:rsid w:val="00871C46"/>
    <w:rsid w:val="00BB63D8"/>
    <w:rsid w:val="00E0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A49C5"/>
  <w15:chartTrackingRefBased/>
  <w15:docId w15:val="{DC996C9E-12FC-4FEF-AF16-251361E80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03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03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03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3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3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3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3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3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3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03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03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03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382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382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382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382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382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382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3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03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3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3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3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382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0382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0382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3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382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03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IANNICELLI</dc:creator>
  <cp:keywords/>
  <dc:description/>
  <cp:lastModifiedBy>FABIO IANNICELLI</cp:lastModifiedBy>
  <cp:revision>1</cp:revision>
  <dcterms:created xsi:type="dcterms:W3CDTF">2026-09-24T13:57:00Z</dcterms:created>
  <dcterms:modified xsi:type="dcterms:W3CDTF">2026-09-24T14:07:00Z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2026-09-24T14:07:58Z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367b2ce6-1ed0-4ff5-9e8f-b9c09791536f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