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B69" w:rsidRPr="001423FC" w:rsidRDefault="00B835B9" w:rsidP="00DB7204">
      <w:pPr>
        <w:pStyle w:val="Title"/>
      </w:pPr>
      <w:r>
        <w:rPr>
          <w:noProof/>
          <w:lang w:val="en-CA" w:eastAsia="en-CA"/>
        </w:rPr>
        <w:drawing>
          <wp:anchor distT="0" distB="0" distL="114300" distR="114300" simplePos="0" relativeHeight="251660287" behindDoc="1" locked="0" layoutInCell="1" allowOverlap="1" wp14:editId="591A1BDC">
            <wp:simplePos x="0" y="0"/>
            <wp:positionH relativeFrom="page">
              <wp:align>center</wp:align>
            </wp:positionH>
            <wp:positionV relativeFrom="paragraph">
              <wp:posOffset>-157480</wp:posOffset>
            </wp:positionV>
            <wp:extent cx="6536531" cy="5229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_000004056755Medi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531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E05" w:rsidRPr="001423FC">
        <w:rPr>
          <w:noProof/>
          <w:lang w:val="en-CA" w:eastAsia="en-CA"/>
        </w:rPr>
        <w:drawing>
          <wp:anchor distT="0" distB="0" distL="114300" distR="114300" simplePos="0" relativeHeight="251671552" behindDoc="1" locked="0" layoutInCell="1" allowOverlap="1" wp14:editId="246EF352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80035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_h_rg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AB3" w:rsidRPr="001423FC">
        <w:t xml:space="preserve"> </w:t>
      </w:r>
      <w:r w:rsidR="0051697F">
        <w:t xml:space="preserve">                             </w:t>
      </w:r>
    </w:p>
    <w:p w:rsidR="00445B69" w:rsidRPr="001423FC" w:rsidRDefault="00F34658" w:rsidP="003E38D2">
      <w:pPr>
        <w:pStyle w:val="Title"/>
      </w:pPr>
      <w:r w:rsidRPr="001423FC">
        <w:rPr>
          <w:rFonts w:ascii="Microsoft Sans Serif" w:hAnsi="Microsoft Sans Serif" w:cs="Microsoft Sans Serif"/>
          <w:color w:val="000000" w:themeColor="text1"/>
          <w:sz w:val="52"/>
        </w:rPr>
        <w:t xml:space="preserve">TFS Integration </w:t>
      </w:r>
      <w:r w:rsidR="008473A0">
        <w:rPr>
          <w:rFonts w:ascii="Microsoft Sans Serif" w:hAnsi="Microsoft Sans Serif" w:cs="Microsoft Sans Serif"/>
          <w:color w:val="000000" w:themeColor="text1"/>
          <w:sz w:val="52"/>
        </w:rPr>
        <w:t>Tools</w:t>
      </w:r>
    </w:p>
    <w:p w:rsidR="00CB6782" w:rsidRPr="001423FC" w:rsidRDefault="00CB6782" w:rsidP="00CB6782"/>
    <w:p w:rsidR="00445B69" w:rsidRPr="001423FC" w:rsidRDefault="00445B69" w:rsidP="003E38D2">
      <w:pPr>
        <w:pStyle w:val="Title"/>
      </w:pPr>
    </w:p>
    <w:p w:rsidR="00445B69" w:rsidRPr="001423FC" w:rsidRDefault="00445B69" w:rsidP="003E38D2">
      <w:pPr>
        <w:pStyle w:val="Title"/>
      </w:pPr>
    </w:p>
    <w:p w:rsidR="00445B69" w:rsidRPr="001423FC" w:rsidRDefault="00445B69" w:rsidP="003E38D2">
      <w:pPr>
        <w:pStyle w:val="Title"/>
      </w:pPr>
    </w:p>
    <w:p w:rsidR="00A418D3" w:rsidRPr="001423FC" w:rsidRDefault="00A418D3" w:rsidP="00A418D3"/>
    <w:p w:rsidR="00A418D3" w:rsidRPr="001423FC" w:rsidRDefault="00A418D3" w:rsidP="00A418D3"/>
    <w:p w:rsidR="00A418D3" w:rsidRPr="001423FC" w:rsidRDefault="00A418D3" w:rsidP="00A418D3"/>
    <w:p w:rsidR="00A418D3" w:rsidRPr="001423FC" w:rsidRDefault="00A418D3" w:rsidP="00A418D3"/>
    <w:p w:rsidR="00A418D3" w:rsidRPr="001423FC" w:rsidRDefault="00A418D3" w:rsidP="00A418D3"/>
    <w:p w:rsidR="00DB7204" w:rsidRDefault="00DB7204" w:rsidP="00C02E05">
      <w:pPr>
        <w:jc w:val="right"/>
        <w:rPr>
          <w:rStyle w:val="Emphasis"/>
          <w:color w:val="000000" w:themeColor="text1"/>
          <w:sz w:val="28"/>
          <w:szCs w:val="24"/>
        </w:rPr>
      </w:pPr>
    </w:p>
    <w:p w:rsidR="00DD14D3" w:rsidRPr="001423FC" w:rsidRDefault="008473A0" w:rsidP="00DD14D3">
      <w:pPr>
        <w:rPr>
          <w:rStyle w:val="Emphasis"/>
          <w:color w:val="595959" w:themeColor="text1" w:themeTint="A6"/>
          <w:sz w:val="26"/>
          <w:szCs w:val="26"/>
        </w:rPr>
      </w:pPr>
      <w:r>
        <w:rPr>
          <w:rStyle w:val="Emphasis"/>
          <w:color w:val="000000" w:themeColor="text1"/>
          <w:sz w:val="28"/>
          <w:szCs w:val="24"/>
        </w:rPr>
        <w:t xml:space="preserve">The </w:t>
      </w:r>
      <w:r w:rsidR="006D43E5" w:rsidRPr="001423FC">
        <w:rPr>
          <w:rStyle w:val="Emphasis"/>
          <w:color w:val="000000" w:themeColor="text1"/>
          <w:sz w:val="28"/>
          <w:szCs w:val="24"/>
        </w:rPr>
        <w:t xml:space="preserve">Microsoft </w:t>
      </w:r>
      <w:r w:rsidR="00E6722A">
        <w:rPr>
          <w:rStyle w:val="Emphasis"/>
          <w:color w:val="000000" w:themeColor="text1"/>
          <w:sz w:val="28"/>
          <w:szCs w:val="24"/>
        </w:rPr>
        <w:t xml:space="preserve">Visual Studio </w:t>
      </w:r>
      <w:r w:rsidR="00CA00D7" w:rsidRPr="001423FC">
        <w:rPr>
          <w:rStyle w:val="Emphasis"/>
          <w:color w:val="000000" w:themeColor="text1"/>
          <w:sz w:val="28"/>
          <w:szCs w:val="24"/>
        </w:rPr>
        <w:t xml:space="preserve">TFS Integration </w:t>
      </w:r>
      <w:r>
        <w:rPr>
          <w:rStyle w:val="Emphasis"/>
          <w:color w:val="000000" w:themeColor="text1"/>
          <w:sz w:val="28"/>
          <w:szCs w:val="24"/>
        </w:rPr>
        <w:t>Tools</w:t>
      </w:r>
      <w:r w:rsidR="006D43E5" w:rsidRPr="001423FC">
        <w:rPr>
          <w:rStyle w:val="Emphasis"/>
          <w:sz w:val="28"/>
          <w:szCs w:val="24"/>
        </w:rPr>
        <w:t xml:space="preserve"> 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is a </w:t>
      </w:r>
      <w:r>
        <w:rPr>
          <w:rStyle w:val="Emphasis"/>
          <w:color w:val="595959" w:themeColor="text1" w:themeTint="A6"/>
          <w:sz w:val="26"/>
          <w:szCs w:val="26"/>
        </w:rPr>
        <w:t xml:space="preserve">suite of </w:t>
      </w:r>
      <w:r w:rsidR="00534824">
        <w:rPr>
          <w:rStyle w:val="Emphasis"/>
          <w:color w:val="595959" w:themeColor="text1" w:themeTint="A6"/>
          <w:sz w:val="26"/>
          <w:szCs w:val="26"/>
        </w:rPr>
        <w:t>tools</w:t>
      </w:r>
      <w:r w:rsidR="00845897">
        <w:rPr>
          <w:rStyle w:val="Emphasis"/>
          <w:color w:val="595959" w:themeColor="text1" w:themeTint="A6"/>
          <w:sz w:val="26"/>
          <w:szCs w:val="26"/>
        </w:rPr>
        <w:t>, buil</w:t>
      </w:r>
      <w:r w:rsidR="0053128C">
        <w:rPr>
          <w:rStyle w:val="Emphasis"/>
          <w:color w:val="595959" w:themeColor="text1" w:themeTint="A6"/>
          <w:sz w:val="26"/>
          <w:szCs w:val="26"/>
        </w:rPr>
        <w:t>t</w:t>
      </w:r>
      <w:r w:rsidR="00845897">
        <w:rPr>
          <w:rStyle w:val="Emphasis"/>
          <w:color w:val="595959" w:themeColor="text1" w:themeTint="A6"/>
          <w:sz w:val="26"/>
          <w:szCs w:val="26"/>
        </w:rPr>
        <w:t xml:space="preserve"> on top of the TFS Integration Platform,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 </w:t>
      </w:r>
      <w:r>
        <w:rPr>
          <w:rStyle w:val="Emphasis"/>
          <w:color w:val="595959" w:themeColor="text1" w:themeTint="A6"/>
          <w:sz w:val="26"/>
          <w:szCs w:val="26"/>
        </w:rPr>
        <w:t>that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 facilitate integration between external systems and Team Foundation Server.  The </w:t>
      </w:r>
      <w:r>
        <w:rPr>
          <w:rStyle w:val="Emphasis"/>
          <w:color w:val="595959" w:themeColor="text1" w:themeTint="A6"/>
          <w:sz w:val="26"/>
          <w:szCs w:val="26"/>
        </w:rPr>
        <w:t>suite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 </w:t>
      </w:r>
      <w:r>
        <w:rPr>
          <w:rStyle w:val="Emphasis"/>
          <w:color w:val="595959" w:themeColor="text1" w:themeTint="A6"/>
          <w:sz w:val="26"/>
          <w:szCs w:val="26"/>
        </w:rPr>
        <w:t xml:space="preserve">includes tools for connecting TFS to </w:t>
      </w:r>
      <w:r w:rsidRPr="001423FC">
        <w:rPr>
          <w:rStyle w:val="Emphasis"/>
          <w:color w:val="595959" w:themeColor="text1" w:themeTint="A6"/>
          <w:sz w:val="26"/>
          <w:szCs w:val="26"/>
        </w:rPr>
        <w:t xml:space="preserve">IBM® Rational® </w:t>
      </w:r>
      <w:proofErr w:type="spellStart"/>
      <w:r w:rsidRPr="001423FC">
        <w:rPr>
          <w:rStyle w:val="Emphasis"/>
          <w:color w:val="595959" w:themeColor="text1" w:themeTint="A6"/>
          <w:sz w:val="26"/>
          <w:szCs w:val="26"/>
        </w:rPr>
        <w:t>ClearCase</w:t>
      </w:r>
      <w:proofErr w:type="spellEnd"/>
      <w:r w:rsidRPr="001423FC">
        <w:rPr>
          <w:rStyle w:val="Emphasis"/>
          <w:color w:val="595959" w:themeColor="text1" w:themeTint="A6"/>
          <w:sz w:val="26"/>
          <w:szCs w:val="26"/>
        </w:rPr>
        <w:t xml:space="preserve">® and IBM® Rational® </w:t>
      </w:r>
      <w:proofErr w:type="spellStart"/>
      <w:r w:rsidRPr="001423FC">
        <w:rPr>
          <w:rStyle w:val="Emphasis"/>
          <w:color w:val="595959" w:themeColor="text1" w:themeTint="A6"/>
          <w:sz w:val="26"/>
          <w:szCs w:val="26"/>
        </w:rPr>
        <w:t>ClearQuest</w:t>
      </w:r>
      <w:proofErr w:type="spellEnd"/>
      <w:r w:rsidRPr="001423FC">
        <w:rPr>
          <w:rStyle w:val="Emphasis"/>
          <w:color w:val="595959" w:themeColor="text1" w:themeTint="A6"/>
          <w:sz w:val="26"/>
          <w:szCs w:val="26"/>
        </w:rPr>
        <w:t>®</w:t>
      </w:r>
      <w:r>
        <w:rPr>
          <w:rStyle w:val="Emphasis"/>
          <w:color w:val="595959" w:themeColor="text1" w:themeTint="A6"/>
          <w:sz w:val="26"/>
          <w:szCs w:val="26"/>
        </w:rPr>
        <w:t xml:space="preserve"> as well as to other Team Foundation Servers.  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Additionally, </w:t>
      </w:r>
      <w:r>
        <w:rPr>
          <w:rStyle w:val="Emphasis"/>
          <w:color w:val="595959" w:themeColor="text1" w:themeTint="A6"/>
          <w:sz w:val="26"/>
          <w:szCs w:val="26"/>
        </w:rPr>
        <w:t xml:space="preserve">the suite provides 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a </w:t>
      </w:r>
      <w:r>
        <w:rPr>
          <w:rStyle w:val="Emphasis"/>
          <w:color w:val="595959" w:themeColor="text1" w:themeTint="A6"/>
          <w:sz w:val="26"/>
          <w:szCs w:val="26"/>
        </w:rPr>
        <w:t xml:space="preserve">framework and 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fully supported SDK, </w:t>
      </w:r>
      <w:r>
        <w:rPr>
          <w:rStyle w:val="Emphasis"/>
          <w:color w:val="595959" w:themeColor="text1" w:themeTint="A6"/>
          <w:sz w:val="26"/>
          <w:szCs w:val="26"/>
        </w:rPr>
        <w:t xml:space="preserve">allowing 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3rd party developers </w:t>
      </w:r>
      <w:r>
        <w:rPr>
          <w:rStyle w:val="Emphasis"/>
          <w:color w:val="595959" w:themeColor="text1" w:themeTint="A6"/>
          <w:sz w:val="26"/>
          <w:szCs w:val="26"/>
        </w:rPr>
        <w:t>to develop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 xml:space="preserve"> their own bridges between TFS and external system</w:t>
      </w:r>
      <w:r>
        <w:rPr>
          <w:rStyle w:val="Emphasis"/>
          <w:color w:val="595959" w:themeColor="text1" w:themeTint="A6"/>
          <w:sz w:val="26"/>
          <w:szCs w:val="26"/>
        </w:rPr>
        <w:t>s</w:t>
      </w:r>
      <w:r w:rsidR="00DD14D3" w:rsidRPr="001423FC">
        <w:rPr>
          <w:rStyle w:val="Emphasis"/>
          <w:color w:val="595959" w:themeColor="text1" w:themeTint="A6"/>
          <w:sz w:val="26"/>
          <w:szCs w:val="26"/>
        </w:rPr>
        <w:t>.</w:t>
      </w:r>
    </w:p>
    <w:p w:rsidR="00DD14D3" w:rsidRPr="001423FC" w:rsidRDefault="00DD14D3" w:rsidP="00DD14D3">
      <w:pPr>
        <w:rPr>
          <w:rStyle w:val="Emphasis"/>
          <w:color w:val="595959" w:themeColor="text1" w:themeTint="A6"/>
          <w:sz w:val="26"/>
          <w:szCs w:val="26"/>
        </w:rPr>
      </w:pPr>
      <w:r w:rsidRPr="001423FC">
        <w:rPr>
          <w:rStyle w:val="Emphasis"/>
          <w:color w:val="595959" w:themeColor="text1" w:themeTint="A6"/>
          <w:sz w:val="26"/>
          <w:szCs w:val="26"/>
        </w:rPr>
        <w:t xml:space="preserve">The </w:t>
      </w:r>
      <w:r w:rsidR="008473A0">
        <w:rPr>
          <w:rStyle w:val="Emphasis"/>
          <w:color w:val="595959" w:themeColor="text1" w:themeTint="A6"/>
          <w:sz w:val="26"/>
          <w:szCs w:val="26"/>
        </w:rPr>
        <w:t>suite</w:t>
      </w:r>
      <w:r w:rsidRPr="001423FC">
        <w:rPr>
          <w:rStyle w:val="Emphasis"/>
          <w:color w:val="595959" w:themeColor="text1" w:themeTint="A6"/>
          <w:sz w:val="26"/>
          <w:szCs w:val="26"/>
        </w:rPr>
        <w:t xml:space="preserve"> enables the development of two major classifications of tools, namely tools that move data </w:t>
      </w:r>
      <w:proofErr w:type="spellStart"/>
      <w:r w:rsidRPr="001423FC">
        <w:rPr>
          <w:rStyle w:val="Emphasis"/>
          <w:color w:val="595959" w:themeColor="text1" w:themeTint="A6"/>
          <w:sz w:val="26"/>
          <w:szCs w:val="26"/>
        </w:rPr>
        <w:t>unidirectionally</w:t>
      </w:r>
      <w:proofErr w:type="spellEnd"/>
      <w:r w:rsidRPr="001423FC">
        <w:rPr>
          <w:rStyle w:val="Emphasis"/>
          <w:color w:val="595959" w:themeColor="text1" w:themeTint="A6"/>
          <w:sz w:val="26"/>
          <w:szCs w:val="26"/>
        </w:rPr>
        <w:t xml:space="preserve"> into Team Foundation Server, and tools that synchronize data </w:t>
      </w:r>
      <w:proofErr w:type="spellStart"/>
      <w:r w:rsidRPr="001423FC">
        <w:rPr>
          <w:rStyle w:val="Emphasis"/>
          <w:color w:val="595959" w:themeColor="text1" w:themeTint="A6"/>
          <w:sz w:val="26"/>
          <w:szCs w:val="26"/>
        </w:rPr>
        <w:t>bidirectionally</w:t>
      </w:r>
      <w:proofErr w:type="spellEnd"/>
      <w:r w:rsidRPr="001423FC">
        <w:rPr>
          <w:rStyle w:val="Emphasis"/>
          <w:color w:val="595959" w:themeColor="text1" w:themeTint="A6"/>
          <w:sz w:val="26"/>
          <w:szCs w:val="26"/>
        </w:rPr>
        <w:t xml:space="preserve">.  </w:t>
      </w:r>
    </w:p>
    <w:p w:rsidR="00DB7204" w:rsidRPr="00DB7204" w:rsidRDefault="00DD14D3" w:rsidP="00DD14D3">
      <w:pPr>
        <w:rPr>
          <w:iCs/>
          <w:color w:val="7F7F7F" w:themeColor="text1" w:themeTint="80"/>
          <w:sz w:val="28"/>
          <w:szCs w:val="24"/>
        </w:rPr>
      </w:pPr>
      <w:r w:rsidRPr="001423FC">
        <w:rPr>
          <w:rStyle w:val="Emphasis"/>
          <w:color w:val="595959" w:themeColor="text1" w:themeTint="A6"/>
          <w:sz w:val="26"/>
          <w:szCs w:val="26"/>
        </w:rPr>
        <w:t xml:space="preserve">The TFS Integration </w:t>
      </w:r>
      <w:r w:rsidR="008473A0">
        <w:rPr>
          <w:rStyle w:val="Emphasis"/>
          <w:color w:val="595959" w:themeColor="text1" w:themeTint="A6"/>
          <w:sz w:val="26"/>
          <w:szCs w:val="26"/>
        </w:rPr>
        <w:t>tools</w:t>
      </w:r>
      <w:r w:rsidRPr="001423FC">
        <w:rPr>
          <w:rStyle w:val="Emphasis"/>
          <w:color w:val="595959" w:themeColor="text1" w:themeTint="A6"/>
          <w:sz w:val="26"/>
          <w:szCs w:val="26"/>
        </w:rPr>
        <w:t xml:space="preserve"> and developer SDK are both fully-supported by Microsoft and available as a free </w:t>
      </w:r>
      <w:hyperlink r:id="rId11" w:history="1">
        <w:r w:rsidRPr="001423FC">
          <w:rPr>
            <w:rStyle w:val="Hyperlink"/>
            <w:sz w:val="26"/>
            <w:szCs w:val="26"/>
          </w:rPr>
          <w:t>download</w:t>
        </w:r>
      </w:hyperlink>
      <w:r w:rsidR="00C6279B" w:rsidRPr="001423FC">
        <w:rPr>
          <w:rStyle w:val="EndnoteReference"/>
          <w:iCs/>
          <w:color w:val="595959" w:themeColor="text1" w:themeTint="A6"/>
          <w:sz w:val="26"/>
          <w:szCs w:val="26"/>
        </w:rPr>
        <w:endnoteReference w:id="1"/>
      </w:r>
      <w:r w:rsidRPr="001423FC">
        <w:rPr>
          <w:rStyle w:val="Emphasis"/>
          <w:color w:val="595959" w:themeColor="text1" w:themeTint="A6"/>
          <w:sz w:val="26"/>
          <w:szCs w:val="26"/>
        </w:rPr>
        <w:t xml:space="preserve"> from Microsoft.com</w:t>
      </w:r>
      <w:r w:rsidRPr="001423FC">
        <w:rPr>
          <w:rStyle w:val="Emphasis"/>
          <w:color w:val="7F7F7F" w:themeColor="text1" w:themeTint="80"/>
          <w:sz w:val="28"/>
          <w:szCs w:val="24"/>
        </w:rPr>
        <w:t>.</w:t>
      </w:r>
    </w:p>
    <w:tbl>
      <w:tblPr>
        <w:tblW w:w="0" w:type="auto"/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8681C" w:rsidRPr="001423FC" w:rsidTr="00D34085">
        <w:tc>
          <w:tcPr>
            <w:tcW w:w="3672" w:type="dxa"/>
          </w:tcPr>
          <w:p w:rsidR="0068681C" w:rsidRPr="001423FC" w:rsidRDefault="007138A0" w:rsidP="00CA00D7">
            <w:pPr>
              <w:pStyle w:val="Heading2"/>
              <w:rPr>
                <w:sz w:val="22"/>
                <w:szCs w:val="28"/>
              </w:rPr>
            </w:pPr>
            <w:r w:rsidRPr="001423FC">
              <w:rPr>
                <w:noProof/>
                <w:sz w:val="22"/>
                <w:szCs w:val="28"/>
                <w:lang w:val="en-CA" w:eastAsia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editId="53D402CE">
                      <wp:simplePos x="0" y="0"/>
                      <wp:positionH relativeFrom="margin">
                        <wp:posOffset>2136140</wp:posOffset>
                      </wp:positionH>
                      <wp:positionV relativeFrom="margin">
                        <wp:posOffset>2298700</wp:posOffset>
                      </wp:positionV>
                      <wp:extent cx="4901565" cy="1042035"/>
                      <wp:effectExtent l="19050" t="19050" r="32385" b="43815"/>
                      <wp:wrapNone/>
                      <wp:docPr id="3" name="Double Bracke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1565" cy="1042035"/>
                              </a:xfrm>
                              <a:prstGeom prst="bracketPair">
                                <a:avLst>
                                  <a:gd name="adj" fmla="val 8051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6446" w:rsidRDefault="002A411C" w:rsidP="00FF783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Version-to-version upgrade of Team Foundation Server is easily accomplished through the TFS setup process</w:t>
                                  </w:r>
                                  <w:r w:rsidR="000C6446">
                                    <w:rPr>
                                      <w:rFonts w:ascii="Century Gothic" w:hAnsi="Century Gothic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416700" w:rsidRPr="00F202EF" w:rsidRDefault="002A411C" w:rsidP="00FF783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  <w:t xml:space="preserve">This toolset is not required for those scenarios. 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Double Bracket 3" o:spid="_x0000_s1026" type="#_x0000_t185" style="position:absolute;margin-left:168.2pt;margin-top:181pt;width:385.95pt;height:82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" o:allowincell="f" adj="1739" filled="t" fillcolor="white [3201]" strokecolor="#c0504d [3205]" strokeweight="5pt">
                      <v:shadow color="#868686"/>
                      <v:textbox inset="3.6pt,,3.6pt">
                        <w:txbxContent>
                          <w:p w:rsidR="000C6446" w:rsidRDefault="002A411C" w:rsidP="00FF783E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C00000"/>
                                <w:sz w:val="24"/>
                                <w:szCs w:val="24"/>
                              </w:rPr>
                              <w:t>Version-to-version upgrade of Team Foundation Server is easily accomplished through the TFS setup process</w:t>
                            </w:r>
                            <w:r w:rsidR="000C6446">
                              <w:rPr>
                                <w:rFonts w:ascii="Century Gothic" w:hAnsi="Century Gothic"/>
                                <w:i/>
                                <w:color w:val="C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16700" w:rsidRPr="00F202EF" w:rsidRDefault="002A411C" w:rsidP="00FF783E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C00000"/>
                                <w:sz w:val="24"/>
                                <w:szCs w:val="24"/>
                              </w:rPr>
                              <w:t xml:space="preserve">This toolset is not required for those scenarios. 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3249C5" w:rsidRPr="001423FC">
              <w:rPr>
                <w:sz w:val="22"/>
                <w:szCs w:val="28"/>
              </w:rPr>
              <w:t>Proven T</w:t>
            </w:r>
            <w:r w:rsidR="001E032B" w:rsidRPr="001423FC">
              <w:rPr>
                <w:sz w:val="22"/>
                <w:szCs w:val="28"/>
              </w:rPr>
              <w:t>ech</w:t>
            </w:r>
            <w:r w:rsidR="003249C5" w:rsidRPr="001423FC">
              <w:rPr>
                <w:sz w:val="22"/>
                <w:szCs w:val="28"/>
              </w:rPr>
              <w:t>nology</w:t>
            </w:r>
          </w:p>
          <w:p w:rsidR="0068681C" w:rsidRPr="001423FC" w:rsidRDefault="00087797" w:rsidP="000C6446">
            <w:pPr>
              <w:rPr>
                <w:sz w:val="20"/>
                <w:szCs w:val="28"/>
              </w:rPr>
            </w:pPr>
            <w:r w:rsidRPr="001423FC">
              <w:rPr>
                <w:szCs w:val="28"/>
              </w:rPr>
              <w:t>D</w:t>
            </w:r>
            <w:r w:rsidR="00B44D7C" w:rsidRPr="001423FC">
              <w:rPr>
                <w:szCs w:val="28"/>
              </w:rPr>
              <w:t xml:space="preserve">esigned from the ground </w:t>
            </w:r>
            <w:r w:rsidR="007C03C5" w:rsidRPr="001423FC">
              <w:rPr>
                <w:szCs w:val="28"/>
              </w:rPr>
              <w:t xml:space="preserve">up </w:t>
            </w:r>
            <w:r w:rsidR="00071697" w:rsidRPr="001423FC">
              <w:rPr>
                <w:szCs w:val="28"/>
              </w:rPr>
              <w:t xml:space="preserve">the TFS Integration </w:t>
            </w:r>
            <w:r w:rsidR="000C6446">
              <w:rPr>
                <w:szCs w:val="28"/>
              </w:rPr>
              <w:t>Tools  have</w:t>
            </w:r>
            <w:r w:rsidR="00071697" w:rsidRPr="001423FC">
              <w:rPr>
                <w:szCs w:val="28"/>
              </w:rPr>
              <w:t xml:space="preserve"> been used and hardened </w:t>
            </w:r>
            <w:r w:rsidR="002A411C">
              <w:rPr>
                <w:szCs w:val="28"/>
              </w:rPr>
              <w:t xml:space="preserve">both </w:t>
            </w:r>
            <w:r w:rsidR="00071697" w:rsidRPr="001423FC">
              <w:rPr>
                <w:szCs w:val="28"/>
              </w:rPr>
              <w:t xml:space="preserve">as part of Microsoft internal </w:t>
            </w:r>
            <w:proofErr w:type="spellStart"/>
            <w:r w:rsidR="002A411C">
              <w:rPr>
                <w:szCs w:val="28"/>
              </w:rPr>
              <w:t>dogfooding</w:t>
            </w:r>
            <w:proofErr w:type="spellEnd"/>
            <w:r w:rsidR="00071697" w:rsidRPr="001423FC">
              <w:rPr>
                <w:szCs w:val="28"/>
              </w:rPr>
              <w:t xml:space="preserve">, synchronizing in excess of </w:t>
            </w:r>
            <w:r w:rsidR="003C1274" w:rsidRPr="001423FC">
              <w:rPr>
                <w:szCs w:val="28"/>
              </w:rPr>
              <w:t>11 million</w:t>
            </w:r>
            <w:r w:rsidR="00071697" w:rsidRPr="001423FC">
              <w:rPr>
                <w:szCs w:val="28"/>
              </w:rPr>
              <w:t xml:space="preserve"> version control </w:t>
            </w:r>
            <w:r w:rsidR="003C1274" w:rsidRPr="001423FC">
              <w:rPr>
                <w:szCs w:val="28"/>
              </w:rPr>
              <w:t>files</w:t>
            </w:r>
            <w:r w:rsidR="00071697" w:rsidRPr="001423FC">
              <w:rPr>
                <w:szCs w:val="28"/>
              </w:rPr>
              <w:t xml:space="preserve"> and </w:t>
            </w:r>
            <w:r w:rsidR="003C1274" w:rsidRPr="001423FC">
              <w:rPr>
                <w:szCs w:val="28"/>
              </w:rPr>
              <w:t>2.8 million</w:t>
            </w:r>
            <w:r w:rsidR="00071697" w:rsidRPr="001423FC">
              <w:rPr>
                <w:szCs w:val="28"/>
              </w:rPr>
              <w:t xml:space="preserve"> work item</w:t>
            </w:r>
            <w:r w:rsidR="003C1274" w:rsidRPr="001423FC">
              <w:rPr>
                <w:szCs w:val="28"/>
              </w:rPr>
              <w:t xml:space="preserve"> versions</w:t>
            </w:r>
            <w:r w:rsidR="00071697" w:rsidRPr="001423FC">
              <w:rPr>
                <w:szCs w:val="28"/>
              </w:rPr>
              <w:t xml:space="preserve"> </w:t>
            </w:r>
            <w:r w:rsidR="002A411C">
              <w:rPr>
                <w:szCs w:val="28"/>
              </w:rPr>
              <w:t>in a single deployment</w:t>
            </w:r>
            <w:r w:rsidR="00071697" w:rsidRPr="001423FC">
              <w:rPr>
                <w:szCs w:val="28"/>
              </w:rPr>
              <w:t xml:space="preserve">, and as part of </w:t>
            </w:r>
            <w:r w:rsidR="000C6446">
              <w:rPr>
                <w:szCs w:val="28"/>
              </w:rPr>
              <w:t xml:space="preserve">several </w:t>
            </w:r>
            <w:r w:rsidR="00071697" w:rsidRPr="001423FC">
              <w:rPr>
                <w:szCs w:val="28"/>
              </w:rPr>
              <w:t xml:space="preserve">real-world </w:t>
            </w:r>
            <w:r w:rsidR="002A411C" w:rsidRPr="001423FC">
              <w:rPr>
                <w:szCs w:val="28"/>
              </w:rPr>
              <w:t xml:space="preserve">customer </w:t>
            </w:r>
            <w:r w:rsidR="000C6446">
              <w:rPr>
                <w:szCs w:val="28"/>
              </w:rPr>
              <w:t>environments</w:t>
            </w:r>
            <w:r w:rsidR="00B44D7C" w:rsidRPr="001423FC">
              <w:rPr>
                <w:szCs w:val="28"/>
              </w:rPr>
              <w:t>.</w:t>
            </w:r>
            <w:r w:rsidR="0068681C" w:rsidRPr="001423FC">
              <w:rPr>
                <w:szCs w:val="28"/>
              </w:rPr>
              <w:t xml:space="preserve"> </w:t>
            </w:r>
          </w:p>
        </w:tc>
        <w:tc>
          <w:tcPr>
            <w:tcW w:w="3672" w:type="dxa"/>
          </w:tcPr>
          <w:p w:rsidR="0068681C" w:rsidRPr="001423FC" w:rsidRDefault="003249C5" w:rsidP="00CA00D7">
            <w:pPr>
              <w:pStyle w:val="Heading2"/>
              <w:rPr>
                <w:sz w:val="22"/>
                <w:szCs w:val="28"/>
              </w:rPr>
            </w:pPr>
            <w:r w:rsidRPr="001423FC">
              <w:rPr>
                <w:sz w:val="22"/>
                <w:szCs w:val="28"/>
              </w:rPr>
              <w:t>Modular Platform</w:t>
            </w:r>
          </w:p>
          <w:p w:rsidR="0068681C" w:rsidRPr="001423FC" w:rsidRDefault="001E032B" w:rsidP="001E032B">
            <w:pPr>
              <w:rPr>
                <w:rFonts w:cs="Segoe UI"/>
              </w:rPr>
            </w:pPr>
            <w:r w:rsidRPr="001423FC">
              <w:rPr>
                <w:rFonts w:cs="Segoe UI"/>
              </w:rPr>
              <w:t xml:space="preserve">The TFS Integration </w:t>
            </w:r>
            <w:proofErr w:type="gramStart"/>
            <w:r w:rsidR="000C6446">
              <w:rPr>
                <w:rFonts w:cs="Segoe UI"/>
              </w:rPr>
              <w:t xml:space="preserve">Tools </w:t>
            </w:r>
            <w:r w:rsidRPr="001423FC">
              <w:rPr>
                <w:rFonts w:cs="Segoe UI"/>
              </w:rPr>
              <w:t xml:space="preserve"> </w:t>
            </w:r>
            <w:r w:rsidR="000C6446">
              <w:rPr>
                <w:rFonts w:cs="Segoe UI"/>
              </w:rPr>
              <w:t>are</w:t>
            </w:r>
            <w:proofErr w:type="gramEnd"/>
            <w:r w:rsidRPr="001423FC">
              <w:rPr>
                <w:rFonts w:cs="Segoe UI"/>
              </w:rPr>
              <w:t xml:space="preserve"> based on a pipeline managing the analysis and migration flow, which offers extension points to customize the standard pipeline process, by seamlessly dropping in  custom adapters and add-ins.</w:t>
            </w:r>
          </w:p>
          <w:p w:rsidR="00416700" w:rsidRPr="001423FC" w:rsidRDefault="00416700" w:rsidP="001E032B">
            <w:pPr>
              <w:rPr>
                <w:rFonts w:cs="Segoe UI"/>
                <w:szCs w:val="28"/>
              </w:rPr>
            </w:pPr>
          </w:p>
        </w:tc>
        <w:tc>
          <w:tcPr>
            <w:tcW w:w="3672" w:type="dxa"/>
          </w:tcPr>
          <w:p w:rsidR="0068681C" w:rsidRPr="001423FC" w:rsidRDefault="00416700" w:rsidP="00CA00D7">
            <w:pPr>
              <w:pStyle w:val="Heading2"/>
              <w:rPr>
                <w:sz w:val="22"/>
                <w:szCs w:val="28"/>
              </w:rPr>
            </w:pPr>
            <w:proofErr w:type="spellStart"/>
            <w:r w:rsidRPr="001423FC">
              <w:rPr>
                <w:sz w:val="22"/>
                <w:szCs w:val="28"/>
              </w:rPr>
              <w:t>Realtime</w:t>
            </w:r>
            <w:proofErr w:type="spellEnd"/>
            <w:r w:rsidR="0068681C" w:rsidRPr="001423FC">
              <w:rPr>
                <w:sz w:val="22"/>
                <w:szCs w:val="28"/>
              </w:rPr>
              <w:t xml:space="preserve"> </w:t>
            </w:r>
            <w:r w:rsidR="003249C5" w:rsidRPr="001423FC">
              <w:rPr>
                <w:sz w:val="22"/>
                <w:szCs w:val="28"/>
              </w:rPr>
              <w:t>Migrations</w:t>
            </w:r>
          </w:p>
          <w:p w:rsidR="0068681C" w:rsidRPr="001423FC" w:rsidRDefault="00416700" w:rsidP="00416700">
            <w:pPr>
              <w:rPr>
                <w:szCs w:val="28"/>
              </w:rPr>
            </w:pPr>
            <w:r w:rsidRPr="001423FC">
              <w:rPr>
                <w:rFonts w:cs="Segoe UI"/>
              </w:rPr>
              <w:t>Monitor and manage</w:t>
            </w:r>
            <w:r w:rsidR="00FE430A" w:rsidRPr="001423FC">
              <w:rPr>
                <w:rFonts w:cs="Segoe UI"/>
              </w:rPr>
              <w:t xml:space="preserve"> </w:t>
            </w:r>
            <w:r w:rsidRPr="001423FC">
              <w:rPr>
                <w:rFonts w:cs="Segoe UI"/>
              </w:rPr>
              <w:t xml:space="preserve">the migration process, defining version control and work item conflict resolutions and </w:t>
            </w:r>
            <w:proofErr w:type="spellStart"/>
            <w:r w:rsidRPr="001423FC">
              <w:rPr>
                <w:rFonts w:cs="Segoe UI"/>
              </w:rPr>
              <w:t>actionin</w:t>
            </w:r>
            <w:r w:rsidR="007936A0" w:rsidRPr="001423FC">
              <w:rPr>
                <w:rFonts w:cs="Segoe UI"/>
              </w:rPr>
              <w:t>g</w:t>
            </w:r>
            <w:proofErr w:type="spellEnd"/>
            <w:r w:rsidR="007936A0" w:rsidRPr="001423FC">
              <w:rPr>
                <w:rFonts w:cs="Segoe UI"/>
              </w:rPr>
              <w:t xml:space="preserve"> unhandled conflict</w:t>
            </w:r>
            <w:r w:rsidR="001423FC" w:rsidRPr="001423FC">
              <w:rPr>
                <w:rFonts w:cs="Segoe UI"/>
              </w:rPr>
              <w:t>s real-time using the TFS Integ</w:t>
            </w:r>
            <w:r w:rsidR="007936A0" w:rsidRPr="001423FC">
              <w:rPr>
                <w:rFonts w:cs="Segoe UI"/>
              </w:rPr>
              <w:t>ration application and monitor the state of a sync with SSRS reports.</w:t>
            </w:r>
          </w:p>
        </w:tc>
      </w:tr>
    </w:tbl>
    <w:p w:rsidR="00416700" w:rsidRPr="001423FC" w:rsidRDefault="00F2410A" w:rsidP="00416700">
      <w:pPr>
        <w:rPr>
          <w:rFonts w:eastAsiaTheme="majorEastAsia" w:cstheme="majorBidi"/>
          <w:color w:val="17365D" w:themeColor="text2" w:themeShade="BF"/>
          <w:sz w:val="36"/>
          <w:szCs w:val="28"/>
        </w:rPr>
      </w:pPr>
      <w:r w:rsidRPr="001423FC">
        <w:rPr>
          <w:noProof/>
          <w:lang w:val="en-CA" w:eastAsia="en-CA"/>
        </w:rPr>
        <w:drawing>
          <wp:anchor distT="0" distB="0" distL="114300" distR="114300" simplePos="0" relativeHeight="251667456" behindDoc="0" locked="0" layoutInCell="1" allowOverlap="1" wp14:editId="7D1D62A8">
            <wp:simplePos x="0" y="0"/>
            <wp:positionH relativeFrom="column">
              <wp:posOffset>1581785</wp:posOffset>
            </wp:positionH>
            <wp:positionV relativeFrom="paragraph">
              <wp:posOffset>504825</wp:posOffset>
            </wp:positionV>
            <wp:extent cx="5158740" cy="3689350"/>
            <wp:effectExtent l="171450" t="171450" r="365760" b="3492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68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3FC">
        <w:rPr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 wp14:editId="4BFA479F">
            <wp:simplePos x="0" y="0"/>
            <wp:positionH relativeFrom="column">
              <wp:posOffset>133350</wp:posOffset>
            </wp:positionH>
            <wp:positionV relativeFrom="paragraph">
              <wp:posOffset>318135</wp:posOffset>
            </wp:positionV>
            <wp:extent cx="2068830" cy="3787140"/>
            <wp:effectExtent l="381000" t="266700" r="579120" b="4419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5458">
                      <a:off x="0" y="0"/>
                      <a:ext cx="2068830" cy="378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8A0" w:rsidRPr="001423F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3C5F2A3">
                <wp:simplePos x="0" y="0"/>
                <wp:positionH relativeFrom="column">
                  <wp:posOffset>-31115</wp:posOffset>
                </wp:positionH>
                <wp:positionV relativeFrom="paragraph">
                  <wp:posOffset>4584700</wp:posOffset>
                </wp:positionV>
                <wp:extent cx="6878955" cy="9867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955" cy="98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00" w:rsidRPr="00416700" w:rsidRDefault="00416700" w:rsidP="00416700">
                            <w:pPr>
                              <w:pStyle w:val="Heading2"/>
                              <w:rPr>
                                <w:sz w:val="22"/>
                                <w:szCs w:val="28"/>
                              </w:rPr>
                            </w:pPr>
                            <w:r w:rsidRPr="00416700">
                              <w:rPr>
                                <w:sz w:val="22"/>
                                <w:szCs w:val="28"/>
                              </w:rPr>
                              <w:t xml:space="preserve">Visual Studio ALM Rangers guidance at the core of the TFS Integration </w:t>
                            </w:r>
                            <w:r w:rsidR="00534824">
                              <w:rPr>
                                <w:sz w:val="22"/>
                                <w:szCs w:val="28"/>
                              </w:rPr>
                              <w:t>Tools</w:t>
                            </w:r>
                          </w:p>
                          <w:p w:rsidR="00416700" w:rsidRPr="00416700" w:rsidRDefault="00416700" w:rsidP="00416700">
                            <w:pPr>
                              <w:rPr>
                                <w:szCs w:val="28"/>
                              </w:rPr>
                            </w:pPr>
                            <w:r w:rsidRPr="00416700">
                              <w:rPr>
                                <w:szCs w:val="28"/>
                              </w:rPr>
                              <w:t>Visual Studio ALM Rangers provide technical guidance to support you with the planning, preparation and proof-of-concept evaluations needed to perform a migration or synchronization.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.45pt;margin-top:361pt;width:541.65pt;height:77.7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" stroked="f" strokeweight="0">
                <v:textbox style="mso-fit-shape-to-text:t">
                  <w:txbxContent>
                    <w:p w:rsidR="00416700" w:rsidRPr="00416700" w:rsidRDefault="00416700" w:rsidP="00416700">
                      <w:pPr>
                        <w:pStyle w:val="Heading2"/>
                        <w:rPr>
                          <w:sz w:val="22"/>
                          <w:szCs w:val="28"/>
                        </w:rPr>
                      </w:pPr>
                      <w:r w:rsidRPr="00416700">
                        <w:rPr>
                          <w:sz w:val="22"/>
                          <w:szCs w:val="28"/>
                        </w:rPr>
                        <w:t xml:space="preserve">Visual Studio ALM Rangers guidance at the core of the TFS Integration </w:t>
                      </w:r>
                      <w:r w:rsidR="00534824">
                        <w:rPr>
                          <w:sz w:val="22"/>
                          <w:szCs w:val="28"/>
                        </w:rPr>
                        <w:t>Tools</w:t>
                      </w:r>
                    </w:p>
                    <w:p w:rsidR="00416700" w:rsidRPr="00416700" w:rsidRDefault="00416700" w:rsidP="00416700">
                      <w:pPr>
                        <w:rPr>
                          <w:szCs w:val="28"/>
                        </w:rPr>
                      </w:pPr>
                      <w:r w:rsidRPr="00416700">
                        <w:rPr>
                          <w:szCs w:val="28"/>
                        </w:rPr>
                        <w:t>Visual Studio ALM Rangers provide technical guidance to support you with the planning, preparation and proof-of-concept evaluations needed to perform a migration or synchronization.</w:t>
                      </w:r>
                    </w:p>
                  </w:txbxContent>
                </v:textbox>
              </v:shape>
            </w:pict>
          </mc:Fallback>
        </mc:AlternateContent>
      </w:r>
      <w:r w:rsidR="00416700" w:rsidRPr="001423FC">
        <w:br w:type="page"/>
      </w:r>
    </w:p>
    <w:p w:rsidR="00B92273" w:rsidRPr="001423FC" w:rsidRDefault="0030049E" w:rsidP="00A95E08">
      <w:pPr>
        <w:pStyle w:val="Heading1"/>
      </w:pPr>
      <w:r w:rsidRPr="001423FC">
        <w:lastRenderedPageBreak/>
        <w:t>Integration Examples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3571"/>
        <w:gridCol w:w="3901"/>
      </w:tblGrid>
      <w:tr w:rsidR="00A95E08" w:rsidRPr="001423FC" w:rsidTr="003249C5">
        <w:trPr>
          <w:trHeight w:val="7731"/>
        </w:trPr>
        <w:tc>
          <w:tcPr>
            <w:tcW w:w="3577" w:type="dxa"/>
          </w:tcPr>
          <w:p w:rsidR="00B75EFF" w:rsidRPr="001423FC" w:rsidRDefault="007138A0" w:rsidP="00B75EFF">
            <w:pPr>
              <w:pStyle w:val="Heading3"/>
              <w:rPr>
                <w:sz w:val="20"/>
              </w:rPr>
            </w:pPr>
            <w:r w:rsidRPr="001423F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editId="0BFA4CB5">
                      <wp:simplePos x="0" y="0"/>
                      <wp:positionH relativeFrom="margin">
                        <wp:posOffset>2228850</wp:posOffset>
                      </wp:positionH>
                      <wp:positionV relativeFrom="margin">
                        <wp:posOffset>2966720</wp:posOffset>
                      </wp:positionV>
                      <wp:extent cx="2019935" cy="1708785"/>
                      <wp:effectExtent l="19050" t="19050" r="18415" b="24765"/>
                      <wp:wrapNone/>
                      <wp:docPr id="2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935" cy="1708785"/>
                              </a:xfrm>
                              <a:prstGeom prst="bracketPair">
                                <a:avLst>
                                  <a:gd name="adj" fmla="val 8051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F2FCC" w:rsidRPr="000573FA" w:rsidRDefault="006F2FCC" w:rsidP="006F2FCC">
                                  <w:pPr>
                                    <w:pBdr>
                                      <w:top w:val="single" w:sz="8" w:space="10" w:color="FFFFFF" w:themeColor="background1"/>
                                      <w:bottom w:val="single" w:sz="8" w:space="10" w:color="FFFFFF" w:themeColor="background1"/>
                                    </w:pBdr>
                                    <w:spacing w:after="0"/>
                                    <w:jc w:val="center"/>
                                    <w:rPr>
                                      <w:i/>
                                      <w:iCs/>
                                      <w:color w:val="C00000"/>
                                      <w:sz w:val="24"/>
                                      <w:szCs w:val="24"/>
                                    </w:rPr>
                                  </w:pPr>
                                  <w:r w:rsidRPr="00FF64EA">
                                    <w:rPr>
                                      <w:i/>
                                      <w:color w:val="C00000"/>
                                    </w:rPr>
                                    <w:t xml:space="preserve">Complexity and cost of migrations increase as history increases … </w:t>
                                  </w:r>
                                  <w:r w:rsidR="000C6446">
                                    <w:rPr>
                                      <w:i/>
                                      <w:color w:val="C00000"/>
                                    </w:rPr>
                                    <w:t>Customers should consider the cost/benefit of preserving history when moving to TFS.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8" type="#_x0000_t185" style="position:absolute;margin-left:175.5pt;margin-top:233.6pt;width:159.05pt;height:1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" o:allowincell="f" adj="1739" filled="t" fillcolor="white [3201]" strokecolor="#c0504d [3205]" strokeweight="2.5pt">
                      <v:shadow color="#868686"/>
                      <v:textbox inset="3.6pt,,3.6pt">
                        <w:txbxContent>
                          <w:p w:rsidR="006F2FCC" w:rsidRPr="000573FA" w:rsidRDefault="006F2FCC" w:rsidP="006F2FCC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FF64EA">
                              <w:rPr>
                                <w:i/>
                                <w:color w:val="C00000"/>
                              </w:rPr>
                              <w:t xml:space="preserve">Complexity and cost of migrations increase as history increases … </w:t>
                            </w:r>
                            <w:r w:rsidR="000C6446">
                              <w:rPr>
                                <w:i/>
                                <w:color w:val="C00000"/>
                              </w:rPr>
                              <w:t>Customers should consider the cost/benefit of preserving history when moving to TFS.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proofErr w:type="gramStart"/>
            <w:r w:rsidR="0030049E" w:rsidRPr="001423FC">
              <w:rPr>
                <w:sz w:val="20"/>
              </w:rPr>
              <w:t>Snapshot Migration</w:t>
            </w:r>
            <w:r w:rsidR="00B81A92" w:rsidRPr="001423FC">
              <w:rPr>
                <w:sz w:val="20"/>
              </w:rPr>
              <w:br/>
            </w:r>
            <w:proofErr w:type="spellStart"/>
            <w:r w:rsidR="007936A0" w:rsidRPr="001423FC">
              <w:rPr>
                <w:b w:val="0"/>
                <w:sz w:val="20"/>
              </w:rPr>
              <w:t>M</w:t>
            </w:r>
            <w:r w:rsidR="00B81A92" w:rsidRPr="001423FC">
              <w:rPr>
                <w:b w:val="0"/>
                <w:sz w:val="20"/>
              </w:rPr>
              <w:t>igration</w:t>
            </w:r>
            <w:proofErr w:type="spellEnd"/>
            <w:r w:rsidR="00B81A92" w:rsidRPr="001423FC">
              <w:rPr>
                <w:b w:val="0"/>
                <w:sz w:val="20"/>
              </w:rPr>
              <w:t xml:space="preserve"> of art</w:t>
            </w:r>
            <w:r w:rsidR="007936A0" w:rsidRPr="001423FC">
              <w:rPr>
                <w:b w:val="0"/>
                <w:sz w:val="20"/>
              </w:rPr>
              <w:t>i</w:t>
            </w:r>
            <w:r w:rsidR="00B81A92" w:rsidRPr="001423FC">
              <w:rPr>
                <w:b w:val="0"/>
                <w:sz w:val="20"/>
              </w:rPr>
              <w:t>facts</w:t>
            </w:r>
            <w:r w:rsidR="007C03C5" w:rsidRPr="001423FC">
              <w:rPr>
                <w:rStyle w:val="FootnoteReference"/>
                <w:b w:val="0"/>
                <w:sz w:val="20"/>
              </w:rPr>
              <w:footnoteReference w:id="1"/>
            </w:r>
            <w:r w:rsidR="007936A0" w:rsidRPr="001423FC">
              <w:rPr>
                <w:b w:val="0"/>
                <w:sz w:val="20"/>
              </w:rPr>
              <w:t xml:space="preserve"> from a given snapshot forward.</w:t>
            </w:r>
            <w:proofErr w:type="gramEnd"/>
            <w:r w:rsidR="007936A0" w:rsidRPr="001423FC">
              <w:rPr>
                <w:b w:val="0"/>
                <w:sz w:val="20"/>
              </w:rPr>
              <w:t xml:space="preserve"> Decide, for example, whether to migrate 2 months</w:t>
            </w:r>
            <w:r w:rsidR="00D90C6E" w:rsidRPr="001423FC">
              <w:rPr>
                <w:b w:val="0"/>
                <w:sz w:val="20"/>
              </w:rPr>
              <w:t xml:space="preserve">, or 2 weeks, or 1 day of history </w:t>
            </w:r>
            <w:r w:rsidR="007936A0" w:rsidRPr="001423FC">
              <w:rPr>
                <w:b w:val="0"/>
                <w:sz w:val="20"/>
              </w:rPr>
              <w:t>to TFS.</w:t>
            </w:r>
          </w:p>
          <w:p w:rsidR="000D7BD9" w:rsidRPr="001423FC" w:rsidRDefault="0030049E" w:rsidP="000D7BD9">
            <w:pPr>
              <w:pStyle w:val="Heading3"/>
              <w:rPr>
                <w:b w:val="0"/>
                <w:sz w:val="20"/>
              </w:rPr>
            </w:pPr>
            <w:proofErr w:type="gramStart"/>
            <w:r w:rsidRPr="001423FC">
              <w:rPr>
                <w:sz w:val="20"/>
              </w:rPr>
              <w:t>Selected History Migration</w:t>
            </w:r>
            <w:r w:rsidR="000D7BD9" w:rsidRPr="001423FC">
              <w:rPr>
                <w:sz w:val="20"/>
              </w:rPr>
              <w:br/>
            </w:r>
            <w:proofErr w:type="spellStart"/>
            <w:r w:rsidR="001812A7" w:rsidRPr="001423FC">
              <w:rPr>
                <w:b w:val="0"/>
                <w:sz w:val="20"/>
              </w:rPr>
              <w:t>M</w:t>
            </w:r>
            <w:r w:rsidR="00B81A92" w:rsidRPr="001423FC">
              <w:rPr>
                <w:b w:val="0"/>
                <w:sz w:val="20"/>
              </w:rPr>
              <w:t>igration</w:t>
            </w:r>
            <w:proofErr w:type="spellEnd"/>
            <w:r w:rsidR="00B81A92" w:rsidRPr="001423FC">
              <w:rPr>
                <w:b w:val="0"/>
                <w:sz w:val="20"/>
              </w:rPr>
              <w:t xml:space="preserve"> of a</w:t>
            </w:r>
            <w:r w:rsidR="007936A0" w:rsidRPr="001423FC">
              <w:rPr>
                <w:b w:val="0"/>
                <w:sz w:val="20"/>
              </w:rPr>
              <w:t>rti</w:t>
            </w:r>
            <w:r w:rsidR="00B81A92" w:rsidRPr="001423FC">
              <w:rPr>
                <w:b w:val="0"/>
                <w:sz w:val="20"/>
              </w:rPr>
              <w:t>facts,</w:t>
            </w:r>
            <w:r w:rsidR="001812A7" w:rsidRPr="001423FC">
              <w:rPr>
                <w:b w:val="0"/>
                <w:sz w:val="20"/>
              </w:rPr>
              <w:t xml:space="preserve"> from selected “interesting” points in time, allowing the history to be dialed.</w:t>
            </w:r>
            <w:proofErr w:type="gramEnd"/>
            <w:r w:rsidR="001812A7" w:rsidRPr="001423FC">
              <w:rPr>
                <w:b w:val="0"/>
                <w:sz w:val="20"/>
              </w:rPr>
              <w:t xml:space="preserve"> Selected history is a simple way to meet the need of teams trying to adhere to corporate standards while gaining the fre</w:t>
            </w:r>
            <w:r w:rsidR="00C6279B" w:rsidRPr="001423FC">
              <w:rPr>
                <w:b w:val="0"/>
                <w:sz w:val="20"/>
              </w:rPr>
              <w:t>e</w:t>
            </w:r>
            <w:r w:rsidR="001812A7" w:rsidRPr="001423FC">
              <w:rPr>
                <w:b w:val="0"/>
                <w:sz w:val="20"/>
              </w:rPr>
              <w:t>dom to use Team Foundation Server (TFS).</w:t>
            </w:r>
          </w:p>
          <w:p w:rsidR="00693608" w:rsidRPr="001423FC" w:rsidRDefault="00693608" w:rsidP="00087FB1">
            <w:pPr>
              <w:pStyle w:val="Heading3"/>
              <w:rPr>
                <w:sz w:val="20"/>
              </w:rPr>
            </w:pPr>
          </w:p>
          <w:p w:rsidR="008F63E9" w:rsidRPr="001423FC" w:rsidRDefault="008F63E9" w:rsidP="00A95E08">
            <w:pPr>
              <w:rPr>
                <w:sz w:val="20"/>
              </w:rPr>
            </w:pPr>
          </w:p>
          <w:p w:rsidR="004A705F" w:rsidRPr="001423FC" w:rsidRDefault="004A705F" w:rsidP="004A705F">
            <w:pPr>
              <w:pStyle w:val="Heading3"/>
              <w:rPr>
                <w:sz w:val="20"/>
              </w:rPr>
            </w:pPr>
          </w:p>
          <w:p w:rsidR="00A95E08" w:rsidRPr="001423FC" w:rsidRDefault="00A95E08" w:rsidP="002271BC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599" w:type="dxa"/>
          </w:tcPr>
          <w:p w:rsidR="003249C5" w:rsidRPr="001423FC" w:rsidRDefault="003249C5" w:rsidP="007936A0">
            <w:pPr>
              <w:pStyle w:val="CommentText"/>
              <w:rPr>
                <w:b/>
              </w:rPr>
            </w:pPr>
            <w:r w:rsidRPr="001423FC">
              <w:rPr>
                <w:rFonts w:eastAsiaTheme="majorEastAsia" w:cstheme="majorBidi"/>
                <w:b/>
                <w:bCs/>
                <w:szCs w:val="22"/>
              </w:rPr>
              <w:t>Archive Migration</w:t>
            </w:r>
            <w:r w:rsidRPr="001423FC">
              <w:br/>
              <w:t xml:space="preserve">Unidirectional migration of version control and work item </w:t>
            </w:r>
            <w:proofErr w:type="spellStart"/>
            <w:r w:rsidRPr="001423FC">
              <w:t>artefacts</w:t>
            </w:r>
            <w:proofErr w:type="spellEnd"/>
            <w:r w:rsidRPr="001423FC">
              <w:t xml:space="preserve"> with historical information</w:t>
            </w:r>
            <w:r w:rsidR="007936A0" w:rsidRPr="001423FC">
              <w:rPr>
                <w:b/>
              </w:rPr>
              <w:t xml:space="preserve">. </w:t>
            </w:r>
            <w:r w:rsidR="007936A0" w:rsidRPr="001423FC">
              <w:t xml:space="preserve">More complex than selected history or snapshot migration, but supported in cases where there is a </w:t>
            </w:r>
            <w:r w:rsidRPr="001423FC">
              <w:t xml:space="preserve">requirement to know and prove the origin of </w:t>
            </w:r>
            <w:r w:rsidR="00C6279B" w:rsidRPr="001423FC">
              <w:t>artifacts</w:t>
            </w:r>
            <w:r w:rsidRPr="001423FC">
              <w:t xml:space="preserve"> as part of intellectual property compliance or regulatory concerns.</w:t>
            </w:r>
          </w:p>
          <w:p w:rsidR="00F968F3" w:rsidRPr="001423FC" w:rsidRDefault="0030049E" w:rsidP="00F968F3">
            <w:pPr>
              <w:keepNext/>
              <w:keepLines/>
              <w:spacing w:before="200" w:after="0"/>
              <w:outlineLvl w:val="2"/>
              <w:rPr>
                <w:sz w:val="20"/>
              </w:rPr>
            </w:pPr>
            <w:r w:rsidRPr="001423FC">
              <w:rPr>
                <w:rFonts w:eastAsiaTheme="majorEastAsia" w:cstheme="majorBidi"/>
                <w:b/>
                <w:bCs/>
                <w:sz w:val="20"/>
              </w:rPr>
              <w:t>Synchronization</w:t>
            </w:r>
            <w:r w:rsidR="00F968F3" w:rsidRPr="001423FC">
              <w:rPr>
                <w:rFonts w:eastAsiaTheme="majorEastAsia" w:cstheme="majorBidi"/>
                <w:b/>
                <w:bCs/>
                <w:sz w:val="20"/>
              </w:rPr>
              <w:br/>
            </w:r>
            <w:proofErr w:type="spellStart"/>
            <w:r w:rsidR="00B81A92" w:rsidRPr="001423FC">
              <w:rPr>
                <w:sz w:val="20"/>
              </w:rPr>
              <w:t>Uni</w:t>
            </w:r>
            <w:proofErr w:type="spellEnd"/>
            <w:r w:rsidR="00B81A92" w:rsidRPr="001423FC">
              <w:rPr>
                <w:sz w:val="20"/>
              </w:rPr>
              <w:t>- or bidirectional synchronization of art</w:t>
            </w:r>
            <w:r w:rsidR="00C6279B" w:rsidRPr="001423FC">
              <w:rPr>
                <w:sz w:val="20"/>
              </w:rPr>
              <w:t>i</w:t>
            </w:r>
            <w:r w:rsidR="00B81A92" w:rsidRPr="001423FC">
              <w:rPr>
                <w:sz w:val="20"/>
              </w:rPr>
              <w:t>facts</w:t>
            </w:r>
            <w:r w:rsidR="003249C5" w:rsidRPr="001423FC">
              <w:rPr>
                <w:sz w:val="20"/>
              </w:rPr>
              <w:t xml:space="preserve">, using </w:t>
            </w:r>
            <w:r w:rsidR="00B81A92" w:rsidRPr="001423FC">
              <w:rPr>
                <w:sz w:val="20"/>
              </w:rPr>
              <w:t>snapshot</w:t>
            </w:r>
            <w:r w:rsidR="003249C5" w:rsidRPr="001423FC">
              <w:rPr>
                <w:sz w:val="20"/>
              </w:rPr>
              <w:t>, selected or archive migration.</w:t>
            </w:r>
            <w:r w:rsidR="00B81A92" w:rsidRPr="001423FC">
              <w:rPr>
                <w:sz w:val="20"/>
              </w:rPr>
              <w:t xml:space="preserve"> </w:t>
            </w:r>
          </w:p>
          <w:p w:rsidR="00A95E08" w:rsidRPr="001423FC" w:rsidRDefault="00A95E08" w:rsidP="00B81A92">
            <w:pPr>
              <w:rPr>
                <w:sz w:val="20"/>
              </w:rPr>
            </w:pPr>
          </w:p>
        </w:tc>
        <w:tc>
          <w:tcPr>
            <w:tcW w:w="3840" w:type="dxa"/>
          </w:tcPr>
          <w:p w:rsidR="00A937B5" w:rsidRPr="001423FC" w:rsidRDefault="0030049E" w:rsidP="00A937B5">
            <w:pPr>
              <w:pStyle w:val="Heading3"/>
              <w:rPr>
                <w:b w:val="0"/>
                <w:sz w:val="20"/>
              </w:rPr>
            </w:pPr>
            <w:r w:rsidRPr="001423FC">
              <w:rPr>
                <w:sz w:val="20"/>
              </w:rPr>
              <w:t>Custom Adapter</w:t>
            </w:r>
            <w:r w:rsidR="00F968F3" w:rsidRPr="001423FC">
              <w:rPr>
                <w:sz w:val="20"/>
              </w:rPr>
              <w:t xml:space="preserve"> Development</w:t>
            </w:r>
            <w:r w:rsidR="00F968F3" w:rsidRPr="001423FC">
              <w:rPr>
                <w:sz w:val="20"/>
              </w:rPr>
              <w:br/>
            </w:r>
            <w:r w:rsidR="007936A0" w:rsidRPr="001423FC">
              <w:rPr>
                <w:b w:val="0"/>
                <w:sz w:val="20"/>
              </w:rPr>
              <w:t>Purpose-built integration infrastructure and hardened TFS adapters r</w:t>
            </w:r>
            <w:r w:rsidR="00770B6E" w:rsidRPr="001423FC">
              <w:rPr>
                <w:b w:val="0"/>
                <w:sz w:val="20"/>
              </w:rPr>
              <w:t xml:space="preserve">educe the complexity </w:t>
            </w:r>
            <w:r w:rsidR="006F2FCC" w:rsidRPr="001423FC">
              <w:rPr>
                <w:b w:val="0"/>
                <w:sz w:val="20"/>
              </w:rPr>
              <w:t xml:space="preserve">of developing </w:t>
            </w:r>
            <w:proofErr w:type="gramStart"/>
            <w:r w:rsidR="006F2FCC" w:rsidRPr="001423FC">
              <w:rPr>
                <w:b w:val="0"/>
                <w:sz w:val="20"/>
              </w:rPr>
              <w:t>custom  migration</w:t>
            </w:r>
            <w:proofErr w:type="gramEnd"/>
            <w:r w:rsidR="006F2FCC" w:rsidRPr="001423FC">
              <w:rPr>
                <w:b w:val="0"/>
                <w:sz w:val="20"/>
              </w:rPr>
              <w:t xml:space="preserve"> and synchronization tools using the TFS Integration </w:t>
            </w:r>
            <w:r w:rsidR="000C6446">
              <w:rPr>
                <w:b w:val="0"/>
                <w:sz w:val="20"/>
              </w:rPr>
              <w:t>Tools</w:t>
            </w:r>
            <w:r w:rsidR="006F2FCC" w:rsidRPr="001423FC">
              <w:rPr>
                <w:b w:val="0"/>
                <w:sz w:val="20"/>
              </w:rPr>
              <w:t xml:space="preserve"> SDK and associated guidance.</w:t>
            </w:r>
          </w:p>
          <w:p w:rsidR="00A937B5" w:rsidRPr="001423FC" w:rsidRDefault="00A937B5" w:rsidP="00A937B5">
            <w:pPr>
              <w:pStyle w:val="Heading3"/>
              <w:rPr>
                <w:sz w:val="20"/>
              </w:rPr>
            </w:pPr>
            <w:r w:rsidRPr="001423FC">
              <w:rPr>
                <w:sz w:val="20"/>
              </w:rPr>
              <w:t>Further</w:t>
            </w:r>
            <w:r w:rsidRPr="001423FC">
              <w:rPr>
                <w:b w:val="0"/>
                <w:bCs w:val="0"/>
                <w:sz w:val="20"/>
              </w:rPr>
              <w:t xml:space="preserve"> </w:t>
            </w:r>
            <w:r w:rsidRPr="001423FC">
              <w:rPr>
                <w:sz w:val="20"/>
              </w:rPr>
              <w:t>references</w:t>
            </w:r>
          </w:p>
          <w:p w:rsidR="00A937B5" w:rsidRPr="001423FC" w:rsidRDefault="00A937B5" w:rsidP="00A937B5">
            <w:pPr>
              <w:rPr>
                <w:rFonts w:eastAsiaTheme="majorEastAsia" w:cstheme="majorBidi"/>
                <w:b/>
                <w:bCs/>
                <w:sz w:val="20"/>
              </w:rPr>
            </w:pPr>
            <w:r w:rsidRPr="001423FC">
              <w:rPr>
                <w:rFonts w:eastAsiaTheme="majorEastAsia" w:cstheme="majorBidi"/>
                <w:bCs/>
                <w:sz w:val="20"/>
              </w:rPr>
              <w:t xml:space="preserve">TFS Integration Platform </w:t>
            </w:r>
            <w:proofErr w:type="spellStart"/>
            <w:r w:rsidRPr="001423FC">
              <w:rPr>
                <w:rFonts w:eastAsiaTheme="majorEastAsia" w:cstheme="majorBidi"/>
                <w:bCs/>
                <w:sz w:val="20"/>
              </w:rPr>
              <w:t>Codeplex</w:t>
            </w:r>
            <w:proofErr w:type="spellEnd"/>
            <w:r w:rsidRPr="001423FC">
              <w:rPr>
                <w:rFonts w:eastAsiaTheme="majorEastAsia" w:cstheme="majorBidi"/>
                <w:bCs/>
                <w:sz w:val="20"/>
              </w:rPr>
              <w:t xml:space="preserve"> Site</w:t>
            </w:r>
            <w:r w:rsidRPr="001423FC">
              <w:rPr>
                <w:rFonts w:eastAsiaTheme="majorEastAsia" w:cstheme="majorBidi"/>
                <w:bCs/>
                <w:sz w:val="20"/>
              </w:rPr>
              <w:br/>
            </w:r>
            <w:hyperlink r:id="rId14" w:history="1">
              <w:r w:rsidRPr="001423FC">
                <w:rPr>
                  <w:rStyle w:val="Hyperlink"/>
                  <w:rFonts w:eastAsiaTheme="majorEastAsia" w:cstheme="majorBidi"/>
                  <w:bCs/>
                  <w:sz w:val="20"/>
                </w:rPr>
                <w:t>http://www.codeplex.com/TFSIntegration</w:t>
              </w:r>
            </w:hyperlink>
          </w:p>
          <w:p w:rsidR="00A937B5" w:rsidRPr="001423FC" w:rsidRDefault="00A937B5" w:rsidP="00A937B5">
            <w:pPr>
              <w:rPr>
                <w:rFonts w:eastAsiaTheme="majorEastAsia" w:cstheme="majorBidi"/>
                <w:bCs/>
                <w:sz w:val="20"/>
              </w:rPr>
            </w:pPr>
            <w:r w:rsidRPr="001423FC">
              <w:rPr>
                <w:rFonts w:eastAsiaTheme="majorEastAsia" w:cstheme="majorBidi"/>
                <w:bCs/>
                <w:sz w:val="20"/>
              </w:rPr>
              <w:t>Team Foundation Server Migration and Integration Solutions</w:t>
            </w:r>
            <w:r w:rsidRPr="001423FC">
              <w:rPr>
                <w:rFonts w:eastAsiaTheme="majorEastAsia" w:cstheme="majorBidi"/>
                <w:bCs/>
                <w:sz w:val="20"/>
              </w:rPr>
              <w:br/>
            </w:r>
            <w:hyperlink r:id="rId15" w:history="1">
              <w:r w:rsidRPr="001423FC">
                <w:rPr>
                  <w:rStyle w:val="Hyperlink"/>
                  <w:rFonts w:eastAsiaTheme="majorEastAsia" w:cstheme="majorBidi"/>
                  <w:bCs/>
                  <w:sz w:val="20"/>
                </w:rPr>
                <w:t>http://msdn.microsoft.com/en-us/teamsystem/bb840033.aspx</w:t>
              </w:r>
            </w:hyperlink>
            <w:r w:rsidRPr="001423FC">
              <w:rPr>
                <w:rFonts w:eastAsiaTheme="majorEastAsia" w:cstheme="majorBidi"/>
                <w:bCs/>
                <w:sz w:val="20"/>
              </w:rPr>
              <w:t xml:space="preserve"> </w:t>
            </w:r>
          </w:p>
          <w:p w:rsidR="00A937B5" w:rsidRPr="001423FC" w:rsidRDefault="00A937B5" w:rsidP="00A937B5">
            <w:pPr>
              <w:rPr>
                <w:rFonts w:eastAsiaTheme="majorEastAsia" w:cstheme="majorBidi"/>
                <w:bCs/>
                <w:sz w:val="20"/>
              </w:rPr>
            </w:pPr>
            <w:r w:rsidRPr="001423FC">
              <w:rPr>
                <w:rFonts w:eastAsiaTheme="majorEastAsia" w:cstheme="majorBidi"/>
                <w:bCs/>
                <w:sz w:val="20"/>
              </w:rPr>
              <w:t>Visual Studio ALM Rangers Site</w:t>
            </w:r>
            <w:r w:rsidRPr="001423FC">
              <w:rPr>
                <w:rFonts w:eastAsiaTheme="majorEastAsia" w:cstheme="majorBidi"/>
                <w:bCs/>
                <w:sz w:val="20"/>
              </w:rPr>
              <w:br/>
            </w:r>
            <w:hyperlink r:id="rId16" w:history="1">
              <w:r w:rsidRPr="001423FC">
                <w:rPr>
                  <w:rStyle w:val="Hyperlink"/>
                  <w:rFonts w:eastAsiaTheme="majorEastAsia" w:cstheme="majorBidi"/>
                  <w:bCs/>
                  <w:sz w:val="20"/>
                </w:rPr>
                <w:t>http://msdn.microsoft.com/en-us/teamsystem/ee358786.aspx</w:t>
              </w:r>
            </w:hyperlink>
          </w:p>
          <w:p w:rsidR="00416700" w:rsidRPr="001423FC" w:rsidRDefault="00416700" w:rsidP="00A937B5">
            <w:pPr>
              <w:rPr>
                <w:rFonts w:eastAsiaTheme="majorEastAsia" w:cstheme="majorBidi"/>
                <w:bCs/>
                <w:sz w:val="20"/>
              </w:rPr>
            </w:pPr>
            <w:r w:rsidRPr="001423FC">
              <w:rPr>
                <w:rFonts w:eastAsiaTheme="majorEastAsia" w:cstheme="majorBidi"/>
                <w:bCs/>
                <w:sz w:val="20"/>
              </w:rPr>
              <w:t>Rangers TFS 2010 Upgrade Guidance</w:t>
            </w:r>
            <w:r w:rsidRPr="001423FC">
              <w:rPr>
                <w:rFonts w:eastAsiaTheme="majorEastAsia" w:cstheme="majorBidi"/>
                <w:bCs/>
                <w:sz w:val="20"/>
              </w:rPr>
              <w:br/>
            </w:r>
            <w:hyperlink r:id="rId17" w:history="1">
              <w:r w:rsidRPr="001423FC">
                <w:rPr>
                  <w:rStyle w:val="Hyperlink"/>
                  <w:rFonts w:eastAsiaTheme="majorEastAsia" w:cstheme="majorBidi"/>
                  <w:bCs/>
                  <w:sz w:val="20"/>
                </w:rPr>
                <w:t>http://vs2010upgradeguide.codeplex.com</w:t>
              </w:r>
            </w:hyperlink>
            <w:r w:rsidRPr="001423FC">
              <w:rPr>
                <w:rFonts w:eastAsiaTheme="majorEastAsia" w:cstheme="majorBidi"/>
                <w:bCs/>
                <w:sz w:val="20"/>
              </w:rPr>
              <w:t xml:space="preserve"> </w:t>
            </w:r>
          </w:p>
          <w:p w:rsidR="00E21E90" w:rsidRPr="001423FC" w:rsidRDefault="00E21E90" w:rsidP="005E4FCD">
            <w:pPr>
              <w:rPr>
                <w:sz w:val="20"/>
              </w:rPr>
            </w:pPr>
          </w:p>
        </w:tc>
      </w:tr>
    </w:tbl>
    <w:p w:rsidR="00A95E08" w:rsidRPr="001423FC" w:rsidRDefault="00A95E08" w:rsidP="003E38D2">
      <w:pPr>
        <w:pStyle w:val="Heading1"/>
      </w:pPr>
    </w:p>
    <w:p w:rsidR="00445B69" w:rsidRPr="001423FC" w:rsidRDefault="00445B69">
      <w:pPr>
        <w:rPr>
          <w:rFonts w:eastAsiaTheme="majorEastAsia" w:cstheme="majorBidi"/>
          <w:bCs/>
          <w:color w:val="17365D" w:themeColor="text2" w:themeShade="BF"/>
          <w:sz w:val="36"/>
          <w:szCs w:val="28"/>
        </w:rPr>
      </w:pPr>
      <w:r w:rsidRPr="001423FC">
        <w:br w:type="page"/>
      </w:r>
    </w:p>
    <w:tbl>
      <w:tblPr>
        <w:tblStyle w:val="TableGrid"/>
        <w:tblW w:w="10783" w:type="dxa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</w:tblBorders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7639"/>
        <w:gridCol w:w="1121"/>
        <w:gridCol w:w="1036"/>
        <w:gridCol w:w="987"/>
      </w:tblGrid>
      <w:tr w:rsidR="004109A4" w:rsidRPr="001423FC" w:rsidTr="0091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CellSpacing w:w="14" w:type="dxa"/>
        </w:trPr>
        <w:tc>
          <w:tcPr>
            <w:tcW w:w="7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109A4" w:rsidRPr="001423FC" w:rsidRDefault="00C6279B" w:rsidP="000C6446">
            <w:pPr>
              <w:rPr>
                <w:color w:val="1F497D" w:themeColor="text2"/>
                <w:sz w:val="32"/>
                <w:szCs w:val="36"/>
              </w:rPr>
            </w:pPr>
            <w:r w:rsidRPr="001423FC">
              <w:rPr>
                <w:color w:val="1F497D" w:themeColor="text2"/>
                <w:sz w:val="32"/>
                <w:szCs w:val="36"/>
              </w:rPr>
              <w:lastRenderedPageBreak/>
              <w:t xml:space="preserve">TFS Integration </w:t>
            </w:r>
            <w:r w:rsidR="000C6446">
              <w:rPr>
                <w:color w:val="1F497D" w:themeColor="text2"/>
                <w:sz w:val="32"/>
                <w:szCs w:val="36"/>
              </w:rPr>
              <w:t>Tools</w:t>
            </w:r>
            <w:r w:rsidRPr="001423FC">
              <w:rPr>
                <w:color w:val="1F497D" w:themeColor="text2"/>
                <w:sz w:val="32"/>
                <w:szCs w:val="36"/>
              </w:rPr>
              <w:t xml:space="preserve"> </w:t>
            </w:r>
            <w:r w:rsidR="004109A4" w:rsidRPr="001423FC">
              <w:rPr>
                <w:color w:val="1F497D" w:themeColor="text2"/>
                <w:sz w:val="32"/>
                <w:szCs w:val="36"/>
              </w:rPr>
              <w:t>Feature Matrix</w:t>
            </w:r>
          </w:p>
        </w:tc>
        <w:tc>
          <w:tcPr>
            <w:tcW w:w="10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09A4" w:rsidRPr="001423FC" w:rsidRDefault="004109A4" w:rsidP="004109A4">
            <w:pPr>
              <w:rPr>
                <w:bCs w:val="0"/>
                <w:sz w:val="16"/>
              </w:rPr>
            </w:pPr>
            <w:r w:rsidRPr="001423FC">
              <w:rPr>
                <w:bCs w:val="0"/>
                <w:sz w:val="16"/>
              </w:rPr>
              <w:t>Supported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09A4" w:rsidRPr="001423FC" w:rsidRDefault="00A1309A" w:rsidP="00CA00D7">
            <w:pPr>
              <w:jc w:val="center"/>
              <w:rPr>
                <w:sz w:val="16"/>
              </w:rPr>
            </w:pPr>
            <w:r w:rsidRPr="001423FC">
              <w:rPr>
                <w:sz w:val="16"/>
              </w:rPr>
              <w:t>Planned</w:t>
            </w:r>
            <w:r>
              <w:rPr>
                <w:rStyle w:val="FootnoteReference"/>
                <w:sz w:val="16"/>
              </w:rPr>
              <w:footnoteReference w:id="2"/>
            </w:r>
          </w:p>
        </w:tc>
        <w:tc>
          <w:tcPr>
            <w:tcW w:w="9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09A4" w:rsidRPr="001423FC" w:rsidRDefault="004109A4" w:rsidP="00CA00D7">
            <w:pPr>
              <w:jc w:val="center"/>
              <w:rPr>
                <w:sz w:val="16"/>
              </w:rPr>
            </w:pPr>
            <w:r w:rsidRPr="001423FC">
              <w:rPr>
                <w:sz w:val="16"/>
              </w:rPr>
              <w:t>3</w:t>
            </w:r>
            <w:r w:rsidRPr="001423FC">
              <w:rPr>
                <w:sz w:val="16"/>
                <w:vertAlign w:val="superscript"/>
              </w:rPr>
              <w:t>rd</w:t>
            </w:r>
            <w:r w:rsidRPr="001423FC">
              <w:rPr>
                <w:sz w:val="16"/>
              </w:rPr>
              <w:t>-Party</w:t>
            </w:r>
          </w:p>
        </w:tc>
      </w:tr>
      <w:tr w:rsidR="004109A4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4109A4" w:rsidRPr="001423FC" w:rsidRDefault="004109A4" w:rsidP="00CA00D7">
            <w:pPr>
              <w:rPr>
                <w:b/>
                <w:sz w:val="16"/>
                <w:szCs w:val="16"/>
              </w:rPr>
            </w:pPr>
            <w:r w:rsidRPr="001423FC">
              <w:rPr>
                <w:b/>
                <w:sz w:val="16"/>
                <w:szCs w:val="16"/>
              </w:rPr>
              <w:t>Development Platform Support</w:t>
            </w:r>
          </w:p>
        </w:tc>
        <w:tc>
          <w:tcPr>
            <w:tcW w:w="1093" w:type="dxa"/>
            <w:vAlign w:val="center"/>
          </w:tcPr>
          <w:p w:rsidR="004109A4" w:rsidRPr="001423FC" w:rsidRDefault="004109A4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4109A4" w:rsidRPr="001423FC" w:rsidRDefault="004109A4" w:rsidP="00CA00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4109A4" w:rsidRPr="001423FC" w:rsidRDefault="004109A4" w:rsidP="00CA00D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109A4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4109A4" w:rsidRPr="001423FC" w:rsidRDefault="007C4A17" w:rsidP="0084335A">
            <w:pPr>
              <w:ind w:firstLine="413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>Software Development Toolkit</w:t>
            </w:r>
          </w:p>
        </w:tc>
        <w:tc>
          <w:tcPr>
            <w:tcW w:w="1093" w:type="dxa"/>
            <w:vAlign w:val="center"/>
          </w:tcPr>
          <w:p w:rsidR="004109A4" w:rsidRPr="001423FC" w:rsidRDefault="007C4A17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4109A4" w:rsidRPr="001423FC" w:rsidRDefault="004109A4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4109A4" w:rsidRPr="001423FC" w:rsidRDefault="004109A4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7C4A17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7C4A17" w:rsidRPr="001423FC" w:rsidRDefault="00644F9A" w:rsidP="0084335A">
            <w:pPr>
              <w:ind w:firstLine="413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>Sample Code</w:t>
            </w:r>
          </w:p>
        </w:tc>
        <w:tc>
          <w:tcPr>
            <w:tcW w:w="1093" w:type="dxa"/>
            <w:vAlign w:val="center"/>
          </w:tcPr>
          <w:p w:rsidR="007C4A17" w:rsidRPr="001423FC" w:rsidRDefault="007C4A17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7C4A17" w:rsidRPr="001423FC" w:rsidRDefault="007C4A17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7C4A17" w:rsidRPr="001423FC" w:rsidRDefault="007C4A17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7C4A17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7C4A17" w:rsidRPr="001423FC" w:rsidRDefault="007C4A17" w:rsidP="0084335A">
            <w:pPr>
              <w:ind w:firstLine="413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>Technical Documentation</w:t>
            </w:r>
          </w:p>
        </w:tc>
        <w:tc>
          <w:tcPr>
            <w:tcW w:w="1093" w:type="dxa"/>
            <w:vAlign w:val="center"/>
          </w:tcPr>
          <w:p w:rsidR="007C4A17" w:rsidRPr="001423FC" w:rsidRDefault="007C4A17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7C4A17" w:rsidRPr="001423FC" w:rsidRDefault="007C4A17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7C4A17" w:rsidRPr="001423FC" w:rsidRDefault="007C4A17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644F9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644F9A" w:rsidRPr="001423FC" w:rsidRDefault="00644F9A" w:rsidP="0084335A">
            <w:pPr>
              <w:ind w:firstLine="413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>Getting Started Hands-on-labs (HOL)</w:t>
            </w:r>
          </w:p>
        </w:tc>
        <w:tc>
          <w:tcPr>
            <w:tcW w:w="1093" w:type="dxa"/>
            <w:vAlign w:val="center"/>
          </w:tcPr>
          <w:p w:rsidR="00644F9A" w:rsidRPr="001423FC" w:rsidRDefault="00644F9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644F9A" w:rsidRPr="001423FC" w:rsidRDefault="00644F9A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644F9A" w:rsidRPr="001423FC" w:rsidRDefault="00644F9A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4109A4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4109A4" w:rsidRPr="001423FC" w:rsidRDefault="007C4A17" w:rsidP="0084335A">
            <w:pPr>
              <w:ind w:firstLine="413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>Guidance Documentation</w:t>
            </w:r>
          </w:p>
        </w:tc>
        <w:tc>
          <w:tcPr>
            <w:tcW w:w="1093" w:type="dxa"/>
            <w:vAlign w:val="center"/>
          </w:tcPr>
          <w:p w:rsidR="004109A4" w:rsidRPr="001423FC" w:rsidRDefault="007C4A17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4109A4" w:rsidRPr="001423FC" w:rsidRDefault="004109A4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4109A4" w:rsidRPr="001423FC" w:rsidRDefault="004109A4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4109A4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4109A4" w:rsidRPr="001423FC" w:rsidRDefault="004109A4" w:rsidP="00CA00D7">
            <w:pPr>
              <w:rPr>
                <w:b/>
                <w:sz w:val="16"/>
                <w:szCs w:val="16"/>
              </w:rPr>
            </w:pPr>
            <w:r w:rsidRPr="001423FC">
              <w:rPr>
                <w:b/>
                <w:sz w:val="16"/>
                <w:szCs w:val="16"/>
              </w:rPr>
              <w:t>Migration</w:t>
            </w:r>
          </w:p>
        </w:tc>
        <w:tc>
          <w:tcPr>
            <w:tcW w:w="1093" w:type="dxa"/>
            <w:vAlign w:val="center"/>
          </w:tcPr>
          <w:p w:rsidR="004109A4" w:rsidRPr="001423FC" w:rsidRDefault="004109A4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4109A4" w:rsidRPr="001423FC" w:rsidRDefault="004109A4" w:rsidP="00CA00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4109A4" w:rsidRPr="001423FC" w:rsidRDefault="004109A4" w:rsidP="00CA00D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84335A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TFS 2005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2008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  <w:r w:rsidR="00C6279B" w:rsidRPr="001423FC">
              <w:rPr>
                <w:rStyle w:val="FootnoteReference"/>
                <w:rFonts w:cs="Segoe UI"/>
                <w:sz w:val="16"/>
                <w:szCs w:val="16"/>
              </w:rPr>
              <w:footnoteReference w:id="3"/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84335A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TFS 2008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  <w:r w:rsidR="00C6279B" w:rsidRPr="001423FC">
              <w:rPr>
                <w:rStyle w:val="FootnoteReference"/>
                <w:rFonts w:cs="Segoe UI"/>
                <w:sz w:val="16"/>
                <w:szCs w:val="16"/>
              </w:rPr>
              <w:footnoteReference w:id="4"/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A61D24">
            <w:pPr>
              <w:ind w:firstLine="460"/>
              <w:rPr>
                <w:b/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IBM Rational </w:t>
            </w:r>
            <w:proofErr w:type="spellStart"/>
            <w:r w:rsidRPr="001423FC">
              <w:rPr>
                <w:sz w:val="16"/>
                <w:szCs w:val="16"/>
              </w:rPr>
              <w:t>ClearCase</w:t>
            </w:r>
            <w:proofErr w:type="spellEnd"/>
            <w:r w:rsidRPr="001423FC">
              <w:rPr>
                <w:sz w:val="16"/>
                <w:szCs w:val="16"/>
              </w:rPr>
              <w:t xml:space="preserve">  7.x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</w:t>
            </w:r>
            <w:r w:rsidR="00A61D24">
              <w:rPr>
                <w:sz w:val="16"/>
                <w:szCs w:val="16"/>
              </w:rPr>
              <w:t>2</w:t>
            </w:r>
            <w:r w:rsidRPr="001423FC">
              <w:rPr>
                <w:sz w:val="16"/>
                <w:szCs w:val="16"/>
              </w:rPr>
              <w:t>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A61D24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IBM Rational </w:t>
            </w:r>
            <w:proofErr w:type="spellStart"/>
            <w:r w:rsidRPr="001423FC">
              <w:rPr>
                <w:sz w:val="16"/>
                <w:szCs w:val="16"/>
              </w:rPr>
              <w:t>ClearQuest</w:t>
            </w:r>
            <w:proofErr w:type="spellEnd"/>
            <w:r w:rsidRPr="001423FC">
              <w:rPr>
                <w:sz w:val="16"/>
                <w:szCs w:val="16"/>
              </w:rPr>
              <w:t xml:space="preserve">  7.x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</w:t>
            </w:r>
            <w:r w:rsidR="00A61D24">
              <w:rPr>
                <w:sz w:val="16"/>
                <w:szCs w:val="16"/>
              </w:rPr>
              <w:t>2</w:t>
            </w:r>
            <w:r w:rsidRPr="001423FC">
              <w:rPr>
                <w:sz w:val="16"/>
                <w:szCs w:val="16"/>
              </w:rPr>
              <w:t>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A61D24">
            <w:pPr>
              <w:ind w:firstLine="460"/>
              <w:rPr>
                <w:b/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Perforce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</w:t>
            </w:r>
            <w:r w:rsidR="00A61D24">
              <w:rPr>
                <w:sz w:val="16"/>
                <w:szCs w:val="16"/>
              </w:rPr>
              <w:t>2</w:t>
            </w:r>
            <w:r w:rsidRPr="001423FC">
              <w:rPr>
                <w:sz w:val="16"/>
                <w:szCs w:val="16"/>
              </w:rPr>
              <w:t>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b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1423FC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HP </w:t>
            </w:r>
            <w:proofErr w:type="spellStart"/>
            <w:r w:rsidRPr="001423FC">
              <w:rPr>
                <w:sz w:val="16"/>
                <w:szCs w:val="16"/>
              </w:rPr>
              <w:t>QualityCent</w:t>
            </w:r>
            <w:r w:rsidR="001423FC">
              <w:rPr>
                <w:sz w:val="16"/>
                <w:szCs w:val="16"/>
              </w:rPr>
              <w:t>er</w:t>
            </w:r>
            <w:proofErr w:type="spellEnd"/>
            <w:r w:rsidRPr="001423FC">
              <w:rPr>
                <w:sz w:val="16"/>
                <w:szCs w:val="16"/>
              </w:rPr>
              <w:t xml:space="preserve">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D576D7" w:rsidP="00CA00D7">
            <w:pPr>
              <w:jc w:val="center"/>
              <w:rPr>
                <w:b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</w:tr>
      <w:tr w:rsidR="003451CA" w:rsidRPr="001423FC" w:rsidTr="00D04D64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3451CA" w:rsidRPr="001423FC" w:rsidRDefault="003451CA" w:rsidP="00D04D64">
            <w:pPr>
              <w:ind w:firstLine="4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Subversion </w:t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2010</w:t>
            </w:r>
          </w:p>
        </w:tc>
        <w:tc>
          <w:tcPr>
            <w:tcW w:w="1093" w:type="dxa"/>
            <w:vAlign w:val="center"/>
          </w:tcPr>
          <w:p w:rsidR="003451CA" w:rsidRPr="001423FC" w:rsidRDefault="003451CA" w:rsidP="00D04D64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3451CA" w:rsidRPr="001423FC" w:rsidRDefault="003451CA" w:rsidP="00D04D64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945" w:type="dxa"/>
            <w:vAlign w:val="center"/>
          </w:tcPr>
          <w:p w:rsidR="003451CA" w:rsidRPr="001423FC" w:rsidRDefault="003451CA" w:rsidP="00D04D64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</w:tr>
      <w:tr w:rsidR="004109A4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4109A4" w:rsidRPr="001423FC" w:rsidRDefault="0084335A" w:rsidP="00CA00D7">
            <w:pPr>
              <w:rPr>
                <w:b/>
                <w:sz w:val="16"/>
                <w:szCs w:val="16"/>
              </w:rPr>
            </w:pPr>
            <w:r w:rsidRPr="001423FC">
              <w:rPr>
                <w:b/>
                <w:sz w:val="16"/>
                <w:szCs w:val="16"/>
              </w:rPr>
              <w:t>Sy</w:t>
            </w:r>
            <w:r w:rsidR="004109A4" w:rsidRPr="001423FC">
              <w:rPr>
                <w:b/>
                <w:sz w:val="16"/>
                <w:szCs w:val="16"/>
              </w:rPr>
              <w:t>nchronization</w:t>
            </w:r>
          </w:p>
        </w:tc>
        <w:tc>
          <w:tcPr>
            <w:tcW w:w="1093" w:type="dxa"/>
            <w:vAlign w:val="center"/>
          </w:tcPr>
          <w:p w:rsidR="004109A4" w:rsidRPr="001423FC" w:rsidRDefault="004109A4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4109A4" w:rsidRPr="001423FC" w:rsidRDefault="004109A4" w:rsidP="00CA00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4109A4" w:rsidRPr="001423FC" w:rsidRDefault="004109A4" w:rsidP="00CA00D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84335A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TFS 2005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2008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84335A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TFS 2008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A60C3E">
            <w:pPr>
              <w:ind w:firstLine="460"/>
              <w:rPr>
                <w:b/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IBM Rational </w:t>
            </w:r>
            <w:proofErr w:type="spellStart"/>
            <w:r w:rsidRPr="001423FC">
              <w:rPr>
                <w:sz w:val="16"/>
                <w:szCs w:val="16"/>
              </w:rPr>
              <w:t>ClearCase</w:t>
            </w:r>
            <w:proofErr w:type="spellEnd"/>
            <w:r w:rsidRPr="001423FC">
              <w:rPr>
                <w:sz w:val="16"/>
                <w:szCs w:val="16"/>
              </w:rPr>
              <w:t xml:space="preserve">  7.x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</w:t>
            </w:r>
            <w:r w:rsidR="00A60C3E">
              <w:rPr>
                <w:sz w:val="16"/>
                <w:szCs w:val="16"/>
              </w:rPr>
              <w:t>2</w:t>
            </w:r>
            <w:r w:rsidRPr="001423FC">
              <w:rPr>
                <w:sz w:val="16"/>
                <w:szCs w:val="16"/>
              </w:rPr>
              <w:t>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A60C3E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IBM Rational </w:t>
            </w:r>
            <w:proofErr w:type="spellStart"/>
            <w:r w:rsidRPr="001423FC">
              <w:rPr>
                <w:sz w:val="16"/>
                <w:szCs w:val="16"/>
              </w:rPr>
              <w:t>ClearQuest</w:t>
            </w:r>
            <w:proofErr w:type="spellEnd"/>
            <w:r w:rsidRPr="001423FC">
              <w:rPr>
                <w:sz w:val="16"/>
                <w:szCs w:val="16"/>
              </w:rPr>
              <w:t xml:space="preserve">  7.x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</w:t>
            </w:r>
            <w:r w:rsidR="00A60C3E">
              <w:rPr>
                <w:sz w:val="16"/>
                <w:szCs w:val="16"/>
              </w:rPr>
              <w:t>2</w:t>
            </w:r>
            <w:r w:rsidRPr="001423FC">
              <w:rPr>
                <w:sz w:val="16"/>
                <w:szCs w:val="16"/>
              </w:rPr>
              <w:t>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84335A">
            <w:pPr>
              <w:ind w:firstLine="460"/>
              <w:rPr>
                <w:b/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Perforce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1010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</w:tr>
      <w:tr w:rsidR="0084335A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84335A" w:rsidRPr="001423FC" w:rsidRDefault="0084335A" w:rsidP="001423FC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HP </w:t>
            </w:r>
            <w:proofErr w:type="spellStart"/>
            <w:r w:rsidRPr="001423FC">
              <w:rPr>
                <w:sz w:val="16"/>
                <w:szCs w:val="16"/>
              </w:rPr>
              <w:t>QualityCent</w:t>
            </w:r>
            <w:r w:rsidR="001423FC">
              <w:rPr>
                <w:sz w:val="16"/>
                <w:szCs w:val="16"/>
              </w:rPr>
              <w:t>er</w:t>
            </w:r>
            <w:proofErr w:type="spellEnd"/>
            <w:r w:rsidRPr="001423FC">
              <w:rPr>
                <w:sz w:val="16"/>
                <w:szCs w:val="16"/>
              </w:rPr>
              <w:t xml:space="preserve">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2010</w:t>
            </w:r>
          </w:p>
        </w:tc>
        <w:tc>
          <w:tcPr>
            <w:tcW w:w="1093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84335A" w:rsidRPr="001423FC" w:rsidRDefault="0084335A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84335A" w:rsidRPr="001423FC" w:rsidRDefault="00D576D7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</w:tr>
      <w:tr w:rsidR="00B14B60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B14B60" w:rsidRPr="001423FC" w:rsidRDefault="00B14B60" w:rsidP="001423FC">
            <w:pPr>
              <w:ind w:firstLine="4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Subversion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 2010</w:t>
            </w:r>
          </w:p>
        </w:tc>
        <w:tc>
          <w:tcPr>
            <w:tcW w:w="1093" w:type="dxa"/>
            <w:vAlign w:val="center"/>
          </w:tcPr>
          <w:p w:rsidR="00B14B60" w:rsidRPr="001423FC" w:rsidRDefault="00B14B60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B14B60" w:rsidRPr="001423FC" w:rsidRDefault="00B14B60" w:rsidP="00CA00D7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945" w:type="dxa"/>
            <w:vAlign w:val="center"/>
          </w:tcPr>
          <w:p w:rsidR="00B14B60" w:rsidRPr="001423FC" w:rsidRDefault="00B14B60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</w:tr>
      <w:tr w:rsidR="007C03C5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7C03C5" w:rsidRPr="001423FC" w:rsidRDefault="007C03C5" w:rsidP="009B554B">
            <w:pPr>
              <w:rPr>
                <w:b/>
                <w:sz w:val="16"/>
                <w:szCs w:val="16"/>
              </w:rPr>
            </w:pPr>
            <w:r w:rsidRPr="001423FC">
              <w:rPr>
                <w:b/>
                <w:sz w:val="16"/>
                <w:szCs w:val="16"/>
              </w:rPr>
              <w:t>Samples</w:t>
            </w:r>
          </w:p>
        </w:tc>
        <w:tc>
          <w:tcPr>
            <w:tcW w:w="1093" w:type="dxa"/>
            <w:vAlign w:val="center"/>
          </w:tcPr>
          <w:p w:rsidR="007C03C5" w:rsidRPr="001423FC" w:rsidRDefault="007C03C5" w:rsidP="009B554B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7C03C5" w:rsidRPr="001423FC" w:rsidRDefault="007C03C5" w:rsidP="009B554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7C03C5" w:rsidRPr="001423FC" w:rsidRDefault="007C03C5" w:rsidP="009B554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C03C5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7C03C5" w:rsidRPr="001423FC" w:rsidRDefault="007C03C5" w:rsidP="00506506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>Share</w:t>
            </w:r>
            <w:r w:rsidR="00506506">
              <w:rPr>
                <w:sz w:val="16"/>
                <w:szCs w:val="16"/>
              </w:rPr>
              <w:t>P</w:t>
            </w:r>
            <w:r w:rsidRPr="001423FC">
              <w:rPr>
                <w:sz w:val="16"/>
                <w:szCs w:val="16"/>
              </w:rPr>
              <w:t xml:space="preserve">oint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</w:t>
            </w:r>
          </w:p>
        </w:tc>
        <w:tc>
          <w:tcPr>
            <w:tcW w:w="1093" w:type="dxa"/>
            <w:vAlign w:val="center"/>
          </w:tcPr>
          <w:p w:rsidR="007C03C5" w:rsidRPr="001423FC" w:rsidRDefault="007C03C5" w:rsidP="009B554B">
            <w:pPr>
              <w:jc w:val="center"/>
              <w:rPr>
                <w:rFonts w:cs="Segoe UI"/>
                <w:sz w:val="16"/>
                <w:szCs w:val="16"/>
              </w:rPr>
            </w:pPr>
            <w:r w:rsidRPr="001423FC">
              <w:rPr>
                <w:rFonts w:cs="Segoe UI"/>
                <w:sz w:val="16"/>
                <w:szCs w:val="16"/>
              </w:rPr>
              <w:t>●</w:t>
            </w:r>
          </w:p>
        </w:tc>
        <w:tc>
          <w:tcPr>
            <w:tcW w:w="1008" w:type="dxa"/>
            <w:vAlign w:val="center"/>
          </w:tcPr>
          <w:p w:rsidR="007C03C5" w:rsidRPr="001423FC" w:rsidRDefault="007C03C5" w:rsidP="009B554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7C03C5" w:rsidRPr="001423FC" w:rsidRDefault="007C03C5" w:rsidP="009B554B">
            <w:pPr>
              <w:jc w:val="center"/>
              <w:rPr>
                <w:sz w:val="16"/>
                <w:szCs w:val="16"/>
              </w:rPr>
            </w:pPr>
          </w:p>
        </w:tc>
      </w:tr>
      <w:tr w:rsidR="007C03C5" w:rsidRPr="001423FC" w:rsidTr="007C03C5">
        <w:trPr>
          <w:trHeight w:val="21"/>
          <w:tblCellSpacing w:w="14" w:type="dxa"/>
        </w:trPr>
        <w:tc>
          <w:tcPr>
            <w:tcW w:w="7597" w:type="dxa"/>
            <w:vAlign w:val="center"/>
          </w:tcPr>
          <w:p w:rsidR="007C03C5" w:rsidRPr="001423FC" w:rsidRDefault="007C03C5" w:rsidP="0084335A">
            <w:pPr>
              <w:ind w:firstLine="460"/>
              <w:rPr>
                <w:sz w:val="16"/>
                <w:szCs w:val="16"/>
              </w:rPr>
            </w:pPr>
            <w:r w:rsidRPr="001423FC">
              <w:rPr>
                <w:sz w:val="16"/>
                <w:szCs w:val="16"/>
              </w:rPr>
              <w:t xml:space="preserve">File </w:t>
            </w:r>
            <w:r w:rsidRPr="001423FC">
              <w:rPr>
                <w:sz w:val="16"/>
                <w:szCs w:val="16"/>
              </w:rPr>
              <w:sym w:font="Wingdings" w:char="F0DF"/>
            </w:r>
            <w:r w:rsidRPr="001423FC">
              <w:rPr>
                <w:sz w:val="16"/>
                <w:szCs w:val="16"/>
              </w:rPr>
              <w:sym w:font="Wingdings" w:char="F0E0"/>
            </w:r>
            <w:r w:rsidRPr="001423FC">
              <w:rPr>
                <w:sz w:val="16"/>
                <w:szCs w:val="16"/>
              </w:rPr>
              <w:t xml:space="preserve"> TFS</w:t>
            </w:r>
          </w:p>
        </w:tc>
        <w:tc>
          <w:tcPr>
            <w:tcW w:w="1093" w:type="dxa"/>
            <w:vAlign w:val="center"/>
          </w:tcPr>
          <w:p w:rsidR="007C03C5" w:rsidRPr="001423FC" w:rsidRDefault="007C03C5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="007C03C5" w:rsidRPr="001423FC" w:rsidRDefault="007C03C5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:rsidR="007C03C5" w:rsidRPr="001423FC" w:rsidRDefault="007C03C5" w:rsidP="00CA00D7">
            <w:pPr>
              <w:jc w:val="center"/>
              <w:rPr>
                <w:rFonts w:cs="Segoe UI"/>
                <w:sz w:val="16"/>
                <w:szCs w:val="16"/>
              </w:rPr>
            </w:pPr>
          </w:p>
        </w:tc>
      </w:tr>
    </w:tbl>
    <w:p w:rsidR="00B92273" w:rsidRPr="001423FC" w:rsidRDefault="00B92273" w:rsidP="00BA7D1F">
      <w:pPr>
        <w:rPr>
          <w:sz w:val="4"/>
        </w:rPr>
      </w:pPr>
    </w:p>
    <w:sectPr w:rsidR="00B92273" w:rsidRPr="001423FC" w:rsidSect="005169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E38" w:rsidRDefault="00171E38" w:rsidP="00416700">
      <w:pPr>
        <w:spacing w:after="0" w:line="240" w:lineRule="auto"/>
      </w:pPr>
      <w:r>
        <w:separator/>
      </w:r>
    </w:p>
  </w:endnote>
  <w:endnote w:type="continuationSeparator" w:id="0">
    <w:p w:rsidR="00171E38" w:rsidRDefault="00171E38" w:rsidP="00416700">
      <w:pPr>
        <w:spacing w:after="0" w:line="240" w:lineRule="auto"/>
      </w:pPr>
      <w:r>
        <w:continuationSeparator/>
      </w:r>
    </w:p>
  </w:endnote>
  <w:endnote w:id="1">
    <w:p w:rsidR="00C6279B" w:rsidRDefault="00C6279B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6279B">
        <w:t>http://go.microsoft.com/fwlink/?LinkId=193029&amp;clcid=0x409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E6" w:rsidRDefault="001B16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E6" w:rsidRDefault="001B16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E6" w:rsidRDefault="001B1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E38" w:rsidRDefault="00171E38" w:rsidP="00416700">
      <w:pPr>
        <w:spacing w:after="0" w:line="240" w:lineRule="auto"/>
      </w:pPr>
      <w:r>
        <w:separator/>
      </w:r>
    </w:p>
  </w:footnote>
  <w:footnote w:type="continuationSeparator" w:id="0">
    <w:p w:rsidR="00171E38" w:rsidRDefault="00171E38" w:rsidP="00416700">
      <w:pPr>
        <w:spacing w:after="0" w:line="240" w:lineRule="auto"/>
      </w:pPr>
      <w:r>
        <w:continuationSeparator/>
      </w:r>
    </w:p>
  </w:footnote>
  <w:footnote w:id="1">
    <w:p w:rsidR="007C03C5" w:rsidRDefault="007C03C5">
      <w:pPr>
        <w:pStyle w:val="FootnoteText"/>
      </w:pPr>
      <w:r>
        <w:rPr>
          <w:rStyle w:val="FootnoteReference"/>
        </w:rPr>
        <w:footnoteRef/>
      </w:r>
      <w:r>
        <w:t xml:space="preserve"> Art</w:t>
      </w:r>
      <w:r w:rsidR="00EF66EA">
        <w:t>i</w:t>
      </w:r>
      <w:r>
        <w:t>facts currently include Version Control and Work Item data.</w:t>
      </w:r>
    </w:p>
  </w:footnote>
  <w:footnote w:id="2">
    <w:p w:rsidR="00A1309A" w:rsidRDefault="00A1309A" w:rsidP="00A1309A">
      <w:pPr>
        <w:pStyle w:val="FootnoteText"/>
      </w:pPr>
      <w:r>
        <w:rPr>
          <w:rStyle w:val="FootnoteReference"/>
        </w:rPr>
        <w:footnoteRef/>
      </w:r>
      <w:r>
        <w:t xml:space="preserve"> No delivery schedules for planned feature support are available at this stage.</w:t>
      </w:r>
    </w:p>
  </w:footnote>
  <w:footnote w:id="3">
    <w:p w:rsidR="00C6279B" w:rsidRDefault="00C6279B">
      <w:pPr>
        <w:pStyle w:val="FootnoteText"/>
      </w:pPr>
      <w:r>
        <w:rPr>
          <w:rStyle w:val="FootnoteReference"/>
        </w:rPr>
        <w:footnoteRef/>
      </w:r>
      <w:r>
        <w:t xml:space="preserve"> An in-place upgrade is the recommended strategy to migrate from TFS 2005 to TFS 2008.</w:t>
      </w:r>
    </w:p>
  </w:footnote>
  <w:footnote w:id="4">
    <w:p w:rsidR="00C6279B" w:rsidRDefault="00C6279B">
      <w:pPr>
        <w:pStyle w:val="FootnoteText"/>
      </w:pPr>
      <w:r>
        <w:rPr>
          <w:rStyle w:val="FootnoteReference"/>
        </w:rPr>
        <w:footnoteRef/>
      </w:r>
      <w:r>
        <w:t xml:space="preserve"> An in-place upgrade is the recommended strategy to migrate from TFS 2008 to TFS 2010.</w:t>
      </w:r>
    </w:p>
    <w:p w:rsidR="00373BA6" w:rsidRDefault="00373BA6">
      <w:pPr>
        <w:pStyle w:val="FootnoteText"/>
      </w:pPr>
      <w:r w:rsidRPr="00373BA6">
        <w:t>This material is provided for informational purposes only. Microsoft makes no warranties, express or implied.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E6" w:rsidRDefault="001B16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E6" w:rsidRDefault="001B16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6E6" w:rsidRDefault="001B1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73"/>
    <w:rsid w:val="00002C64"/>
    <w:rsid w:val="00024C58"/>
    <w:rsid w:val="00025896"/>
    <w:rsid w:val="00030751"/>
    <w:rsid w:val="0003100C"/>
    <w:rsid w:val="000328D6"/>
    <w:rsid w:val="00032F7A"/>
    <w:rsid w:val="000465BD"/>
    <w:rsid w:val="00062959"/>
    <w:rsid w:val="000634D9"/>
    <w:rsid w:val="00066CA1"/>
    <w:rsid w:val="000674A7"/>
    <w:rsid w:val="00071697"/>
    <w:rsid w:val="0007473F"/>
    <w:rsid w:val="000868F9"/>
    <w:rsid w:val="00086CE0"/>
    <w:rsid w:val="00087797"/>
    <w:rsid w:val="00087987"/>
    <w:rsid w:val="00087FB1"/>
    <w:rsid w:val="00093C27"/>
    <w:rsid w:val="00095BCD"/>
    <w:rsid w:val="000A3130"/>
    <w:rsid w:val="000B2E9B"/>
    <w:rsid w:val="000B5F1D"/>
    <w:rsid w:val="000C0160"/>
    <w:rsid w:val="000C6446"/>
    <w:rsid w:val="000D342F"/>
    <w:rsid w:val="000D7BD9"/>
    <w:rsid w:val="000E5674"/>
    <w:rsid w:val="001074AA"/>
    <w:rsid w:val="0011243E"/>
    <w:rsid w:val="001402EF"/>
    <w:rsid w:val="00140413"/>
    <w:rsid w:val="001423FC"/>
    <w:rsid w:val="00144C57"/>
    <w:rsid w:val="00164C86"/>
    <w:rsid w:val="00170439"/>
    <w:rsid w:val="00171E38"/>
    <w:rsid w:val="00175DD2"/>
    <w:rsid w:val="001812A7"/>
    <w:rsid w:val="00182A41"/>
    <w:rsid w:val="00184D23"/>
    <w:rsid w:val="001914E6"/>
    <w:rsid w:val="00192EAA"/>
    <w:rsid w:val="001A0D99"/>
    <w:rsid w:val="001A576D"/>
    <w:rsid w:val="001A6AA2"/>
    <w:rsid w:val="001B0EF6"/>
    <w:rsid w:val="001B16E6"/>
    <w:rsid w:val="001B22D2"/>
    <w:rsid w:val="001D774C"/>
    <w:rsid w:val="001E032B"/>
    <w:rsid w:val="001E5C11"/>
    <w:rsid w:val="001E5F6F"/>
    <w:rsid w:val="001F0605"/>
    <w:rsid w:val="001F2B8E"/>
    <w:rsid w:val="001F31BB"/>
    <w:rsid w:val="001F7938"/>
    <w:rsid w:val="00217CEB"/>
    <w:rsid w:val="00225119"/>
    <w:rsid w:val="002271BC"/>
    <w:rsid w:val="002310BE"/>
    <w:rsid w:val="0023376A"/>
    <w:rsid w:val="002414E4"/>
    <w:rsid w:val="00243E2C"/>
    <w:rsid w:val="00250F5E"/>
    <w:rsid w:val="00251356"/>
    <w:rsid w:val="002547D6"/>
    <w:rsid w:val="00260A1A"/>
    <w:rsid w:val="002726B8"/>
    <w:rsid w:val="002935AE"/>
    <w:rsid w:val="0029579D"/>
    <w:rsid w:val="00296D21"/>
    <w:rsid w:val="002A37FE"/>
    <w:rsid w:val="002A411C"/>
    <w:rsid w:val="002A5C9D"/>
    <w:rsid w:val="002B33F8"/>
    <w:rsid w:val="002C236D"/>
    <w:rsid w:val="002D03E1"/>
    <w:rsid w:val="002D1A10"/>
    <w:rsid w:val="002D50FF"/>
    <w:rsid w:val="002D60F9"/>
    <w:rsid w:val="002E32BE"/>
    <w:rsid w:val="002E4472"/>
    <w:rsid w:val="002E7717"/>
    <w:rsid w:val="0030049E"/>
    <w:rsid w:val="003015A2"/>
    <w:rsid w:val="00302A96"/>
    <w:rsid w:val="00303D39"/>
    <w:rsid w:val="003042F4"/>
    <w:rsid w:val="003079DB"/>
    <w:rsid w:val="0031523E"/>
    <w:rsid w:val="00316052"/>
    <w:rsid w:val="003249C5"/>
    <w:rsid w:val="00330D7D"/>
    <w:rsid w:val="0033420E"/>
    <w:rsid w:val="00336EF9"/>
    <w:rsid w:val="0033771D"/>
    <w:rsid w:val="00342A33"/>
    <w:rsid w:val="003451CA"/>
    <w:rsid w:val="003476AF"/>
    <w:rsid w:val="00354360"/>
    <w:rsid w:val="0035588C"/>
    <w:rsid w:val="00373BA6"/>
    <w:rsid w:val="00374930"/>
    <w:rsid w:val="00382A93"/>
    <w:rsid w:val="00384AB3"/>
    <w:rsid w:val="00387AED"/>
    <w:rsid w:val="00396122"/>
    <w:rsid w:val="003A43D8"/>
    <w:rsid w:val="003A57D5"/>
    <w:rsid w:val="003C1274"/>
    <w:rsid w:val="003C2542"/>
    <w:rsid w:val="003C6200"/>
    <w:rsid w:val="003D17FC"/>
    <w:rsid w:val="003D21A6"/>
    <w:rsid w:val="003D5A6A"/>
    <w:rsid w:val="003E38D2"/>
    <w:rsid w:val="003E3D49"/>
    <w:rsid w:val="003E47C5"/>
    <w:rsid w:val="003F3DD2"/>
    <w:rsid w:val="003F4529"/>
    <w:rsid w:val="003F7AFC"/>
    <w:rsid w:val="004061EE"/>
    <w:rsid w:val="004109A4"/>
    <w:rsid w:val="00416700"/>
    <w:rsid w:val="00416D6F"/>
    <w:rsid w:val="00434839"/>
    <w:rsid w:val="00436D1F"/>
    <w:rsid w:val="00445B69"/>
    <w:rsid w:val="00445F8A"/>
    <w:rsid w:val="00446435"/>
    <w:rsid w:val="00446A22"/>
    <w:rsid w:val="004559C6"/>
    <w:rsid w:val="00464DE1"/>
    <w:rsid w:val="0049628A"/>
    <w:rsid w:val="004A03C4"/>
    <w:rsid w:val="004A5C99"/>
    <w:rsid w:val="004A705F"/>
    <w:rsid w:val="004A759F"/>
    <w:rsid w:val="004B00A0"/>
    <w:rsid w:val="004C19F7"/>
    <w:rsid w:val="004C36A8"/>
    <w:rsid w:val="004D3EEE"/>
    <w:rsid w:val="004F1E70"/>
    <w:rsid w:val="004F24EA"/>
    <w:rsid w:val="004F2786"/>
    <w:rsid w:val="004F3778"/>
    <w:rsid w:val="00501AE9"/>
    <w:rsid w:val="00506506"/>
    <w:rsid w:val="00515744"/>
    <w:rsid w:val="0051697F"/>
    <w:rsid w:val="0052193E"/>
    <w:rsid w:val="00526516"/>
    <w:rsid w:val="0053128C"/>
    <w:rsid w:val="005333AC"/>
    <w:rsid w:val="00534824"/>
    <w:rsid w:val="00546C00"/>
    <w:rsid w:val="00563568"/>
    <w:rsid w:val="00580107"/>
    <w:rsid w:val="005933A8"/>
    <w:rsid w:val="00594685"/>
    <w:rsid w:val="00597484"/>
    <w:rsid w:val="005A1D3D"/>
    <w:rsid w:val="005A6626"/>
    <w:rsid w:val="005A7BC5"/>
    <w:rsid w:val="005B60B8"/>
    <w:rsid w:val="005B6478"/>
    <w:rsid w:val="005B7085"/>
    <w:rsid w:val="005C7DE0"/>
    <w:rsid w:val="005C7EAC"/>
    <w:rsid w:val="005D030B"/>
    <w:rsid w:val="005D742A"/>
    <w:rsid w:val="005E342E"/>
    <w:rsid w:val="005E3622"/>
    <w:rsid w:val="005E4FCD"/>
    <w:rsid w:val="005E743C"/>
    <w:rsid w:val="005F266D"/>
    <w:rsid w:val="005F66FA"/>
    <w:rsid w:val="00600F00"/>
    <w:rsid w:val="006103C0"/>
    <w:rsid w:val="006138D6"/>
    <w:rsid w:val="00615389"/>
    <w:rsid w:val="006156B6"/>
    <w:rsid w:val="006175B9"/>
    <w:rsid w:val="00632CD3"/>
    <w:rsid w:val="00634692"/>
    <w:rsid w:val="00634B86"/>
    <w:rsid w:val="00641DFE"/>
    <w:rsid w:val="00644F9A"/>
    <w:rsid w:val="00676FC7"/>
    <w:rsid w:val="0068681C"/>
    <w:rsid w:val="00686F6E"/>
    <w:rsid w:val="00693608"/>
    <w:rsid w:val="006A7957"/>
    <w:rsid w:val="006D34B5"/>
    <w:rsid w:val="006D43E5"/>
    <w:rsid w:val="006D6540"/>
    <w:rsid w:val="006D6B06"/>
    <w:rsid w:val="006F2FCC"/>
    <w:rsid w:val="006F3A4F"/>
    <w:rsid w:val="006F3D06"/>
    <w:rsid w:val="00700C86"/>
    <w:rsid w:val="007020F7"/>
    <w:rsid w:val="007138A0"/>
    <w:rsid w:val="007151C1"/>
    <w:rsid w:val="00720825"/>
    <w:rsid w:val="00732E93"/>
    <w:rsid w:val="00741270"/>
    <w:rsid w:val="00741A70"/>
    <w:rsid w:val="00741DAB"/>
    <w:rsid w:val="00753FAD"/>
    <w:rsid w:val="007568F2"/>
    <w:rsid w:val="00765F62"/>
    <w:rsid w:val="00767338"/>
    <w:rsid w:val="00770B6E"/>
    <w:rsid w:val="007711F3"/>
    <w:rsid w:val="00787E57"/>
    <w:rsid w:val="007936A0"/>
    <w:rsid w:val="007A446E"/>
    <w:rsid w:val="007B28A1"/>
    <w:rsid w:val="007C03C5"/>
    <w:rsid w:val="007C1277"/>
    <w:rsid w:val="007C1C54"/>
    <w:rsid w:val="007C3557"/>
    <w:rsid w:val="007C4A17"/>
    <w:rsid w:val="007C6FB5"/>
    <w:rsid w:val="007D1484"/>
    <w:rsid w:val="007E2F9A"/>
    <w:rsid w:val="007E6F5E"/>
    <w:rsid w:val="00810951"/>
    <w:rsid w:val="00832A90"/>
    <w:rsid w:val="00836078"/>
    <w:rsid w:val="0084335A"/>
    <w:rsid w:val="00845897"/>
    <w:rsid w:val="008473A0"/>
    <w:rsid w:val="00847904"/>
    <w:rsid w:val="00851B6F"/>
    <w:rsid w:val="008601EC"/>
    <w:rsid w:val="0086499B"/>
    <w:rsid w:val="00872116"/>
    <w:rsid w:val="008731EB"/>
    <w:rsid w:val="00875226"/>
    <w:rsid w:val="008777C7"/>
    <w:rsid w:val="0088062F"/>
    <w:rsid w:val="008852F5"/>
    <w:rsid w:val="00885810"/>
    <w:rsid w:val="00885ED9"/>
    <w:rsid w:val="00893033"/>
    <w:rsid w:val="00896F8B"/>
    <w:rsid w:val="008A02EE"/>
    <w:rsid w:val="008A397E"/>
    <w:rsid w:val="008A6985"/>
    <w:rsid w:val="008C0331"/>
    <w:rsid w:val="008C1FD1"/>
    <w:rsid w:val="008C2F67"/>
    <w:rsid w:val="008C509D"/>
    <w:rsid w:val="008C573A"/>
    <w:rsid w:val="008D07C4"/>
    <w:rsid w:val="008D3B77"/>
    <w:rsid w:val="008E2BB5"/>
    <w:rsid w:val="008E2DBC"/>
    <w:rsid w:val="008F63E9"/>
    <w:rsid w:val="008F7526"/>
    <w:rsid w:val="0090219A"/>
    <w:rsid w:val="00904AB8"/>
    <w:rsid w:val="00910BBB"/>
    <w:rsid w:val="00913C8E"/>
    <w:rsid w:val="00916A53"/>
    <w:rsid w:val="00920C4F"/>
    <w:rsid w:val="00924A06"/>
    <w:rsid w:val="00924D67"/>
    <w:rsid w:val="00930E53"/>
    <w:rsid w:val="00943D93"/>
    <w:rsid w:val="00954ABF"/>
    <w:rsid w:val="009559B5"/>
    <w:rsid w:val="00956462"/>
    <w:rsid w:val="00962014"/>
    <w:rsid w:val="0097337B"/>
    <w:rsid w:val="00977C4E"/>
    <w:rsid w:val="00984B0E"/>
    <w:rsid w:val="00987127"/>
    <w:rsid w:val="0099685F"/>
    <w:rsid w:val="009A0567"/>
    <w:rsid w:val="009A188C"/>
    <w:rsid w:val="009A6AED"/>
    <w:rsid w:val="009B210D"/>
    <w:rsid w:val="009B3323"/>
    <w:rsid w:val="009B54EC"/>
    <w:rsid w:val="009C413C"/>
    <w:rsid w:val="009C71C1"/>
    <w:rsid w:val="009D3A20"/>
    <w:rsid w:val="009D6120"/>
    <w:rsid w:val="009E423C"/>
    <w:rsid w:val="009F43A2"/>
    <w:rsid w:val="00A01F7D"/>
    <w:rsid w:val="00A1309A"/>
    <w:rsid w:val="00A23B65"/>
    <w:rsid w:val="00A27194"/>
    <w:rsid w:val="00A3679C"/>
    <w:rsid w:val="00A418D3"/>
    <w:rsid w:val="00A44CA9"/>
    <w:rsid w:val="00A5278D"/>
    <w:rsid w:val="00A542AA"/>
    <w:rsid w:val="00A60C3E"/>
    <w:rsid w:val="00A61BC2"/>
    <w:rsid w:val="00A61D24"/>
    <w:rsid w:val="00A62426"/>
    <w:rsid w:val="00A6381F"/>
    <w:rsid w:val="00A669C0"/>
    <w:rsid w:val="00A7328E"/>
    <w:rsid w:val="00A75269"/>
    <w:rsid w:val="00A937B5"/>
    <w:rsid w:val="00A95E08"/>
    <w:rsid w:val="00AA056B"/>
    <w:rsid w:val="00AB6CE5"/>
    <w:rsid w:val="00AD01DE"/>
    <w:rsid w:val="00AD1676"/>
    <w:rsid w:val="00AD1E31"/>
    <w:rsid w:val="00AD2974"/>
    <w:rsid w:val="00AE358A"/>
    <w:rsid w:val="00AE4EA6"/>
    <w:rsid w:val="00AF2684"/>
    <w:rsid w:val="00AF6BCF"/>
    <w:rsid w:val="00B05B24"/>
    <w:rsid w:val="00B14B60"/>
    <w:rsid w:val="00B21638"/>
    <w:rsid w:val="00B2443A"/>
    <w:rsid w:val="00B43AA1"/>
    <w:rsid w:val="00B44D7C"/>
    <w:rsid w:val="00B469FB"/>
    <w:rsid w:val="00B47234"/>
    <w:rsid w:val="00B47F03"/>
    <w:rsid w:val="00B506CB"/>
    <w:rsid w:val="00B607DE"/>
    <w:rsid w:val="00B61410"/>
    <w:rsid w:val="00B63F1D"/>
    <w:rsid w:val="00B66103"/>
    <w:rsid w:val="00B676CA"/>
    <w:rsid w:val="00B749D1"/>
    <w:rsid w:val="00B75EFF"/>
    <w:rsid w:val="00B7737F"/>
    <w:rsid w:val="00B81A92"/>
    <w:rsid w:val="00B835B9"/>
    <w:rsid w:val="00B86E67"/>
    <w:rsid w:val="00B918AF"/>
    <w:rsid w:val="00B92273"/>
    <w:rsid w:val="00B95151"/>
    <w:rsid w:val="00BA0897"/>
    <w:rsid w:val="00BA212B"/>
    <w:rsid w:val="00BA2336"/>
    <w:rsid w:val="00BA2D79"/>
    <w:rsid w:val="00BA32BE"/>
    <w:rsid w:val="00BA7D1F"/>
    <w:rsid w:val="00BB1160"/>
    <w:rsid w:val="00BB57EF"/>
    <w:rsid w:val="00BB58AD"/>
    <w:rsid w:val="00BD192C"/>
    <w:rsid w:val="00BD4A66"/>
    <w:rsid w:val="00BE2D9A"/>
    <w:rsid w:val="00BF2D12"/>
    <w:rsid w:val="00C01C30"/>
    <w:rsid w:val="00C02E05"/>
    <w:rsid w:val="00C03904"/>
    <w:rsid w:val="00C050D9"/>
    <w:rsid w:val="00C065CF"/>
    <w:rsid w:val="00C10DCB"/>
    <w:rsid w:val="00C13110"/>
    <w:rsid w:val="00C14FF2"/>
    <w:rsid w:val="00C2092B"/>
    <w:rsid w:val="00C32C32"/>
    <w:rsid w:val="00C53BB1"/>
    <w:rsid w:val="00C60B41"/>
    <w:rsid w:val="00C6279B"/>
    <w:rsid w:val="00C720BD"/>
    <w:rsid w:val="00C72DAD"/>
    <w:rsid w:val="00C84850"/>
    <w:rsid w:val="00C85D71"/>
    <w:rsid w:val="00C8787A"/>
    <w:rsid w:val="00C917C5"/>
    <w:rsid w:val="00C92E7B"/>
    <w:rsid w:val="00CA00D7"/>
    <w:rsid w:val="00CB15DC"/>
    <w:rsid w:val="00CB6782"/>
    <w:rsid w:val="00CB6F6A"/>
    <w:rsid w:val="00CB7C8D"/>
    <w:rsid w:val="00CC05B4"/>
    <w:rsid w:val="00CC31D5"/>
    <w:rsid w:val="00CE0512"/>
    <w:rsid w:val="00D034D4"/>
    <w:rsid w:val="00D12A7F"/>
    <w:rsid w:val="00D22803"/>
    <w:rsid w:val="00D3203D"/>
    <w:rsid w:val="00D34085"/>
    <w:rsid w:val="00D342AC"/>
    <w:rsid w:val="00D349CC"/>
    <w:rsid w:val="00D37494"/>
    <w:rsid w:val="00D4005F"/>
    <w:rsid w:val="00D520E0"/>
    <w:rsid w:val="00D55611"/>
    <w:rsid w:val="00D576D7"/>
    <w:rsid w:val="00D63A03"/>
    <w:rsid w:val="00D6443F"/>
    <w:rsid w:val="00D758E7"/>
    <w:rsid w:val="00D90C6E"/>
    <w:rsid w:val="00D91D08"/>
    <w:rsid w:val="00DA0CE3"/>
    <w:rsid w:val="00DA304A"/>
    <w:rsid w:val="00DA376F"/>
    <w:rsid w:val="00DA48E2"/>
    <w:rsid w:val="00DB22FD"/>
    <w:rsid w:val="00DB44AB"/>
    <w:rsid w:val="00DB6BE6"/>
    <w:rsid w:val="00DB71EC"/>
    <w:rsid w:val="00DB7204"/>
    <w:rsid w:val="00DD14D3"/>
    <w:rsid w:val="00DE197A"/>
    <w:rsid w:val="00DE2CB4"/>
    <w:rsid w:val="00DE7B82"/>
    <w:rsid w:val="00DF4A4C"/>
    <w:rsid w:val="00E036AC"/>
    <w:rsid w:val="00E12784"/>
    <w:rsid w:val="00E12E2D"/>
    <w:rsid w:val="00E17AD7"/>
    <w:rsid w:val="00E17C12"/>
    <w:rsid w:val="00E21157"/>
    <w:rsid w:val="00E21D96"/>
    <w:rsid w:val="00E21E90"/>
    <w:rsid w:val="00E3312A"/>
    <w:rsid w:val="00E406C6"/>
    <w:rsid w:val="00E47355"/>
    <w:rsid w:val="00E4740A"/>
    <w:rsid w:val="00E53567"/>
    <w:rsid w:val="00E538FB"/>
    <w:rsid w:val="00E62801"/>
    <w:rsid w:val="00E64341"/>
    <w:rsid w:val="00E666DD"/>
    <w:rsid w:val="00E6722A"/>
    <w:rsid w:val="00E72C0F"/>
    <w:rsid w:val="00EA1999"/>
    <w:rsid w:val="00EA2DFD"/>
    <w:rsid w:val="00EC5995"/>
    <w:rsid w:val="00EC5C88"/>
    <w:rsid w:val="00EC6DDE"/>
    <w:rsid w:val="00ED6464"/>
    <w:rsid w:val="00ED6778"/>
    <w:rsid w:val="00EE3A01"/>
    <w:rsid w:val="00EF149F"/>
    <w:rsid w:val="00EF66EA"/>
    <w:rsid w:val="00EF78EB"/>
    <w:rsid w:val="00F01F99"/>
    <w:rsid w:val="00F0452B"/>
    <w:rsid w:val="00F1076D"/>
    <w:rsid w:val="00F11C8C"/>
    <w:rsid w:val="00F128C0"/>
    <w:rsid w:val="00F15D8C"/>
    <w:rsid w:val="00F23D51"/>
    <w:rsid w:val="00F2410A"/>
    <w:rsid w:val="00F334FE"/>
    <w:rsid w:val="00F34658"/>
    <w:rsid w:val="00F347AC"/>
    <w:rsid w:val="00F34FA0"/>
    <w:rsid w:val="00F37EF5"/>
    <w:rsid w:val="00F4499B"/>
    <w:rsid w:val="00F45223"/>
    <w:rsid w:val="00F57FCC"/>
    <w:rsid w:val="00F62498"/>
    <w:rsid w:val="00F675F9"/>
    <w:rsid w:val="00F70F7B"/>
    <w:rsid w:val="00F815F3"/>
    <w:rsid w:val="00F933DC"/>
    <w:rsid w:val="00F942E9"/>
    <w:rsid w:val="00F968F3"/>
    <w:rsid w:val="00FA1CD2"/>
    <w:rsid w:val="00FA3B3D"/>
    <w:rsid w:val="00FA6A9D"/>
    <w:rsid w:val="00FB38D3"/>
    <w:rsid w:val="00FB43E0"/>
    <w:rsid w:val="00FB7E67"/>
    <w:rsid w:val="00FB7FEB"/>
    <w:rsid w:val="00FC2D4A"/>
    <w:rsid w:val="00FC4B07"/>
    <w:rsid w:val="00FC6455"/>
    <w:rsid w:val="00FD295E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08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8D2"/>
    <w:pPr>
      <w:keepNext/>
      <w:keepLines/>
      <w:spacing w:before="480" w:after="0"/>
      <w:outlineLvl w:val="0"/>
    </w:pPr>
    <w:rPr>
      <w:rFonts w:eastAsiaTheme="majorEastAsia" w:cstheme="majorBidi"/>
      <w:bCs/>
      <w:color w:val="17365D" w:themeColor="text2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0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E0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ystem Requirements"/>
    <w:basedOn w:val="TableList4"/>
    <w:uiPriority w:val="59"/>
    <w:rsid w:val="00A95E08"/>
    <w:pPr>
      <w:spacing w:after="0" w:line="240" w:lineRule="auto"/>
    </w:pPr>
    <w:tblPr>
      <w:tblCellSpacing w:w="5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72" w:type="dxa"/>
        <w:left w:w="101" w:type="dxa"/>
        <w:bottom w:w="72" w:type="dxa"/>
        <w:right w:w="101" w:type="dxa"/>
      </w:tblCellMar>
    </w:tblPr>
    <w:trPr>
      <w:tblCellSpacing w:w="50" w:type="dxa"/>
    </w:trPr>
    <w:tcPr>
      <w:shd w:val="clear" w:color="auto" w:fill="F2F2F2" w:themeFill="background1" w:themeFillShade="F2"/>
    </w:tcPr>
    <w:tblStylePr w:type="firstRow">
      <w:pPr>
        <w:jc w:val="left"/>
      </w:pPr>
      <w:rPr>
        <w:rFonts w:asciiTheme="minorHAnsi" w:hAnsiTheme="minorHAnsi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  <w:vAlign w:val="bottom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E38D2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8D2"/>
    <w:rPr>
      <w:rFonts w:ascii="Segoe UI" w:eastAsiaTheme="majorEastAsia" w:hAnsi="Segoe UI" w:cstheme="majorBidi"/>
      <w:color w:val="17365D" w:themeColor="text2" w:themeShade="BF"/>
      <w:spacing w:val="5"/>
      <w:kern w:val="28"/>
      <w:sz w:val="56"/>
      <w:szCs w:val="52"/>
    </w:rPr>
  </w:style>
  <w:style w:type="table" w:styleId="TableList4">
    <w:name w:val="Table List 4"/>
    <w:basedOn w:val="TableNormal"/>
    <w:uiPriority w:val="99"/>
    <w:semiHidden/>
    <w:unhideWhenUsed/>
    <w:rsid w:val="00B9227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38D2"/>
    <w:rPr>
      <w:rFonts w:ascii="Segoe UI" w:eastAsiaTheme="majorEastAsia" w:hAnsi="Segoe UI" w:cstheme="majorBidi"/>
      <w:bCs/>
      <w:color w:val="17365D" w:themeColor="text2" w:themeShade="BF"/>
      <w:sz w:val="36"/>
      <w:szCs w:val="28"/>
    </w:rPr>
  </w:style>
  <w:style w:type="character" w:styleId="SubtleEmphasis">
    <w:name w:val="Subtle Emphasis"/>
    <w:basedOn w:val="DefaultParagraphFont"/>
    <w:uiPriority w:val="19"/>
    <w:qFormat/>
    <w:rsid w:val="003E38D2"/>
    <w:rPr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E38D2"/>
    <w:rPr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E08"/>
    <w:rPr>
      <w:rFonts w:ascii="Segoe UI" w:eastAsiaTheme="majorEastAsia" w:hAnsi="Segoe U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E08"/>
    <w:rPr>
      <w:rFonts w:ascii="Segoe UI" w:eastAsiaTheme="majorEastAsia" w:hAnsi="Segoe U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5B69"/>
    <w:rPr>
      <w:color w:val="808080"/>
    </w:rPr>
  </w:style>
  <w:style w:type="table" w:customStyle="1" w:styleId="SystemRequirements1">
    <w:name w:val="System Requirements1"/>
    <w:basedOn w:val="TableList4"/>
    <w:next w:val="TableGrid"/>
    <w:uiPriority w:val="59"/>
    <w:rsid w:val="00885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SystemRequirements2">
    <w:name w:val="System Requirements2"/>
    <w:basedOn w:val="TableList4"/>
    <w:next w:val="TableGrid"/>
    <w:uiPriority w:val="59"/>
    <w:rsid w:val="00885ED9"/>
    <w:pPr>
      <w:spacing w:after="0" w:line="240" w:lineRule="auto"/>
    </w:pPr>
    <w:tblPr>
      <w:tblCellSpacing w:w="5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72" w:type="dxa"/>
        <w:left w:w="101" w:type="dxa"/>
        <w:bottom w:w="72" w:type="dxa"/>
        <w:right w:w="101" w:type="dxa"/>
      </w:tblCellMar>
    </w:tblPr>
    <w:trPr>
      <w:tblCellSpacing w:w="50" w:type="dxa"/>
    </w:trPr>
    <w:tcPr>
      <w:shd w:val="clear" w:color="auto" w:fill="F2F2F2" w:themeFill="background1" w:themeFillShade="F2"/>
    </w:tcPr>
    <w:tblStylePr w:type="firstRow">
      <w:pPr>
        <w:jc w:val="left"/>
      </w:pPr>
      <w:rPr>
        <w:rFonts w:asciiTheme="minorHAnsi" w:hAnsiTheme="minorHAnsi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E4740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7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700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670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C12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17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7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7FC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7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7FC"/>
    <w:rPr>
      <w:rFonts w:ascii="Segoe UI" w:hAnsi="Segoe UI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7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79B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7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E6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B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E6"/>
    <w:rPr>
      <w:rFonts w:ascii="Segoe UI" w:hAnsi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08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8D2"/>
    <w:pPr>
      <w:keepNext/>
      <w:keepLines/>
      <w:spacing w:before="480" w:after="0"/>
      <w:outlineLvl w:val="0"/>
    </w:pPr>
    <w:rPr>
      <w:rFonts w:eastAsiaTheme="majorEastAsia" w:cstheme="majorBidi"/>
      <w:bCs/>
      <w:color w:val="17365D" w:themeColor="text2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0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E0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ystem Requirements"/>
    <w:basedOn w:val="TableList4"/>
    <w:uiPriority w:val="59"/>
    <w:rsid w:val="00A95E08"/>
    <w:pPr>
      <w:spacing w:after="0" w:line="240" w:lineRule="auto"/>
    </w:pPr>
    <w:tblPr>
      <w:tblCellSpacing w:w="5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72" w:type="dxa"/>
        <w:left w:w="101" w:type="dxa"/>
        <w:bottom w:w="72" w:type="dxa"/>
        <w:right w:w="101" w:type="dxa"/>
      </w:tblCellMar>
    </w:tblPr>
    <w:trPr>
      <w:tblCellSpacing w:w="50" w:type="dxa"/>
    </w:trPr>
    <w:tcPr>
      <w:shd w:val="clear" w:color="auto" w:fill="F2F2F2" w:themeFill="background1" w:themeFillShade="F2"/>
    </w:tcPr>
    <w:tblStylePr w:type="firstRow">
      <w:pPr>
        <w:jc w:val="left"/>
      </w:pPr>
      <w:rPr>
        <w:rFonts w:asciiTheme="minorHAnsi" w:hAnsiTheme="minorHAnsi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  <w:vAlign w:val="bottom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E38D2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8D2"/>
    <w:rPr>
      <w:rFonts w:ascii="Segoe UI" w:eastAsiaTheme="majorEastAsia" w:hAnsi="Segoe UI" w:cstheme="majorBidi"/>
      <w:color w:val="17365D" w:themeColor="text2" w:themeShade="BF"/>
      <w:spacing w:val="5"/>
      <w:kern w:val="28"/>
      <w:sz w:val="56"/>
      <w:szCs w:val="52"/>
    </w:rPr>
  </w:style>
  <w:style w:type="table" w:styleId="TableList4">
    <w:name w:val="Table List 4"/>
    <w:basedOn w:val="TableNormal"/>
    <w:uiPriority w:val="99"/>
    <w:semiHidden/>
    <w:unhideWhenUsed/>
    <w:rsid w:val="00B9227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38D2"/>
    <w:rPr>
      <w:rFonts w:ascii="Segoe UI" w:eastAsiaTheme="majorEastAsia" w:hAnsi="Segoe UI" w:cstheme="majorBidi"/>
      <w:bCs/>
      <w:color w:val="17365D" w:themeColor="text2" w:themeShade="BF"/>
      <w:sz w:val="36"/>
      <w:szCs w:val="28"/>
    </w:rPr>
  </w:style>
  <w:style w:type="character" w:styleId="SubtleEmphasis">
    <w:name w:val="Subtle Emphasis"/>
    <w:basedOn w:val="DefaultParagraphFont"/>
    <w:uiPriority w:val="19"/>
    <w:qFormat/>
    <w:rsid w:val="003E38D2"/>
    <w:rPr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E38D2"/>
    <w:rPr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E08"/>
    <w:rPr>
      <w:rFonts w:ascii="Segoe UI" w:eastAsiaTheme="majorEastAsia" w:hAnsi="Segoe U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E08"/>
    <w:rPr>
      <w:rFonts w:ascii="Segoe UI" w:eastAsiaTheme="majorEastAsia" w:hAnsi="Segoe U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5B69"/>
    <w:rPr>
      <w:color w:val="808080"/>
    </w:rPr>
  </w:style>
  <w:style w:type="table" w:customStyle="1" w:styleId="SystemRequirements1">
    <w:name w:val="System Requirements1"/>
    <w:basedOn w:val="TableList4"/>
    <w:next w:val="TableGrid"/>
    <w:uiPriority w:val="59"/>
    <w:rsid w:val="00885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SystemRequirements2">
    <w:name w:val="System Requirements2"/>
    <w:basedOn w:val="TableList4"/>
    <w:next w:val="TableGrid"/>
    <w:uiPriority w:val="59"/>
    <w:rsid w:val="00885ED9"/>
    <w:pPr>
      <w:spacing w:after="0" w:line="240" w:lineRule="auto"/>
    </w:pPr>
    <w:tblPr>
      <w:tblCellSpacing w:w="5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72" w:type="dxa"/>
        <w:left w:w="101" w:type="dxa"/>
        <w:bottom w:w="72" w:type="dxa"/>
        <w:right w:w="101" w:type="dxa"/>
      </w:tblCellMar>
    </w:tblPr>
    <w:trPr>
      <w:tblCellSpacing w:w="50" w:type="dxa"/>
    </w:trPr>
    <w:tcPr>
      <w:shd w:val="clear" w:color="auto" w:fill="F2F2F2" w:themeFill="background1" w:themeFillShade="F2"/>
    </w:tcPr>
    <w:tblStylePr w:type="firstRow">
      <w:pPr>
        <w:jc w:val="left"/>
      </w:pPr>
      <w:rPr>
        <w:rFonts w:asciiTheme="minorHAnsi" w:hAnsiTheme="minorHAnsi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E4740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7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700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670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C12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17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7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7FC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7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7FC"/>
    <w:rPr>
      <w:rFonts w:ascii="Segoe UI" w:hAnsi="Segoe UI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7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279B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27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E6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B1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E6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75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vs2010upgradeguide.codeplex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teamsystem/ee358786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.microsoft.com/fwlink/?LinkId=193029&amp;clcid=0x409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teamsystem/bb840033.aspx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www.codeplex.com/TFSIntegratio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D72CF-455B-41F7-BDD7-821A0F74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2010-09-03T18:34:00Z</dcterms:created>
  <dcterms:modified xsi:type="dcterms:W3CDTF">2011-03-14T16:38:00Z</dcterms:modified>
</cp:coreProperties>
</file>