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CA9C3D" w14:textId="77777777" w:rsidR="008A25C9" w:rsidRDefault="00000000">
      <w:pPr>
        <w:pStyle w:val="Title"/>
      </w:pPr>
      <w:r>
        <w:t>AI Strategic Autonomy Framework</w:t>
      </w:r>
    </w:p>
    <w:sdt>
      <w:sdtPr>
        <w:rPr>
          <w:rFonts w:asciiTheme="minorHAnsi" w:eastAsiaTheme="minorHAnsi" w:hAnsiTheme="minorHAnsi" w:cstheme="minorBidi"/>
          <w:color w:val="auto"/>
          <w:sz w:val="24"/>
          <w:szCs w:val="24"/>
        </w:rPr>
        <w:id w:val="1881437591"/>
        <w:docPartObj>
          <w:docPartGallery w:val="Table of Contents"/>
          <w:docPartUnique/>
        </w:docPartObj>
      </w:sdtPr>
      <w:sdtContent>
        <w:p w14:paraId="67D895FE" w14:textId="77777777" w:rsidR="008A25C9" w:rsidRDefault="00000000">
          <w:pPr>
            <w:pStyle w:val="TOCHeading"/>
          </w:pPr>
          <w:r>
            <w:t>Table of Contents</w:t>
          </w:r>
        </w:p>
        <w:p w14:paraId="7AFF1633" w14:textId="77777777" w:rsidR="00573BBE" w:rsidRDefault="00000000">
          <w:pPr>
            <w:pStyle w:val="TOC1"/>
            <w:tabs>
              <w:tab w:val="right" w:leader="dot" w:pos="9350"/>
            </w:tabs>
            <w:rPr>
              <w:noProof/>
            </w:rPr>
          </w:pPr>
          <w:r>
            <w:fldChar w:fldCharType="begin"/>
          </w:r>
          <w:r>
            <w:instrText>TOC \o "1-2" \h \z \u</w:instrText>
          </w:r>
          <w:r>
            <w:fldChar w:fldCharType="separate"/>
          </w:r>
          <w:hyperlink w:anchor="_Toc238848846" w:history="1">
            <w:r w:rsidR="00573BBE" w:rsidRPr="006E546D">
              <w:rPr>
                <w:rStyle w:val="Hyperlink"/>
                <w:noProof/>
              </w:rPr>
              <w:t>AI Strategic Autonomy Framework</w:t>
            </w:r>
            <w:r w:rsidR="00573BBE">
              <w:rPr>
                <w:noProof/>
                <w:webHidden/>
              </w:rPr>
              <w:tab/>
            </w:r>
            <w:r w:rsidR="00573BBE">
              <w:rPr>
                <w:noProof/>
                <w:webHidden/>
              </w:rPr>
              <w:fldChar w:fldCharType="begin"/>
            </w:r>
            <w:r w:rsidR="00573BBE">
              <w:rPr>
                <w:noProof/>
                <w:webHidden/>
              </w:rPr>
              <w:instrText xml:space="preserve"> PAGEREF _Toc238848846 \h </w:instrText>
            </w:r>
            <w:r w:rsidR="00573BBE">
              <w:rPr>
                <w:noProof/>
                <w:webHidden/>
              </w:rPr>
            </w:r>
            <w:r w:rsidR="00573BBE">
              <w:rPr>
                <w:noProof/>
                <w:webHidden/>
              </w:rPr>
              <w:fldChar w:fldCharType="separate"/>
            </w:r>
            <w:r w:rsidR="00573BBE">
              <w:rPr>
                <w:noProof/>
                <w:webHidden/>
              </w:rPr>
              <w:t>2</w:t>
            </w:r>
            <w:r w:rsidR="00573BBE">
              <w:rPr>
                <w:noProof/>
                <w:webHidden/>
              </w:rPr>
              <w:fldChar w:fldCharType="end"/>
            </w:r>
          </w:hyperlink>
        </w:p>
        <w:p w14:paraId="27039612" w14:textId="77777777" w:rsidR="00573BBE" w:rsidRDefault="00573BBE">
          <w:pPr>
            <w:pStyle w:val="TOC2"/>
            <w:tabs>
              <w:tab w:val="right" w:leader="dot" w:pos="9350"/>
            </w:tabs>
            <w:rPr>
              <w:noProof/>
            </w:rPr>
          </w:pPr>
          <w:hyperlink w:anchor="_Toc238848847" w:history="1">
            <w:r w:rsidRPr="006E546D">
              <w:rPr>
                <w:rStyle w:val="Hyperlink"/>
                <w:noProof/>
              </w:rPr>
              <w:t>At a glance</w:t>
            </w:r>
            <w:r>
              <w:rPr>
                <w:noProof/>
                <w:webHidden/>
              </w:rPr>
              <w:tab/>
            </w:r>
            <w:r>
              <w:rPr>
                <w:noProof/>
                <w:webHidden/>
              </w:rPr>
              <w:fldChar w:fldCharType="begin"/>
            </w:r>
            <w:r>
              <w:rPr>
                <w:noProof/>
                <w:webHidden/>
              </w:rPr>
              <w:instrText xml:space="preserve"> PAGEREF _Toc238848847 \h </w:instrText>
            </w:r>
            <w:r>
              <w:rPr>
                <w:noProof/>
                <w:webHidden/>
              </w:rPr>
            </w:r>
            <w:r>
              <w:rPr>
                <w:noProof/>
                <w:webHidden/>
              </w:rPr>
              <w:fldChar w:fldCharType="separate"/>
            </w:r>
            <w:r>
              <w:rPr>
                <w:noProof/>
                <w:webHidden/>
              </w:rPr>
              <w:t>2</w:t>
            </w:r>
            <w:r>
              <w:rPr>
                <w:noProof/>
                <w:webHidden/>
              </w:rPr>
              <w:fldChar w:fldCharType="end"/>
            </w:r>
          </w:hyperlink>
        </w:p>
        <w:p w14:paraId="4FA0E776" w14:textId="77777777" w:rsidR="00573BBE" w:rsidRDefault="00573BBE">
          <w:pPr>
            <w:pStyle w:val="TOC2"/>
            <w:tabs>
              <w:tab w:val="right" w:leader="dot" w:pos="9350"/>
            </w:tabs>
            <w:rPr>
              <w:noProof/>
            </w:rPr>
          </w:pPr>
          <w:hyperlink w:anchor="_Toc238848848" w:history="1">
            <w:r w:rsidRPr="006E546D">
              <w:rPr>
                <w:rStyle w:val="Hyperlink"/>
                <w:noProof/>
              </w:rPr>
              <w:t>About this package</w:t>
            </w:r>
            <w:r>
              <w:rPr>
                <w:noProof/>
                <w:webHidden/>
              </w:rPr>
              <w:tab/>
            </w:r>
            <w:r>
              <w:rPr>
                <w:noProof/>
                <w:webHidden/>
              </w:rPr>
              <w:fldChar w:fldCharType="begin"/>
            </w:r>
            <w:r>
              <w:rPr>
                <w:noProof/>
                <w:webHidden/>
              </w:rPr>
              <w:instrText xml:space="preserve"> PAGEREF _Toc238848848 \h </w:instrText>
            </w:r>
            <w:r>
              <w:rPr>
                <w:noProof/>
                <w:webHidden/>
              </w:rPr>
            </w:r>
            <w:r>
              <w:rPr>
                <w:noProof/>
                <w:webHidden/>
              </w:rPr>
              <w:fldChar w:fldCharType="separate"/>
            </w:r>
            <w:r>
              <w:rPr>
                <w:noProof/>
                <w:webHidden/>
              </w:rPr>
              <w:t>4</w:t>
            </w:r>
            <w:r>
              <w:rPr>
                <w:noProof/>
                <w:webHidden/>
              </w:rPr>
              <w:fldChar w:fldCharType="end"/>
            </w:r>
          </w:hyperlink>
        </w:p>
        <w:p w14:paraId="6ADC792C" w14:textId="77777777" w:rsidR="00573BBE" w:rsidRDefault="00573BBE">
          <w:pPr>
            <w:pStyle w:val="TOC2"/>
            <w:tabs>
              <w:tab w:val="right" w:leader="dot" w:pos="9350"/>
            </w:tabs>
            <w:rPr>
              <w:noProof/>
            </w:rPr>
          </w:pPr>
          <w:hyperlink w:anchor="_Toc238848849" w:history="1">
            <w:r w:rsidRPr="006E546D">
              <w:rPr>
                <w:rStyle w:val="Hyperlink"/>
                <w:noProof/>
              </w:rPr>
              <w:t>How to read this document</w:t>
            </w:r>
            <w:r>
              <w:rPr>
                <w:noProof/>
                <w:webHidden/>
              </w:rPr>
              <w:tab/>
            </w:r>
            <w:r>
              <w:rPr>
                <w:noProof/>
                <w:webHidden/>
              </w:rPr>
              <w:fldChar w:fldCharType="begin"/>
            </w:r>
            <w:r>
              <w:rPr>
                <w:noProof/>
                <w:webHidden/>
              </w:rPr>
              <w:instrText xml:space="preserve"> PAGEREF _Toc238848849 \h </w:instrText>
            </w:r>
            <w:r>
              <w:rPr>
                <w:noProof/>
                <w:webHidden/>
              </w:rPr>
            </w:r>
            <w:r>
              <w:rPr>
                <w:noProof/>
                <w:webHidden/>
              </w:rPr>
              <w:fldChar w:fldCharType="separate"/>
            </w:r>
            <w:r>
              <w:rPr>
                <w:noProof/>
                <w:webHidden/>
              </w:rPr>
              <w:t>5</w:t>
            </w:r>
            <w:r>
              <w:rPr>
                <w:noProof/>
                <w:webHidden/>
              </w:rPr>
              <w:fldChar w:fldCharType="end"/>
            </w:r>
          </w:hyperlink>
        </w:p>
        <w:p w14:paraId="27218EFD" w14:textId="77777777" w:rsidR="00573BBE" w:rsidRDefault="00573BBE">
          <w:pPr>
            <w:pStyle w:val="TOC2"/>
            <w:tabs>
              <w:tab w:val="right" w:leader="dot" w:pos="9350"/>
            </w:tabs>
            <w:rPr>
              <w:noProof/>
            </w:rPr>
          </w:pPr>
          <w:hyperlink w:anchor="_Toc238848850" w:history="1">
            <w:r w:rsidRPr="006E546D">
              <w:rPr>
                <w:rStyle w:val="Hyperlink"/>
                <w:noProof/>
              </w:rPr>
              <w:t>Executive summary</w:t>
            </w:r>
            <w:r>
              <w:rPr>
                <w:noProof/>
                <w:webHidden/>
              </w:rPr>
              <w:tab/>
            </w:r>
            <w:r>
              <w:rPr>
                <w:noProof/>
                <w:webHidden/>
              </w:rPr>
              <w:fldChar w:fldCharType="begin"/>
            </w:r>
            <w:r>
              <w:rPr>
                <w:noProof/>
                <w:webHidden/>
              </w:rPr>
              <w:instrText xml:space="preserve"> PAGEREF _Toc238848850 \h </w:instrText>
            </w:r>
            <w:r>
              <w:rPr>
                <w:noProof/>
                <w:webHidden/>
              </w:rPr>
            </w:r>
            <w:r>
              <w:rPr>
                <w:noProof/>
                <w:webHidden/>
              </w:rPr>
              <w:fldChar w:fldCharType="separate"/>
            </w:r>
            <w:r>
              <w:rPr>
                <w:noProof/>
                <w:webHidden/>
              </w:rPr>
              <w:t>7</w:t>
            </w:r>
            <w:r>
              <w:rPr>
                <w:noProof/>
                <w:webHidden/>
              </w:rPr>
              <w:fldChar w:fldCharType="end"/>
            </w:r>
          </w:hyperlink>
        </w:p>
        <w:p w14:paraId="4D773914" w14:textId="77777777" w:rsidR="00573BBE" w:rsidRDefault="00573BBE">
          <w:pPr>
            <w:pStyle w:val="TOC2"/>
            <w:tabs>
              <w:tab w:val="right" w:leader="dot" w:pos="9350"/>
            </w:tabs>
            <w:rPr>
              <w:noProof/>
            </w:rPr>
          </w:pPr>
          <w:hyperlink w:anchor="_Toc238848851" w:history="1">
            <w:r w:rsidRPr="006E546D">
              <w:rPr>
                <w:rStyle w:val="Hyperlink"/>
                <w:noProof/>
              </w:rPr>
              <w:t>Part I. Fundamental concepts</w:t>
            </w:r>
            <w:r>
              <w:rPr>
                <w:noProof/>
                <w:webHidden/>
              </w:rPr>
              <w:tab/>
            </w:r>
            <w:r>
              <w:rPr>
                <w:noProof/>
                <w:webHidden/>
              </w:rPr>
              <w:fldChar w:fldCharType="begin"/>
            </w:r>
            <w:r>
              <w:rPr>
                <w:noProof/>
                <w:webHidden/>
              </w:rPr>
              <w:instrText xml:space="preserve"> PAGEREF _Toc238848851 \h </w:instrText>
            </w:r>
            <w:r>
              <w:rPr>
                <w:noProof/>
                <w:webHidden/>
              </w:rPr>
            </w:r>
            <w:r>
              <w:rPr>
                <w:noProof/>
                <w:webHidden/>
              </w:rPr>
              <w:fldChar w:fldCharType="separate"/>
            </w:r>
            <w:r>
              <w:rPr>
                <w:noProof/>
                <w:webHidden/>
              </w:rPr>
              <w:t>8</w:t>
            </w:r>
            <w:r>
              <w:rPr>
                <w:noProof/>
                <w:webHidden/>
              </w:rPr>
              <w:fldChar w:fldCharType="end"/>
            </w:r>
          </w:hyperlink>
        </w:p>
        <w:p w14:paraId="71D5A4CE" w14:textId="77777777" w:rsidR="00573BBE" w:rsidRDefault="00573BBE">
          <w:pPr>
            <w:pStyle w:val="TOC2"/>
            <w:tabs>
              <w:tab w:val="right" w:leader="dot" w:pos="9350"/>
            </w:tabs>
            <w:rPr>
              <w:noProof/>
            </w:rPr>
          </w:pPr>
          <w:hyperlink w:anchor="_Toc238848852" w:history="1">
            <w:r w:rsidRPr="006E546D">
              <w:rPr>
                <w:rStyle w:val="Hyperlink"/>
                <w:noProof/>
              </w:rPr>
              <w:t>Part II. Pillars and weights</w:t>
            </w:r>
            <w:r>
              <w:rPr>
                <w:noProof/>
                <w:webHidden/>
              </w:rPr>
              <w:tab/>
            </w:r>
            <w:r>
              <w:rPr>
                <w:noProof/>
                <w:webHidden/>
              </w:rPr>
              <w:fldChar w:fldCharType="begin"/>
            </w:r>
            <w:r>
              <w:rPr>
                <w:noProof/>
                <w:webHidden/>
              </w:rPr>
              <w:instrText xml:space="preserve"> PAGEREF _Toc238848852 \h </w:instrText>
            </w:r>
            <w:r>
              <w:rPr>
                <w:noProof/>
                <w:webHidden/>
              </w:rPr>
            </w:r>
            <w:r>
              <w:rPr>
                <w:noProof/>
                <w:webHidden/>
              </w:rPr>
              <w:fldChar w:fldCharType="separate"/>
            </w:r>
            <w:r>
              <w:rPr>
                <w:noProof/>
                <w:webHidden/>
              </w:rPr>
              <w:t>11</w:t>
            </w:r>
            <w:r>
              <w:rPr>
                <w:noProof/>
                <w:webHidden/>
              </w:rPr>
              <w:fldChar w:fldCharType="end"/>
            </w:r>
          </w:hyperlink>
        </w:p>
        <w:p w14:paraId="2C206C4C" w14:textId="77777777" w:rsidR="00573BBE" w:rsidRDefault="00573BBE">
          <w:pPr>
            <w:pStyle w:val="TOC2"/>
            <w:tabs>
              <w:tab w:val="right" w:leader="dot" w:pos="9350"/>
            </w:tabs>
            <w:rPr>
              <w:noProof/>
            </w:rPr>
          </w:pPr>
          <w:hyperlink w:anchor="_Toc238848853" w:history="1">
            <w:r w:rsidRPr="006E546D">
              <w:rPr>
                <w:rStyle w:val="Hyperlink"/>
                <w:noProof/>
              </w:rPr>
              <w:t>Part III. The Version Deadlock framework</w:t>
            </w:r>
            <w:r>
              <w:rPr>
                <w:noProof/>
                <w:webHidden/>
              </w:rPr>
              <w:tab/>
            </w:r>
            <w:r>
              <w:rPr>
                <w:noProof/>
                <w:webHidden/>
              </w:rPr>
              <w:fldChar w:fldCharType="begin"/>
            </w:r>
            <w:r>
              <w:rPr>
                <w:noProof/>
                <w:webHidden/>
              </w:rPr>
              <w:instrText xml:space="preserve"> PAGEREF _Toc238848853 \h </w:instrText>
            </w:r>
            <w:r>
              <w:rPr>
                <w:noProof/>
                <w:webHidden/>
              </w:rPr>
            </w:r>
            <w:r>
              <w:rPr>
                <w:noProof/>
                <w:webHidden/>
              </w:rPr>
              <w:fldChar w:fldCharType="separate"/>
            </w:r>
            <w:r>
              <w:rPr>
                <w:noProof/>
                <w:webHidden/>
              </w:rPr>
              <w:t>13</w:t>
            </w:r>
            <w:r>
              <w:rPr>
                <w:noProof/>
                <w:webHidden/>
              </w:rPr>
              <w:fldChar w:fldCharType="end"/>
            </w:r>
          </w:hyperlink>
        </w:p>
        <w:p w14:paraId="72E76404" w14:textId="77777777" w:rsidR="00573BBE" w:rsidRDefault="00573BBE">
          <w:pPr>
            <w:pStyle w:val="TOC2"/>
            <w:tabs>
              <w:tab w:val="right" w:leader="dot" w:pos="9350"/>
            </w:tabs>
            <w:rPr>
              <w:noProof/>
            </w:rPr>
          </w:pPr>
          <w:hyperlink w:anchor="_Toc238848854" w:history="1">
            <w:r w:rsidRPr="006E546D">
              <w:rPr>
                <w:rStyle w:val="Hyperlink"/>
                <w:noProof/>
              </w:rPr>
              <w:t>Part IV. Gap-analysis methodology</w:t>
            </w:r>
            <w:r>
              <w:rPr>
                <w:noProof/>
                <w:webHidden/>
              </w:rPr>
              <w:tab/>
            </w:r>
            <w:r>
              <w:rPr>
                <w:noProof/>
                <w:webHidden/>
              </w:rPr>
              <w:fldChar w:fldCharType="begin"/>
            </w:r>
            <w:r>
              <w:rPr>
                <w:noProof/>
                <w:webHidden/>
              </w:rPr>
              <w:instrText xml:space="preserve"> PAGEREF _Toc238848854 \h </w:instrText>
            </w:r>
            <w:r>
              <w:rPr>
                <w:noProof/>
                <w:webHidden/>
              </w:rPr>
            </w:r>
            <w:r>
              <w:rPr>
                <w:noProof/>
                <w:webHidden/>
              </w:rPr>
              <w:fldChar w:fldCharType="separate"/>
            </w:r>
            <w:r>
              <w:rPr>
                <w:noProof/>
                <w:webHidden/>
              </w:rPr>
              <w:t>16</w:t>
            </w:r>
            <w:r>
              <w:rPr>
                <w:noProof/>
                <w:webHidden/>
              </w:rPr>
              <w:fldChar w:fldCharType="end"/>
            </w:r>
          </w:hyperlink>
        </w:p>
        <w:p w14:paraId="31F4E770" w14:textId="77777777" w:rsidR="00573BBE" w:rsidRDefault="00573BBE">
          <w:pPr>
            <w:pStyle w:val="TOC2"/>
            <w:tabs>
              <w:tab w:val="right" w:leader="dot" w:pos="9350"/>
            </w:tabs>
            <w:rPr>
              <w:noProof/>
            </w:rPr>
          </w:pPr>
          <w:hyperlink w:anchor="_Toc238848855" w:history="1">
            <w:r w:rsidRPr="006E546D">
              <w:rPr>
                <w:rStyle w:val="Hyperlink"/>
                <w:noProof/>
              </w:rPr>
              <w:t>Part V. Areas of genuine uncertainty</w:t>
            </w:r>
            <w:r>
              <w:rPr>
                <w:noProof/>
                <w:webHidden/>
              </w:rPr>
              <w:tab/>
            </w:r>
            <w:r>
              <w:rPr>
                <w:noProof/>
                <w:webHidden/>
              </w:rPr>
              <w:fldChar w:fldCharType="begin"/>
            </w:r>
            <w:r>
              <w:rPr>
                <w:noProof/>
                <w:webHidden/>
              </w:rPr>
              <w:instrText xml:space="preserve"> PAGEREF _Toc238848855 \h </w:instrText>
            </w:r>
            <w:r>
              <w:rPr>
                <w:noProof/>
                <w:webHidden/>
              </w:rPr>
            </w:r>
            <w:r>
              <w:rPr>
                <w:noProof/>
                <w:webHidden/>
              </w:rPr>
              <w:fldChar w:fldCharType="separate"/>
            </w:r>
            <w:r>
              <w:rPr>
                <w:noProof/>
                <w:webHidden/>
              </w:rPr>
              <w:t>17</w:t>
            </w:r>
            <w:r>
              <w:rPr>
                <w:noProof/>
                <w:webHidden/>
              </w:rPr>
              <w:fldChar w:fldCharType="end"/>
            </w:r>
          </w:hyperlink>
        </w:p>
        <w:p w14:paraId="1B5F8271" w14:textId="77777777" w:rsidR="00573BBE" w:rsidRDefault="00573BBE">
          <w:pPr>
            <w:pStyle w:val="TOC2"/>
            <w:tabs>
              <w:tab w:val="right" w:leader="dot" w:pos="9350"/>
            </w:tabs>
            <w:rPr>
              <w:noProof/>
            </w:rPr>
          </w:pPr>
          <w:hyperlink w:anchor="_Toc238848856" w:history="1">
            <w:r w:rsidRPr="006E546D">
              <w:rPr>
                <w:rStyle w:val="Hyperlink"/>
                <w:noProof/>
              </w:rPr>
              <w:t>Conclusion</w:t>
            </w:r>
            <w:r>
              <w:rPr>
                <w:noProof/>
                <w:webHidden/>
              </w:rPr>
              <w:tab/>
            </w:r>
            <w:r>
              <w:rPr>
                <w:noProof/>
                <w:webHidden/>
              </w:rPr>
              <w:fldChar w:fldCharType="begin"/>
            </w:r>
            <w:r>
              <w:rPr>
                <w:noProof/>
                <w:webHidden/>
              </w:rPr>
              <w:instrText xml:space="preserve"> PAGEREF _Toc238848856 \h </w:instrText>
            </w:r>
            <w:r>
              <w:rPr>
                <w:noProof/>
                <w:webHidden/>
              </w:rPr>
            </w:r>
            <w:r>
              <w:rPr>
                <w:noProof/>
                <w:webHidden/>
              </w:rPr>
              <w:fldChar w:fldCharType="separate"/>
            </w:r>
            <w:r>
              <w:rPr>
                <w:noProof/>
                <w:webHidden/>
              </w:rPr>
              <w:t>19</w:t>
            </w:r>
            <w:r>
              <w:rPr>
                <w:noProof/>
                <w:webHidden/>
              </w:rPr>
              <w:fldChar w:fldCharType="end"/>
            </w:r>
          </w:hyperlink>
        </w:p>
        <w:p w14:paraId="3A1BD8DB" w14:textId="77777777" w:rsidR="00573BBE" w:rsidRDefault="00573BBE">
          <w:pPr>
            <w:pStyle w:val="TOC2"/>
            <w:tabs>
              <w:tab w:val="right" w:leader="dot" w:pos="9350"/>
            </w:tabs>
            <w:rPr>
              <w:noProof/>
            </w:rPr>
          </w:pPr>
          <w:hyperlink w:anchor="_Toc238848857" w:history="1">
            <w:r w:rsidRPr="006E546D">
              <w:rPr>
                <w:rStyle w:val="Hyperlink"/>
                <w:noProof/>
              </w:rPr>
              <w:t>Appendix: Master glossary</w:t>
            </w:r>
            <w:r>
              <w:rPr>
                <w:noProof/>
                <w:webHidden/>
              </w:rPr>
              <w:tab/>
            </w:r>
            <w:r>
              <w:rPr>
                <w:noProof/>
                <w:webHidden/>
              </w:rPr>
              <w:fldChar w:fldCharType="begin"/>
            </w:r>
            <w:r>
              <w:rPr>
                <w:noProof/>
                <w:webHidden/>
              </w:rPr>
              <w:instrText xml:space="preserve"> PAGEREF _Toc238848857 \h </w:instrText>
            </w:r>
            <w:r>
              <w:rPr>
                <w:noProof/>
                <w:webHidden/>
              </w:rPr>
            </w:r>
            <w:r>
              <w:rPr>
                <w:noProof/>
                <w:webHidden/>
              </w:rPr>
              <w:fldChar w:fldCharType="separate"/>
            </w:r>
            <w:r>
              <w:rPr>
                <w:noProof/>
                <w:webHidden/>
              </w:rPr>
              <w:t>19</w:t>
            </w:r>
            <w:r>
              <w:rPr>
                <w:noProof/>
                <w:webHidden/>
              </w:rPr>
              <w:fldChar w:fldCharType="end"/>
            </w:r>
          </w:hyperlink>
        </w:p>
        <w:p w14:paraId="595B1F0D" w14:textId="77777777" w:rsidR="00573BBE" w:rsidRDefault="00573BBE">
          <w:pPr>
            <w:pStyle w:val="TOC2"/>
            <w:tabs>
              <w:tab w:val="right" w:leader="dot" w:pos="9350"/>
            </w:tabs>
            <w:rPr>
              <w:noProof/>
            </w:rPr>
          </w:pPr>
          <w:hyperlink w:anchor="_Toc238848858" w:history="1">
            <w:r w:rsidRPr="006E546D">
              <w:rPr>
                <w:rStyle w:val="Hyperlink"/>
                <w:noProof/>
              </w:rPr>
              <w:t>About this document</w:t>
            </w:r>
            <w:r>
              <w:rPr>
                <w:noProof/>
                <w:webHidden/>
              </w:rPr>
              <w:tab/>
            </w:r>
            <w:r>
              <w:rPr>
                <w:noProof/>
                <w:webHidden/>
              </w:rPr>
              <w:fldChar w:fldCharType="begin"/>
            </w:r>
            <w:r>
              <w:rPr>
                <w:noProof/>
                <w:webHidden/>
              </w:rPr>
              <w:instrText xml:space="preserve"> PAGEREF _Toc238848858 \h </w:instrText>
            </w:r>
            <w:r>
              <w:rPr>
                <w:noProof/>
                <w:webHidden/>
              </w:rPr>
            </w:r>
            <w:r>
              <w:rPr>
                <w:noProof/>
                <w:webHidden/>
              </w:rPr>
              <w:fldChar w:fldCharType="separate"/>
            </w:r>
            <w:r>
              <w:rPr>
                <w:noProof/>
                <w:webHidden/>
              </w:rPr>
              <w:t>21</w:t>
            </w:r>
            <w:r>
              <w:rPr>
                <w:noProof/>
                <w:webHidden/>
              </w:rPr>
              <w:fldChar w:fldCharType="end"/>
            </w:r>
          </w:hyperlink>
        </w:p>
        <w:p w14:paraId="17C3193B" w14:textId="77777777" w:rsidR="00573BBE" w:rsidRDefault="00573BBE">
          <w:pPr>
            <w:pStyle w:val="TOC2"/>
            <w:tabs>
              <w:tab w:val="right" w:leader="dot" w:pos="9350"/>
            </w:tabs>
            <w:rPr>
              <w:noProof/>
            </w:rPr>
          </w:pPr>
          <w:hyperlink w:anchor="_Toc238848859" w:history="1">
            <w:r w:rsidRPr="006E546D">
              <w:rPr>
                <w:rStyle w:val="Hyperlink"/>
                <w:noProof/>
              </w:rPr>
              <w:t>Part I. The nine pillars</w:t>
            </w:r>
            <w:r>
              <w:rPr>
                <w:noProof/>
                <w:webHidden/>
              </w:rPr>
              <w:tab/>
            </w:r>
            <w:r>
              <w:rPr>
                <w:noProof/>
                <w:webHidden/>
              </w:rPr>
              <w:fldChar w:fldCharType="begin"/>
            </w:r>
            <w:r>
              <w:rPr>
                <w:noProof/>
                <w:webHidden/>
              </w:rPr>
              <w:instrText xml:space="preserve"> PAGEREF _Toc238848859 \h </w:instrText>
            </w:r>
            <w:r>
              <w:rPr>
                <w:noProof/>
                <w:webHidden/>
              </w:rPr>
            </w:r>
            <w:r>
              <w:rPr>
                <w:noProof/>
                <w:webHidden/>
              </w:rPr>
              <w:fldChar w:fldCharType="separate"/>
            </w:r>
            <w:r>
              <w:rPr>
                <w:noProof/>
                <w:webHidden/>
              </w:rPr>
              <w:t>21</w:t>
            </w:r>
            <w:r>
              <w:rPr>
                <w:noProof/>
                <w:webHidden/>
              </w:rPr>
              <w:fldChar w:fldCharType="end"/>
            </w:r>
          </w:hyperlink>
        </w:p>
        <w:p w14:paraId="32ABA84D" w14:textId="77777777" w:rsidR="00573BBE" w:rsidRDefault="00573BBE">
          <w:pPr>
            <w:pStyle w:val="TOC2"/>
            <w:tabs>
              <w:tab w:val="right" w:leader="dot" w:pos="9350"/>
            </w:tabs>
            <w:rPr>
              <w:noProof/>
            </w:rPr>
          </w:pPr>
          <w:hyperlink w:anchor="_Toc238848860" w:history="1">
            <w:r w:rsidRPr="006E546D">
              <w:rPr>
                <w:rStyle w:val="Hyperlink"/>
                <w:noProof/>
              </w:rPr>
              <w:t>Part II. The ninth pillar — Culture and Operating Model</w:t>
            </w:r>
            <w:r>
              <w:rPr>
                <w:noProof/>
                <w:webHidden/>
              </w:rPr>
              <w:tab/>
            </w:r>
            <w:r>
              <w:rPr>
                <w:noProof/>
                <w:webHidden/>
              </w:rPr>
              <w:fldChar w:fldCharType="begin"/>
            </w:r>
            <w:r>
              <w:rPr>
                <w:noProof/>
                <w:webHidden/>
              </w:rPr>
              <w:instrText xml:space="preserve"> PAGEREF _Toc238848860 \h </w:instrText>
            </w:r>
            <w:r>
              <w:rPr>
                <w:noProof/>
                <w:webHidden/>
              </w:rPr>
            </w:r>
            <w:r>
              <w:rPr>
                <w:noProof/>
                <w:webHidden/>
              </w:rPr>
              <w:fldChar w:fldCharType="separate"/>
            </w:r>
            <w:r>
              <w:rPr>
                <w:noProof/>
                <w:webHidden/>
              </w:rPr>
              <w:t>26</w:t>
            </w:r>
            <w:r>
              <w:rPr>
                <w:noProof/>
                <w:webHidden/>
              </w:rPr>
              <w:fldChar w:fldCharType="end"/>
            </w:r>
          </w:hyperlink>
        </w:p>
        <w:p w14:paraId="7E6470D4" w14:textId="77777777" w:rsidR="00573BBE" w:rsidRDefault="00573BBE">
          <w:pPr>
            <w:pStyle w:val="TOC2"/>
            <w:tabs>
              <w:tab w:val="right" w:leader="dot" w:pos="9350"/>
            </w:tabs>
            <w:rPr>
              <w:noProof/>
            </w:rPr>
          </w:pPr>
          <w:hyperlink w:anchor="_Toc238848861" w:history="1">
            <w:r w:rsidRPr="006E546D">
              <w:rPr>
                <w:rStyle w:val="Hyperlink"/>
                <w:noProof/>
              </w:rPr>
              <w:t>Part III. Scale discount</w:t>
            </w:r>
            <w:r>
              <w:rPr>
                <w:noProof/>
                <w:webHidden/>
              </w:rPr>
              <w:tab/>
            </w:r>
            <w:r>
              <w:rPr>
                <w:noProof/>
                <w:webHidden/>
              </w:rPr>
              <w:fldChar w:fldCharType="begin"/>
            </w:r>
            <w:r>
              <w:rPr>
                <w:noProof/>
                <w:webHidden/>
              </w:rPr>
              <w:instrText xml:space="preserve"> PAGEREF _Toc238848861 \h </w:instrText>
            </w:r>
            <w:r>
              <w:rPr>
                <w:noProof/>
                <w:webHidden/>
              </w:rPr>
            </w:r>
            <w:r>
              <w:rPr>
                <w:noProof/>
                <w:webHidden/>
              </w:rPr>
              <w:fldChar w:fldCharType="separate"/>
            </w:r>
            <w:r>
              <w:rPr>
                <w:noProof/>
                <w:webHidden/>
              </w:rPr>
              <w:t>27</w:t>
            </w:r>
            <w:r>
              <w:rPr>
                <w:noProof/>
                <w:webHidden/>
              </w:rPr>
              <w:fldChar w:fldCharType="end"/>
            </w:r>
          </w:hyperlink>
        </w:p>
        <w:p w14:paraId="6E497391" w14:textId="77777777" w:rsidR="00573BBE" w:rsidRDefault="00573BBE">
          <w:pPr>
            <w:pStyle w:val="TOC2"/>
            <w:tabs>
              <w:tab w:val="right" w:leader="dot" w:pos="9350"/>
            </w:tabs>
            <w:rPr>
              <w:noProof/>
            </w:rPr>
          </w:pPr>
          <w:hyperlink w:anchor="_Toc238848862" w:history="1">
            <w:r w:rsidRPr="006E546D">
              <w:rPr>
                <w:rStyle w:val="Hyperlink"/>
                <w:noProof/>
              </w:rPr>
              <w:t>Part IV. Worked example: BNP Paribas</w:t>
            </w:r>
            <w:r>
              <w:rPr>
                <w:noProof/>
                <w:webHidden/>
              </w:rPr>
              <w:tab/>
            </w:r>
            <w:r>
              <w:rPr>
                <w:noProof/>
                <w:webHidden/>
              </w:rPr>
              <w:fldChar w:fldCharType="begin"/>
            </w:r>
            <w:r>
              <w:rPr>
                <w:noProof/>
                <w:webHidden/>
              </w:rPr>
              <w:instrText xml:space="preserve"> PAGEREF _Toc238848862 \h </w:instrText>
            </w:r>
            <w:r>
              <w:rPr>
                <w:noProof/>
                <w:webHidden/>
              </w:rPr>
            </w:r>
            <w:r>
              <w:rPr>
                <w:noProof/>
                <w:webHidden/>
              </w:rPr>
              <w:fldChar w:fldCharType="separate"/>
            </w:r>
            <w:r>
              <w:rPr>
                <w:noProof/>
                <w:webHidden/>
              </w:rPr>
              <w:t>27</w:t>
            </w:r>
            <w:r>
              <w:rPr>
                <w:noProof/>
                <w:webHidden/>
              </w:rPr>
              <w:fldChar w:fldCharType="end"/>
            </w:r>
          </w:hyperlink>
        </w:p>
        <w:p w14:paraId="12E379F0" w14:textId="77777777" w:rsidR="00573BBE" w:rsidRDefault="00573BBE">
          <w:pPr>
            <w:pStyle w:val="TOC2"/>
            <w:tabs>
              <w:tab w:val="right" w:leader="dot" w:pos="9350"/>
            </w:tabs>
            <w:rPr>
              <w:noProof/>
            </w:rPr>
          </w:pPr>
          <w:hyperlink w:anchor="_Toc238848863" w:history="1">
            <w:r w:rsidRPr="006E546D">
              <w:rPr>
                <w:rStyle w:val="Hyperlink"/>
                <w:noProof/>
              </w:rPr>
              <w:t>Part V. Crosswalk to business standards</w:t>
            </w:r>
            <w:r>
              <w:rPr>
                <w:noProof/>
                <w:webHidden/>
              </w:rPr>
              <w:tab/>
            </w:r>
            <w:r>
              <w:rPr>
                <w:noProof/>
                <w:webHidden/>
              </w:rPr>
              <w:fldChar w:fldCharType="begin"/>
            </w:r>
            <w:r>
              <w:rPr>
                <w:noProof/>
                <w:webHidden/>
              </w:rPr>
              <w:instrText xml:space="preserve"> PAGEREF _Toc238848863 \h </w:instrText>
            </w:r>
            <w:r>
              <w:rPr>
                <w:noProof/>
                <w:webHidden/>
              </w:rPr>
            </w:r>
            <w:r>
              <w:rPr>
                <w:noProof/>
                <w:webHidden/>
              </w:rPr>
              <w:fldChar w:fldCharType="separate"/>
            </w:r>
            <w:r>
              <w:rPr>
                <w:noProof/>
                <w:webHidden/>
              </w:rPr>
              <w:t>29</w:t>
            </w:r>
            <w:r>
              <w:rPr>
                <w:noProof/>
                <w:webHidden/>
              </w:rPr>
              <w:fldChar w:fldCharType="end"/>
            </w:r>
          </w:hyperlink>
        </w:p>
        <w:p w14:paraId="3BC9B432" w14:textId="77777777" w:rsidR="00573BBE" w:rsidRDefault="00573BBE">
          <w:pPr>
            <w:pStyle w:val="TOC2"/>
            <w:tabs>
              <w:tab w:val="right" w:leader="dot" w:pos="9350"/>
            </w:tabs>
            <w:rPr>
              <w:noProof/>
            </w:rPr>
          </w:pPr>
          <w:hyperlink w:anchor="_Toc238848864" w:history="1">
            <w:r w:rsidRPr="006E546D">
              <w:rPr>
                <w:rStyle w:val="Hyperlink"/>
                <w:noProof/>
              </w:rPr>
              <w:t>About this document</w:t>
            </w:r>
            <w:r>
              <w:rPr>
                <w:noProof/>
                <w:webHidden/>
              </w:rPr>
              <w:tab/>
            </w:r>
            <w:r>
              <w:rPr>
                <w:noProof/>
                <w:webHidden/>
              </w:rPr>
              <w:fldChar w:fldCharType="begin"/>
            </w:r>
            <w:r>
              <w:rPr>
                <w:noProof/>
                <w:webHidden/>
              </w:rPr>
              <w:instrText xml:space="preserve"> PAGEREF _Toc238848864 \h </w:instrText>
            </w:r>
            <w:r>
              <w:rPr>
                <w:noProof/>
                <w:webHidden/>
              </w:rPr>
            </w:r>
            <w:r>
              <w:rPr>
                <w:noProof/>
                <w:webHidden/>
              </w:rPr>
              <w:fldChar w:fldCharType="separate"/>
            </w:r>
            <w:r>
              <w:rPr>
                <w:noProof/>
                <w:webHidden/>
              </w:rPr>
              <w:t>30</w:t>
            </w:r>
            <w:r>
              <w:rPr>
                <w:noProof/>
                <w:webHidden/>
              </w:rPr>
              <w:fldChar w:fldCharType="end"/>
            </w:r>
          </w:hyperlink>
        </w:p>
        <w:p w14:paraId="4412AAFF" w14:textId="77777777" w:rsidR="00573BBE" w:rsidRDefault="00573BBE">
          <w:pPr>
            <w:pStyle w:val="TOC2"/>
            <w:tabs>
              <w:tab w:val="right" w:leader="dot" w:pos="9350"/>
            </w:tabs>
            <w:rPr>
              <w:noProof/>
            </w:rPr>
          </w:pPr>
          <w:hyperlink w:anchor="_Toc238848865" w:history="1">
            <w:r w:rsidRPr="006E546D">
              <w:rPr>
                <w:rStyle w:val="Hyperlink"/>
                <w:noProof/>
              </w:rPr>
              <w:t>Part I. The eight pillars</w:t>
            </w:r>
            <w:r>
              <w:rPr>
                <w:noProof/>
                <w:webHidden/>
              </w:rPr>
              <w:tab/>
            </w:r>
            <w:r>
              <w:rPr>
                <w:noProof/>
                <w:webHidden/>
              </w:rPr>
              <w:fldChar w:fldCharType="begin"/>
            </w:r>
            <w:r>
              <w:rPr>
                <w:noProof/>
                <w:webHidden/>
              </w:rPr>
              <w:instrText xml:space="preserve"> PAGEREF _Toc238848865 \h </w:instrText>
            </w:r>
            <w:r>
              <w:rPr>
                <w:noProof/>
                <w:webHidden/>
              </w:rPr>
            </w:r>
            <w:r>
              <w:rPr>
                <w:noProof/>
                <w:webHidden/>
              </w:rPr>
              <w:fldChar w:fldCharType="separate"/>
            </w:r>
            <w:r>
              <w:rPr>
                <w:noProof/>
                <w:webHidden/>
              </w:rPr>
              <w:t>30</w:t>
            </w:r>
            <w:r>
              <w:rPr>
                <w:noProof/>
                <w:webHidden/>
              </w:rPr>
              <w:fldChar w:fldCharType="end"/>
            </w:r>
          </w:hyperlink>
        </w:p>
        <w:p w14:paraId="1B36C165" w14:textId="77777777" w:rsidR="00573BBE" w:rsidRDefault="00573BBE">
          <w:pPr>
            <w:pStyle w:val="TOC2"/>
            <w:tabs>
              <w:tab w:val="right" w:leader="dot" w:pos="9350"/>
            </w:tabs>
            <w:rPr>
              <w:noProof/>
            </w:rPr>
          </w:pPr>
          <w:hyperlink w:anchor="_Toc238848866" w:history="1">
            <w:r w:rsidRPr="006E546D">
              <w:rPr>
                <w:rStyle w:val="Hyperlink"/>
                <w:noProof/>
              </w:rPr>
              <w:t>Part II. Nation-specific modifiers</w:t>
            </w:r>
            <w:r>
              <w:rPr>
                <w:noProof/>
                <w:webHidden/>
              </w:rPr>
              <w:tab/>
            </w:r>
            <w:r>
              <w:rPr>
                <w:noProof/>
                <w:webHidden/>
              </w:rPr>
              <w:fldChar w:fldCharType="begin"/>
            </w:r>
            <w:r>
              <w:rPr>
                <w:noProof/>
                <w:webHidden/>
              </w:rPr>
              <w:instrText xml:space="preserve"> PAGEREF _Toc238848866 \h </w:instrText>
            </w:r>
            <w:r>
              <w:rPr>
                <w:noProof/>
                <w:webHidden/>
              </w:rPr>
            </w:r>
            <w:r>
              <w:rPr>
                <w:noProof/>
                <w:webHidden/>
              </w:rPr>
              <w:fldChar w:fldCharType="separate"/>
            </w:r>
            <w:r>
              <w:rPr>
                <w:noProof/>
                <w:webHidden/>
              </w:rPr>
              <w:t>35</w:t>
            </w:r>
            <w:r>
              <w:rPr>
                <w:noProof/>
                <w:webHidden/>
              </w:rPr>
              <w:fldChar w:fldCharType="end"/>
            </w:r>
          </w:hyperlink>
        </w:p>
        <w:p w14:paraId="1EA6017B" w14:textId="77777777" w:rsidR="00573BBE" w:rsidRDefault="00573BBE">
          <w:pPr>
            <w:pStyle w:val="TOC2"/>
            <w:tabs>
              <w:tab w:val="right" w:leader="dot" w:pos="9350"/>
            </w:tabs>
            <w:rPr>
              <w:noProof/>
            </w:rPr>
          </w:pPr>
          <w:hyperlink w:anchor="_Toc238848867" w:history="1">
            <w:r w:rsidRPr="006E546D">
              <w:rPr>
                <w:rStyle w:val="Hyperlink"/>
                <w:noProof/>
              </w:rPr>
              <w:t>Part III. Worked examples</w:t>
            </w:r>
            <w:r>
              <w:rPr>
                <w:noProof/>
                <w:webHidden/>
              </w:rPr>
              <w:tab/>
            </w:r>
            <w:r>
              <w:rPr>
                <w:noProof/>
                <w:webHidden/>
              </w:rPr>
              <w:fldChar w:fldCharType="begin"/>
            </w:r>
            <w:r>
              <w:rPr>
                <w:noProof/>
                <w:webHidden/>
              </w:rPr>
              <w:instrText xml:space="preserve"> PAGEREF _Toc238848867 \h </w:instrText>
            </w:r>
            <w:r>
              <w:rPr>
                <w:noProof/>
                <w:webHidden/>
              </w:rPr>
            </w:r>
            <w:r>
              <w:rPr>
                <w:noProof/>
                <w:webHidden/>
              </w:rPr>
              <w:fldChar w:fldCharType="separate"/>
            </w:r>
            <w:r>
              <w:rPr>
                <w:noProof/>
                <w:webHidden/>
              </w:rPr>
              <w:t>37</w:t>
            </w:r>
            <w:r>
              <w:rPr>
                <w:noProof/>
                <w:webHidden/>
              </w:rPr>
              <w:fldChar w:fldCharType="end"/>
            </w:r>
          </w:hyperlink>
        </w:p>
        <w:p w14:paraId="61939197" w14:textId="77777777" w:rsidR="00573BBE" w:rsidRDefault="00573BBE">
          <w:pPr>
            <w:pStyle w:val="TOC2"/>
            <w:tabs>
              <w:tab w:val="right" w:leader="dot" w:pos="9350"/>
            </w:tabs>
            <w:rPr>
              <w:noProof/>
            </w:rPr>
          </w:pPr>
          <w:hyperlink w:anchor="_Toc238848868" w:history="1">
            <w:r w:rsidRPr="006E546D">
              <w:rPr>
                <w:rStyle w:val="Hyperlink"/>
                <w:noProof/>
              </w:rPr>
              <w:t>Part IV. Case study: INSAIT and BgGPT</w:t>
            </w:r>
            <w:r>
              <w:rPr>
                <w:noProof/>
                <w:webHidden/>
              </w:rPr>
              <w:tab/>
            </w:r>
            <w:r>
              <w:rPr>
                <w:noProof/>
                <w:webHidden/>
              </w:rPr>
              <w:fldChar w:fldCharType="begin"/>
            </w:r>
            <w:r>
              <w:rPr>
                <w:noProof/>
                <w:webHidden/>
              </w:rPr>
              <w:instrText xml:space="preserve"> PAGEREF _Toc238848868 \h </w:instrText>
            </w:r>
            <w:r>
              <w:rPr>
                <w:noProof/>
                <w:webHidden/>
              </w:rPr>
            </w:r>
            <w:r>
              <w:rPr>
                <w:noProof/>
                <w:webHidden/>
              </w:rPr>
              <w:fldChar w:fldCharType="separate"/>
            </w:r>
            <w:r>
              <w:rPr>
                <w:noProof/>
                <w:webHidden/>
              </w:rPr>
              <w:t>39</w:t>
            </w:r>
            <w:r>
              <w:rPr>
                <w:noProof/>
                <w:webHidden/>
              </w:rPr>
              <w:fldChar w:fldCharType="end"/>
            </w:r>
          </w:hyperlink>
        </w:p>
        <w:p w14:paraId="754539C0" w14:textId="77777777" w:rsidR="00573BBE" w:rsidRDefault="00573BBE">
          <w:pPr>
            <w:pStyle w:val="TOC2"/>
            <w:tabs>
              <w:tab w:val="right" w:leader="dot" w:pos="9350"/>
            </w:tabs>
            <w:rPr>
              <w:noProof/>
            </w:rPr>
          </w:pPr>
          <w:hyperlink w:anchor="_Toc238848869" w:history="1">
            <w:r w:rsidRPr="006E546D">
              <w:rPr>
                <w:rStyle w:val="Hyperlink"/>
                <w:noProof/>
              </w:rPr>
              <w:t>1. Models</w:t>
            </w:r>
            <w:r>
              <w:rPr>
                <w:noProof/>
                <w:webHidden/>
              </w:rPr>
              <w:tab/>
            </w:r>
            <w:r>
              <w:rPr>
                <w:noProof/>
                <w:webHidden/>
              </w:rPr>
              <w:fldChar w:fldCharType="begin"/>
            </w:r>
            <w:r>
              <w:rPr>
                <w:noProof/>
                <w:webHidden/>
              </w:rPr>
              <w:instrText xml:space="preserve"> PAGEREF _Toc238848869 \h </w:instrText>
            </w:r>
            <w:r>
              <w:rPr>
                <w:noProof/>
                <w:webHidden/>
              </w:rPr>
            </w:r>
            <w:r>
              <w:rPr>
                <w:noProof/>
                <w:webHidden/>
              </w:rPr>
              <w:fldChar w:fldCharType="separate"/>
            </w:r>
            <w:r>
              <w:rPr>
                <w:noProof/>
                <w:webHidden/>
              </w:rPr>
              <w:t>41</w:t>
            </w:r>
            <w:r>
              <w:rPr>
                <w:noProof/>
                <w:webHidden/>
              </w:rPr>
              <w:fldChar w:fldCharType="end"/>
            </w:r>
          </w:hyperlink>
        </w:p>
        <w:p w14:paraId="7BC56A2A" w14:textId="77777777" w:rsidR="00573BBE" w:rsidRDefault="00573BBE">
          <w:pPr>
            <w:pStyle w:val="TOC2"/>
            <w:tabs>
              <w:tab w:val="right" w:leader="dot" w:pos="9350"/>
            </w:tabs>
            <w:rPr>
              <w:noProof/>
            </w:rPr>
          </w:pPr>
          <w:hyperlink w:anchor="_Toc238848870" w:history="1">
            <w:r w:rsidRPr="006E546D">
              <w:rPr>
                <w:rStyle w:val="Hyperlink"/>
                <w:noProof/>
              </w:rPr>
              <w:t>2. Cloud and sovereign infrastructure</w:t>
            </w:r>
            <w:r>
              <w:rPr>
                <w:noProof/>
                <w:webHidden/>
              </w:rPr>
              <w:tab/>
            </w:r>
            <w:r>
              <w:rPr>
                <w:noProof/>
                <w:webHidden/>
              </w:rPr>
              <w:fldChar w:fldCharType="begin"/>
            </w:r>
            <w:r>
              <w:rPr>
                <w:noProof/>
                <w:webHidden/>
              </w:rPr>
              <w:instrText xml:space="preserve"> PAGEREF _Toc238848870 \h </w:instrText>
            </w:r>
            <w:r>
              <w:rPr>
                <w:noProof/>
                <w:webHidden/>
              </w:rPr>
            </w:r>
            <w:r>
              <w:rPr>
                <w:noProof/>
                <w:webHidden/>
              </w:rPr>
              <w:fldChar w:fldCharType="separate"/>
            </w:r>
            <w:r>
              <w:rPr>
                <w:noProof/>
                <w:webHidden/>
              </w:rPr>
              <w:t>42</w:t>
            </w:r>
            <w:r>
              <w:rPr>
                <w:noProof/>
                <w:webHidden/>
              </w:rPr>
              <w:fldChar w:fldCharType="end"/>
            </w:r>
          </w:hyperlink>
        </w:p>
        <w:p w14:paraId="5F86D15B" w14:textId="77777777" w:rsidR="00573BBE" w:rsidRDefault="00573BBE">
          <w:pPr>
            <w:pStyle w:val="TOC2"/>
            <w:tabs>
              <w:tab w:val="right" w:leader="dot" w:pos="9350"/>
            </w:tabs>
            <w:rPr>
              <w:noProof/>
            </w:rPr>
          </w:pPr>
          <w:hyperlink w:anchor="_Toc238848871" w:history="1">
            <w:r w:rsidRPr="006E546D">
              <w:rPr>
                <w:rStyle w:val="Hyperlink"/>
                <w:noProof/>
              </w:rPr>
              <w:t>3. Hardware</w:t>
            </w:r>
            <w:r>
              <w:rPr>
                <w:noProof/>
                <w:webHidden/>
              </w:rPr>
              <w:tab/>
            </w:r>
            <w:r>
              <w:rPr>
                <w:noProof/>
                <w:webHidden/>
              </w:rPr>
              <w:fldChar w:fldCharType="begin"/>
            </w:r>
            <w:r>
              <w:rPr>
                <w:noProof/>
                <w:webHidden/>
              </w:rPr>
              <w:instrText xml:space="preserve"> PAGEREF _Toc238848871 \h </w:instrText>
            </w:r>
            <w:r>
              <w:rPr>
                <w:noProof/>
                <w:webHidden/>
              </w:rPr>
            </w:r>
            <w:r>
              <w:rPr>
                <w:noProof/>
                <w:webHidden/>
              </w:rPr>
              <w:fldChar w:fldCharType="separate"/>
            </w:r>
            <w:r>
              <w:rPr>
                <w:noProof/>
                <w:webHidden/>
              </w:rPr>
              <w:t>42</w:t>
            </w:r>
            <w:r>
              <w:rPr>
                <w:noProof/>
                <w:webHidden/>
              </w:rPr>
              <w:fldChar w:fldCharType="end"/>
            </w:r>
          </w:hyperlink>
        </w:p>
        <w:p w14:paraId="521A72E3" w14:textId="77777777" w:rsidR="00573BBE" w:rsidRDefault="00573BBE">
          <w:pPr>
            <w:pStyle w:val="TOC2"/>
            <w:tabs>
              <w:tab w:val="right" w:leader="dot" w:pos="9350"/>
            </w:tabs>
            <w:rPr>
              <w:noProof/>
            </w:rPr>
          </w:pPr>
          <w:hyperlink w:anchor="_Toc238848872" w:history="1">
            <w:r w:rsidRPr="006E546D">
              <w:rPr>
                <w:rStyle w:val="Hyperlink"/>
                <w:noProof/>
              </w:rPr>
              <w:t>4. Manufacturing and materials</w:t>
            </w:r>
            <w:r>
              <w:rPr>
                <w:noProof/>
                <w:webHidden/>
              </w:rPr>
              <w:tab/>
            </w:r>
            <w:r>
              <w:rPr>
                <w:noProof/>
                <w:webHidden/>
              </w:rPr>
              <w:fldChar w:fldCharType="begin"/>
            </w:r>
            <w:r>
              <w:rPr>
                <w:noProof/>
                <w:webHidden/>
              </w:rPr>
              <w:instrText xml:space="preserve"> PAGEREF _Toc238848872 \h </w:instrText>
            </w:r>
            <w:r>
              <w:rPr>
                <w:noProof/>
                <w:webHidden/>
              </w:rPr>
            </w:r>
            <w:r>
              <w:rPr>
                <w:noProof/>
                <w:webHidden/>
              </w:rPr>
              <w:fldChar w:fldCharType="separate"/>
            </w:r>
            <w:r>
              <w:rPr>
                <w:noProof/>
                <w:webHidden/>
              </w:rPr>
              <w:t>43</w:t>
            </w:r>
            <w:r>
              <w:rPr>
                <w:noProof/>
                <w:webHidden/>
              </w:rPr>
              <w:fldChar w:fldCharType="end"/>
            </w:r>
          </w:hyperlink>
        </w:p>
        <w:p w14:paraId="5BB65EB5" w14:textId="77777777" w:rsidR="00573BBE" w:rsidRDefault="00573BBE">
          <w:pPr>
            <w:pStyle w:val="TOC2"/>
            <w:tabs>
              <w:tab w:val="right" w:leader="dot" w:pos="9350"/>
            </w:tabs>
            <w:rPr>
              <w:noProof/>
            </w:rPr>
          </w:pPr>
          <w:hyperlink w:anchor="_Toc238848873" w:history="1">
            <w:r w:rsidRPr="006E546D">
              <w:rPr>
                <w:rStyle w:val="Hyperlink"/>
                <w:noProof/>
              </w:rPr>
              <w:t>5. Software</w:t>
            </w:r>
            <w:r>
              <w:rPr>
                <w:noProof/>
                <w:webHidden/>
              </w:rPr>
              <w:tab/>
            </w:r>
            <w:r>
              <w:rPr>
                <w:noProof/>
                <w:webHidden/>
              </w:rPr>
              <w:fldChar w:fldCharType="begin"/>
            </w:r>
            <w:r>
              <w:rPr>
                <w:noProof/>
                <w:webHidden/>
              </w:rPr>
              <w:instrText xml:space="preserve"> PAGEREF _Toc238848873 \h </w:instrText>
            </w:r>
            <w:r>
              <w:rPr>
                <w:noProof/>
                <w:webHidden/>
              </w:rPr>
            </w:r>
            <w:r>
              <w:rPr>
                <w:noProof/>
                <w:webHidden/>
              </w:rPr>
              <w:fldChar w:fldCharType="separate"/>
            </w:r>
            <w:r>
              <w:rPr>
                <w:noProof/>
                <w:webHidden/>
              </w:rPr>
              <w:t>43</w:t>
            </w:r>
            <w:r>
              <w:rPr>
                <w:noProof/>
                <w:webHidden/>
              </w:rPr>
              <w:fldChar w:fldCharType="end"/>
            </w:r>
          </w:hyperlink>
        </w:p>
        <w:p w14:paraId="7E5C2356" w14:textId="77777777" w:rsidR="00573BBE" w:rsidRDefault="00573BBE">
          <w:pPr>
            <w:pStyle w:val="TOC2"/>
            <w:tabs>
              <w:tab w:val="right" w:leader="dot" w:pos="9350"/>
            </w:tabs>
            <w:rPr>
              <w:noProof/>
            </w:rPr>
          </w:pPr>
          <w:hyperlink w:anchor="_Toc238848874" w:history="1">
            <w:r w:rsidRPr="006E546D">
              <w:rPr>
                <w:rStyle w:val="Hyperlink"/>
                <w:noProof/>
              </w:rPr>
              <w:t>6. Regulatory timeline (as of August 2026)</w:t>
            </w:r>
            <w:r>
              <w:rPr>
                <w:noProof/>
                <w:webHidden/>
              </w:rPr>
              <w:tab/>
            </w:r>
            <w:r>
              <w:rPr>
                <w:noProof/>
                <w:webHidden/>
              </w:rPr>
              <w:fldChar w:fldCharType="begin"/>
            </w:r>
            <w:r>
              <w:rPr>
                <w:noProof/>
                <w:webHidden/>
              </w:rPr>
              <w:instrText xml:space="preserve"> PAGEREF _Toc238848874 \h </w:instrText>
            </w:r>
            <w:r>
              <w:rPr>
                <w:noProof/>
                <w:webHidden/>
              </w:rPr>
            </w:r>
            <w:r>
              <w:rPr>
                <w:noProof/>
                <w:webHidden/>
              </w:rPr>
              <w:fldChar w:fldCharType="separate"/>
            </w:r>
            <w:r>
              <w:rPr>
                <w:noProof/>
                <w:webHidden/>
              </w:rPr>
              <w:t>44</w:t>
            </w:r>
            <w:r>
              <w:rPr>
                <w:noProof/>
                <w:webHidden/>
              </w:rPr>
              <w:fldChar w:fldCharType="end"/>
            </w:r>
          </w:hyperlink>
        </w:p>
        <w:p w14:paraId="2FC4956D" w14:textId="77777777" w:rsidR="00573BBE" w:rsidRDefault="00573BBE">
          <w:pPr>
            <w:pStyle w:val="TOC2"/>
            <w:tabs>
              <w:tab w:val="right" w:leader="dot" w:pos="9350"/>
            </w:tabs>
            <w:rPr>
              <w:noProof/>
            </w:rPr>
          </w:pPr>
          <w:hyperlink w:anchor="_Toc238848875" w:history="1">
            <w:r w:rsidRPr="006E546D">
              <w:rPr>
                <w:rStyle w:val="Hyperlink"/>
                <w:noProof/>
              </w:rPr>
              <w:t>7. Human capital and talent reference figures</w:t>
            </w:r>
            <w:r>
              <w:rPr>
                <w:noProof/>
                <w:webHidden/>
              </w:rPr>
              <w:tab/>
            </w:r>
            <w:r>
              <w:rPr>
                <w:noProof/>
                <w:webHidden/>
              </w:rPr>
              <w:fldChar w:fldCharType="begin"/>
            </w:r>
            <w:r>
              <w:rPr>
                <w:noProof/>
                <w:webHidden/>
              </w:rPr>
              <w:instrText xml:space="preserve"> PAGEREF _Toc238848875 \h </w:instrText>
            </w:r>
            <w:r>
              <w:rPr>
                <w:noProof/>
                <w:webHidden/>
              </w:rPr>
            </w:r>
            <w:r>
              <w:rPr>
                <w:noProof/>
                <w:webHidden/>
              </w:rPr>
              <w:fldChar w:fldCharType="separate"/>
            </w:r>
            <w:r>
              <w:rPr>
                <w:noProof/>
                <w:webHidden/>
              </w:rPr>
              <w:t>44</w:t>
            </w:r>
            <w:r>
              <w:rPr>
                <w:noProof/>
                <w:webHidden/>
              </w:rPr>
              <w:fldChar w:fldCharType="end"/>
            </w:r>
          </w:hyperlink>
        </w:p>
        <w:p w14:paraId="23A541C1" w14:textId="77777777" w:rsidR="00573BBE" w:rsidRDefault="00573BBE">
          <w:pPr>
            <w:pStyle w:val="TOC2"/>
            <w:tabs>
              <w:tab w:val="right" w:leader="dot" w:pos="9350"/>
            </w:tabs>
            <w:rPr>
              <w:noProof/>
            </w:rPr>
          </w:pPr>
          <w:hyperlink w:anchor="_Toc238848876" w:history="1">
            <w:r w:rsidRPr="006E546D">
              <w:rPr>
                <w:rStyle w:val="Hyperlink"/>
                <w:noProof/>
              </w:rPr>
              <w:t>Part A. Sovereignty incidents — cloud &amp; data</w:t>
            </w:r>
            <w:r>
              <w:rPr>
                <w:noProof/>
                <w:webHidden/>
              </w:rPr>
              <w:tab/>
            </w:r>
            <w:r>
              <w:rPr>
                <w:noProof/>
                <w:webHidden/>
              </w:rPr>
              <w:fldChar w:fldCharType="begin"/>
            </w:r>
            <w:r>
              <w:rPr>
                <w:noProof/>
                <w:webHidden/>
              </w:rPr>
              <w:instrText xml:space="preserve"> PAGEREF _Toc238848876 \h </w:instrText>
            </w:r>
            <w:r>
              <w:rPr>
                <w:noProof/>
                <w:webHidden/>
              </w:rPr>
            </w:r>
            <w:r>
              <w:rPr>
                <w:noProof/>
                <w:webHidden/>
              </w:rPr>
              <w:fldChar w:fldCharType="separate"/>
            </w:r>
            <w:r>
              <w:rPr>
                <w:noProof/>
                <w:webHidden/>
              </w:rPr>
              <w:t>46</w:t>
            </w:r>
            <w:r>
              <w:rPr>
                <w:noProof/>
                <w:webHidden/>
              </w:rPr>
              <w:fldChar w:fldCharType="end"/>
            </w:r>
          </w:hyperlink>
        </w:p>
        <w:p w14:paraId="15D843B6" w14:textId="77777777" w:rsidR="00573BBE" w:rsidRDefault="00573BBE">
          <w:pPr>
            <w:pStyle w:val="TOC2"/>
            <w:tabs>
              <w:tab w:val="right" w:leader="dot" w:pos="9350"/>
            </w:tabs>
            <w:rPr>
              <w:noProof/>
            </w:rPr>
          </w:pPr>
          <w:hyperlink w:anchor="_Toc238848877" w:history="1">
            <w:r w:rsidRPr="006E546D">
              <w:rPr>
                <w:rStyle w:val="Hyperlink"/>
                <w:noProof/>
              </w:rPr>
              <w:t>Part B. Sovereignty incidents — hardware, export controls, supply chain</w:t>
            </w:r>
            <w:r>
              <w:rPr>
                <w:noProof/>
                <w:webHidden/>
              </w:rPr>
              <w:tab/>
            </w:r>
            <w:r>
              <w:rPr>
                <w:noProof/>
                <w:webHidden/>
              </w:rPr>
              <w:fldChar w:fldCharType="begin"/>
            </w:r>
            <w:r>
              <w:rPr>
                <w:noProof/>
                <w:webHidden/>
              </w:rPr>
              <w:instrText xml:space="preserve"> PAGEREF _Toc238848877 \h </w:instrText>
            </w:r>
            <w:r>
              <w:rPr>
                <w:noProof/>
                <w:webHidden/>
              </w:rPr>
            </w:r>
            <w:r>
              <w:rPr>
                <w:noProof/>
                <w:webHidden/>
              </w:rPr>
              <w:fldChar w:fldCharType="separate"/>
            </w:r>
            <w:r>
              <w:rPr>
                <w:noProof/>
                <w:webHidden/>
              </w:rPr>
              <w:t>46</w:t>
            </w:r>
            <w:r>
              <w:rPr>
                <w:noProof/>
                <w:webHidden/>
              </w:rPr>
              <w:fldChar w:fldCharType="end"/>
            </w:r>
          </w:hyperlink>
        </w:p>
        <w:p w14:paraId="24AA523E" w14:textId="77777777" w:rsidR="00573BBE" w:rsidRDefault="00573BBE">
          <w:pPr>
            <w:pStyle w:val="TOC2"/>
            <w:tabs>
              <w:tab w:val="right" w:leader="dot" w:pos="9350"/>
            </w:tabs>
            <w:rPr>
              <w:noProof/>
            </w:rPr>
          </w:pPr>
          <w:hyperlink w:anchor="_Toc238848878" w:history="1">
            <w:r w:rsidRPr="006E546D">
              <w:rPr>
                <w:rStyle w:val="Hyperlink"/>
                <w:noProof/>
              </w:rPr>
              <w:t>Part C. Sovereignty incidents — manufacturing &amp; critical materials</w:t>
            </w:r>
            <w:r>
              <w:rPr>
                <w:noProof/>
                <w:webHidden/>
              </w:rPr>
              <w:tab/>
            </w:r>
            <w:r>
              <w:rPr>
                <w:noProof/>
                <w:webHidden/>
              </w:rPr>
              <w:fldChar w:fldCharType="begin"/>
            </w:r>
            <w:r>
              <w:rPr>
                <w:noProof/>
                <w:webHidden/>
              </w:rPr>
              <w:instrText xml:space="preserve"> PAGEREF _Toc238848878 \h </w:instrText>
            </w:r>
            <w:r>
              <w:rPr>
                <w:noProof/>
                <w:webHidden/>
              </w:rPr>
            </w:r>
            <w:r>
              <w:rPr>
                <w:noProof/>
                <w:webHidden/>
              </w:rPr>
              <w:fldChar w:fldCharType="separate"/>
            </w:r>
            <w:r>
              <w:rPr>
                <w:noProof/>
                <w:webHidden/>
              </w:rPr>
              <w:t>46</w:t>
            </w:r>
            <w:r>
              <w:rPr>
                <w:noProof/>
                <w:webHidden/>
              </w:rPr>
              <w:fldChar w:fldCharType="end"/>
            </w:r>
          </w:hyperlink>
        </w:p>
        <w:p w14:paraId="3521E60C" w14:textId="77777777" w:rsidR="00573BBE" w:rsidRDefault="00573BBE">
          <w:pPr>
            <w:pStyle w:val="TOC2"/>
            <w:tabs>
              <w:tab w:val="right" w:leader="dot" w:pos="9350"/>
            </w:tabs>
            <w:rPr>
              <w:noProof/>
            </w:rPr>
          </w:pPr>
          <w:hyperlink w:anchor="_Toc238848879" w:history="1">
            <w:r w:rsidRPr="006E546D">
              <w:rPr>
                <w:rStyle w:val="Hyperlink"/>
                <w:noProof/>
              </w:rPr>
              <w:t>Part D. Sovereign stack responses</w:t>
            </w:r>
            <w:r>
              <w:rPr>
                <w:noProof/>
                <w:webHidden/>
              </w:rPr>
              <w:tab/>
            </w:r>
            <w:r>
              <w:rPr>
                <w:noProof/>
                <w:webHidden/>
              </w:rPr>
              <w:fldChar w:fldCharType="begin"/>
            </w:r>
            <w:r>
              <w:rPr>
                <w:noProof/>
                <w:webHidden/>
              </w:rPr>
              <w:instrText xml:space="preserve"> PAGEREF _Toc238848879 \h </w:instrText>
            </w:r>
            <w:r>
              <w:rPr>
                <w:noProof/>
                <w:webHidden/>
              </w:rPr>
            </w:r>
            <w:r>
              <w:rPr>
                <w:noProof/>
                <w:webHidden/>
              </w:rPr>
              <w:fldChar w:fldCharType="separate"/>
            </w:r>
            <w:r>
              <w:rPr>
                <w:noProof/>
                <w:webHidden/>
              </w:rPr>
              <w:t>47</w:t>
            </w:r>
            <w:r>
              <w:rPr>
                <w:noProof/>
                <w:webHidden/>
              </w:rPr>
              <w:fldChar w:fldCharType="end"/>
            </w:r>
          </w:hyperlink>
        </w:p>
        <w:p w14:paraId="708325CF" w14:textId="77777777" w:rsidR="00573BBE" w:rsidRDefault="00573BBE">
          <w:pPr>
            <w:pStyle w:val="TOC2"/>
            <w:tabs>
              <w:tab w:val="right" w:leader="dot" w:pos="9350"/>
            </w:tabs>
            <w:rPr>
              <w:noProof/>
            </w:rPr>
          </w:pPr>
          <w:hyperlink w:anchor="_Toc238848880" w:history="1">
            <w:r w:rsidRPr="006E546D">
              <w:rPr>
                <w:rStyle w:val="Hyperlink"/>
                <w:noProof/>
              </w:rPr>
              <w:t>Part E. Regulatory instruments</w:t>
            </w:r>
            <w:r>
              <w:rPr>
                <w:noProof/>
                <w:webHidden/>
              </w:rPr>
              <w:tab/>
            </w:r>
            <w:r>
              <w:rPr>
                <w:noProof/>
                <w:webHidden/>
              </w:rPr>
              <w:fldChar w:fldCharType="begin"/>
            </w:r>
            <w:r>
              <w:rPr>
                <w:noProof/>
                <w:webHidden/>
              </w:rPr>
              <w:instrText xml:space="preserve"> PAGEREF _Toc238848880 \h </w:instrText>
            </w:r>
            <w:r>
              <w:rPr>
                <w:noProof/>
                <w:webHidden/>
              </w:rPr>
            </w:r>
            <w:r>
              <w:rPr>
                <w:noProof/>
                <w:webHidden/>
              </w:rPr>
              <w:fldChar w:fldCharType="separate"/>
            </w:r>
            <w:r>
              <w:rPr>
                <w:noProof/>
                <w:webHidden/>
              </w:rPr>
              <w:t>48</w:t>
            </w:r>
            <w:r>
              <w:rPr>
                <w:noProof/>
                <w:webHidden/>
              </w:rPr>
              <w:fldChar w:fldCharType="end"/>
            </w:r>
          </w:hyperlink>
        </w:p>
        <w:p w14:paraId="724E7307" w14:textId="77777777" w:rsidR="00573BBE" w:rsidRDefault="00573BBE">
          <w:pPr>
            <w:pStyle w:val="TOC2"/>
            <w:tabs>
              <w:tab w:val="right" w:leader="dot" w:pos="9350"/>
            </w:tabs>
            <w:rPr>
              <w:noProof/>
            </w:rPr>
          </w:pPr>
          <w:hyperlink w:anchor="_Toc238848881" w:history="1">
            <w:r w:rsidRPr="006E546D">
              <w:rPr>
                <w:rStyle w:val="Hyperlink"/>
                <w:noProof/>
              </w:rPr>
              <w:t>Part F. Copyright and legal rulings</w:t>
            </w:r>
            <w:r>
              <w:rPr>
                <w:noProof/>
                <w:webHidden/>
              </w:rPr>
              <w:tab/>
            </w:r>
            <w:r>
              <w:rPr>
                <w:noProof/>
                <w:webHidden/>
              </w:rPr>
              <w:fldChar w:fldCharType="begin"/>
            </w:r>
            <w:r>
              <w:rPr>
                <w:noProof/>
                <w:webHidden/>
              </w:rPr>
              <w:instrText xml:space="preserve"> PAGEREF _Toc238848881 \h </w:instrText>
            </w:r>
            <w:r>
              <w:rPr>
                <w:noProof/>
                <w:webHidden/>
              </w:rPr>
            </w:r>
            <w:r>
              <w:rPr>
                <w:noProof/>
                <w:webHidden/>
              </w:rPr>
              <w:fldChar w:fldCharType="separate"/>
            </w:r>
            <w:r>
              <w:rPr>
                <w:noProof/>
                <w:webHidden/>
              </w:rPr>
              <w:t>49</w:t>
            </w:r>
            <w:r>
              <w:rPr>
                <w:noProof/>
                <w:webHidden/>
              </w:rPr>
              <w:fldChar w:fldCharType="end"/>
            </w:r>
          </w:hyperlink>
        </w:p>
        <w:p w14:paraId="469FC4E9" w14:textId="77777777" w:rsidR="00573BBE" w:rsidRDefault="00573BBE">
          <w:pPr>
            <w:pStyle w:val="TOC2"/>
            <w:tabs>
              <w:tab w:val="right" w:leader="dot" w:pos="9350"/>
            </w:tabs>
            <w:rPr>
              <w:noProof/>
            </w:rPr>
          </w:pPr>
          <w:hyperlink w:anchor="_Toc238848882" w:history="1">
            <w:r w:rsidRPr="006E546D">
              <w:rPr>
                <w:rStyle w:val="Hyperlink"/>
                <w:noProof/>
              </w:rPr>
              <w:t>Part G. Research and technical references</w:t>
            </w:r>
            <w:r>
              <w:rPr>
                <w:noProof/>
                <w:webHidden/>
              </w:rPr>
              <w:tab/>
            </w:r>
            <w:r>
              <w:rPr>
                <w:noProof/>
                <w:webHidden/>
              </w:rPr>
              <w:fldChar w:fldCharType="begin"/>
            </w:r>
            <w:r>
              <w:rPr>
                <w:noProof/>
                <w:webHidden/>
              </w:rPr>
              <w:instrText xml:space="preserve"> PAGEREF _Toc238848882 \h </w:instrText>
            </w:r>
            <w:r>
              <w:rPr>
                <w:noProof/>
                <w:webHidden/>
              </w:rPr>
            </w:r>
            <w:r>
              <w:rPr>
                <w:noProof/>
                <w:webHidden/>
              </w:rPr>
              <w:fldChar w:fldCharType="separate"/>
            </w:r>
            <w:r>
              <w:rPr>
                <w:noProof/>
                <w:webHidden/>
              </w:rPr>
              <w:t>49</w:t>
            </w:r>
            <w:r>
              <w:rPr>
                <w:noProof/>
                <w:webHidden/>
              </w:rPr>
              <w:fldChar w:fldCharType="end"/>
            </w:r>
          </w:hyperlink>
        </w:p>
        <w:p w14:paraId="7A51F1BD" w14:textId="77777777" w:rsidR="00573BBE" w:rsidRDefault="00573BBE">
          <w:pPr>
            <w:pStyle w:val="TOC2"/>
            <w:tabs>
              <w:tab w:val="right" w:leader="dot" w:pos="9350"/>
            </w:tabs>
            <w:rPr>
              <w:noProof/>
            </w:rPr>
          </w:pPr>
          <w:hyperlink w:anchor="_Toc238848883" w:history="1">
            <w:r w:rsidRPr="006E546D">
              <w:rPr>
                <w:rStyle w:val="Hyperlink"/>
                <w:noProof/>
              </w:rPr>
              <w:t>Part H. Benchmark frameworks (peer indices)</w:t>
            </w:r>
            <w:r>
              <w:rPr>
                <w:noProof/>
                <w:webHidden/>
              </w:rPr>
              <w:tab/>
            </w:r>
            <w:r>
              <w:rPr>
                <w:noProof/>
                <w:webHidden/>
              </w:rPr>
              <w:fldChar w:fldCharType="begin"/>
            </w:r>
            <w:r>
              <w:rPr>
                <w:noProof/>
                <w:webHidden/>
              </w:rPr>
              <w:instrText xml:space="preserve"> PAGEREF _Toc238848883 \h </w:instrText>
            </w:r>
            <w:r>
              <w:rPr>
                <w:noProof/>
                <w:webHidden/>
              </w:rPr>
            </w:r>
            <w:r>
              <w:rPr>
                <w:noProof/>
                <w:webHidden/>
              </w:rPr>
              <w:fldChar w:fldCharType="separate"/>
            </w:r>
            <w:r>
              <w:rPr>
                <w:noProof/>
                <w:webHidden/>
              </w:rPr>
              <w:t>49</w:t>
            </w:r>
            <w:r>
              <w:rPr>
                <w:noProof/>
                <w:webHidden/>
              </w:rPr>
              <w:fldChar w:fldCharType="end"/>
            </w:r>
          </w:hyperlink>
        </w:p>
        <w:p w14:paraId="34B3CA5C" w14:textId="77777777" w:rsidR="00573BBE" w:rsidRDefault="00573BBE">
          <w:pPr>
            <w:pStyle w:val="TOC2"/>
            <w:tabs>
              <w:tab w:val="right" w:leader="dot" w:pos="9350"/>
            </w:tabs>
            <w:rPr>
              <w:noProof/>
            </w:rPr>
          </w:pPr>
          <w:hyperlink w:anchor="_Toc238848884" w:history="1">
            <w:r w:rsidRPr="006E546D">
              <w:rPr>
                <w:rStyle w:val="Hyperlink"/>
                <w:noProof/>
              </w:rPr>
              <w:t>Part J. Claims not yet individually verified</w:t>
            </w:r>
            <w:r>
              <w:rPr>
                <w:noProof/>
                <w:webHidden/>
              </w:rPr>
              <w:tab/>
            </w:r>
            <w:r>
              <w:rPr>
                <w:noProof/>
                <w:webHidden/>
              </w:rPr>
              <w:fldChar w:fldCharType="begin"/>
            </w:r>
            <w:r>
              <w:rPr>
                <w:noProof/>
                <w:webHidden/>
              </w:rPr>
              <w:instrText xml:space="preserve"> PAGEREF _Toc238848884 \h </w:instrText>
            </w:r>
            <w:r>
              <w:rPr>
                <w:noProof/>
                <w:webHidden/>
              </w:rPr>
            </w:r>
            <w:r>
              <w:rPr>
                <w:noProof/>
                <w:webHidden/>
              </w:rPr>
              <w:fldChar w:fldCharType="separate"/>
            </w:r>
            <w:r>
              <w:rPr>
                <w:noProof/>
                <w:webHidden/>
              </w:rPr>
              <w:t>49</w:t>
            </w:r>
            <w:r>
              <w:rPr>
                <w:noProof/>
                <w:webHidden/>
              </w:rPr>
              <w:fldChar w:fldCharType="end"/>
            </w:r>
          </w:hyperlink>
        </w:p>
        <w:p w14:paraId="7066F812" w14:textId="77777777" w:rsidR="00573BBE" w:rsidRDefault="00573BBE">
          <w:pPr>
            <w:pStyle w:val="TOC2"/>
            <w:tabs>
              <w:tab w:val="right" w:leader="dot" w:pos="9350"/>
            </w:tabs>
            <w:rPr>
              <w:noProof/>
            </w:rPr>
          </w:pPr>
          <w:hyperlink w:anchor="_Toc238848885" w:history="1">
            <w:r w:rsidRPr="006E546D">
              <w:rPr>
                <w:rStyle w:val="Hyperlink"/>
                <w:noProof/>
              </w:rPr>
              <w:t>Part A. Sovereignty incidents — cloud &amp; data</w:t>
            </w:r>
            <w:r>
              <w:rPr>
                <w:noProof/>
                <w:webHidden/>
              </w:rPr>
              <w:tab/>
            </w:r>
            <w:r>
              <w:rPr>
                <w:noProof/>
                <w:webHidden/>
              </w:rPr>
              <w:fldChar w:fldCharType="begin"/>
            </w:r>
            <w:r>
              <w:rPr>
                <w:noProof/>
                <w:webHidden/>
              </w:rPr>
              <w:instrText xml:space="preserve"> PAGEREF _Toc238848885 \h </w:instrText>
            </w:r>
            <w:r>
              <w:rPr>
                <w:noProof/>
                <w:webHidden/>
              </w:rPr>
            </w:r>
            <w:r>
              <w:rPr>
                <w:noProof/>
                <w:webHidden/>
              </w:rPr>
              <w:fldChar w:fldCharType="separate"/>
            </w:r>
            <w:r>
              <w:rPr>
                <w:noProof/>
                <w:webHidden/>
              </w:rPr>
              <w:t>49</w:t>
            </w:r>
            <w:r>
              <w:rPr>
                <w:noProof/>
                <w:webHidden/>
              </w:rPr>
              <w:fldChar w:fldCharType="end"/>
            </w:r>
          </w:hyperlink>
        </w:p>
        <w:p w14:paraId="3947C3C6" w14:textId="77777777" w:rsidR="00573BBE" w:rsidRDefault="00573BBE">
          <w:pPr>
            <w:pStyle w:val="TOC2"/>
            <w:tabs>
              <w:tab w:val="right" w:leader="dot" w:pos="9350"/>
            </w:tabs>
            <w:rPr>
              <w:noProof/>
            </w:rPr>
          </w:pPr>
          <w:hyperlink w:anchor="_Toc238848886" w:history="1">
            <w:r w:rsidRPr="006E546D">
              <w:rPr>
                <w:rStyle w:val="Hyperlink"/>
                <w:noProof/>
              </w:rPr>
              <w:t>Part B. Sovereignty incidents — hardware, export controls, supply chain</w:t>
            </w:r>
            <w:r>
              <w:rPr>
                <w:noProof/>
                <w:webHidden/>
              </w:rPr>
              <w:tab/>
            </w:r>
            <w:r>
              <w:rPr>
                <w:noProof/>
                <w:webHidden/>
              </w:rPr>
              <w:fldChar w:fldCharType="begin"/>
            </w:r>
            <w:r>
              <w:rPr>
                <w:noProof/>
                <w:webHidden/>
              </w:rPr>
              <w:instrText xml:space="preserve"> PAGEREF _Toc238848886 \h </w:instrText>
            </w:r>
            <w:r>
              <w:rPr>
                <w:noProof/>
                <w:webHidden/>
              </w:rPr>
            </w:r>
            <w:r>
              <w:rPr>
                <w:noProof/>
                <w:webHidden/>
              </w:rPr>
              <w:fldChar w:fldCharType="separate"/>
            </w:r>
            <w:r>
              <w:rPr>
                <w:noProof/>
                <w:webHidden/>
              </w:rPr>
              <w:t>51</w:t>
            </w:r>
            <w:r>
              <w:rPr>
                <w:noProof/>
                <w:webHidden/>
              </w:rPr>
              <w:fldChar w:fldCharType="end"/>
            </w:r>
          </w:hyperlink>
        </w:p>
        <w:p w14:paraId="112E58BA" w14:textId="77777777" w:rsidR="00573BBE" w:rsidRDefault="00573BBE">
          <w:pPr>
            <w:pStyle w:val="TOC2"/>
            <w:tabs>
              <w:tab w:val="right" w:leader="dot" w:pos="9350"/>
            </w:tabs>
            <w:rPr>
              <w:noProof/>
            </w:rPr>
          </w:pPr>
          <w:hyperlink w:anchor="_Toc238848887" w:history="1">
            <w:r w:rsidRPr="006E546D">
              <w:rPr>
                <w:rStyle w:val="Hyperlink"/>
                <w:noProof/>
              </w:rPr>
              <w:t>Part C. Sovereignty incidents — manufacturing &amp; critical materials</w:t>
            </w:r>
            <w:r>
              <w:rPr>
                <w:noProof/>
                <w:webHidden/>
              </w:rPr>
              <w:tab/>
            </w:r>
            <w:r>
              <w:rPr>
                <w:noProof/>
                <w:webHidden/>
              </w:rPr>
              <w:fldChar w:fldCharType="begin"/>
            </w:r>
            <w:r>
              <w:rPr>
                <w:noProof/>
                <w:webHidden/>
              </w:rPr>
              <w:instrText xml:space="preserve"> PAGEREF _Toc238848887 \h </w:instrText>
            </w:r>
            <w:r>
              <w:rPr>
                <w:noProof/>
                <w:webHidden/>
              </w:rPr>
            </w:r>
            <w:r>
              <w:rPr>
                <w:noProof/>
                <w:webHidden/>
              </w:rPr>
              <w:fldChar w:fldCharType="separate"/>
            </w:r>
            <w:r>
              <w:rPr>
                <w:noProof/>
                <w:webHidden/>
              </w:rPr>
              <w:t>56</w:t>
            </w:r>
            <w:r>
              <w:rPr>
                <w:noProof/>
                <w:webHidden/>
              </w:rPr>
              <w:fldChar w:fldCharType="end"/>
            </w:r>
          </w:hyperlink>
        </w:p>
        <w:p w14:paraId="3A0E8A39" w14:textId="77777777" w:rsidR="00573BBE" w:rsidRDefault="00573BBE">
          <w:pPr>
            <w:pStyle w:val="TOC2"/>
            <w:tabs>
              <w:tab w:val="right" w:leader="dot" w:pos="9350"/>
            </w:tabs>
            <w:rPr>
              <w:noProof/>
            </w:rPr>
          </w:pPr>
          <w:hyperlink w:anchor="_Toc238848888" w:history="1">
            <w:r w:rsidRPr="006E546D">
              <w:rPr>
                <w:rStyle w:val="Hyperlink"/>
                <w:noProof/>
              </w:rPr>
              <w:t>Part D. Sovereign stack responses</w:t>
            </w:r>
            <w:r>
              <w:rPr>
                <w:noProof/>
                <w:webHidden/>
              </w:rPr>
              <w:tab/>
            </w:r>
            <w:r>
              <w:rPr>
                <w:noProof/>
                <w:webHidden/>
              </w:rPr>
              <w:fldChar w:fldCharType="begin"/>
            </w:r>
            <w:r>
              <w:rPr>
                <w:noProof/>
                <w:webHidden/>
              </w:rPr>
              <w:instrText xml:space="preserve"> PAGEREF _Toc238848888 \h </w:instrText>
            </w:r>
            <w:r>
              <w:rPr>
                <w:noProof/>
                <w:webHidden/>
              </w:rPr>
            </w:r>
            <w:r>
              <w:rPr>
                <w:noProof/>
                <w:webHidden/>
              </w:rPr>
              <w:fldChar w:fldCharType="separate"/>
            </w:r>
            <w:r>
              <w:rPr>
                <w:noProof/>
                <w:webHidden/>
              </w:rPr>
              <w:t>57</w:t>
            </w:r>
            <w:r>
              <w:rPr>
                <w:noProof/>
                <w:webHidden/>
              </w:rPr>
              <w:fldChar w:fldCharType="end"/>
            </w:r>
          </w:hyperlink>
        </w:p>
        <w:p w14:paraId="5AD97E74" w14:textId="77777777" w:rsidR="00573BBE" w:rsidRDefault="00573BBE">
          <w:pPr>
            <w:pStyle w:val="TOC2"/>
            <w:tabs>
              <w:tab w:val="right" w:leader="dot" w:pos="9350"/>
            </w:tabs>
            <w:rPr>
              <w:noProof/>
            </w:rPr>
          </w:pPr>
          <w:hyperlink w:anchor="_Toc238848889" w:history="1">
            <w:r w:rsidRPr="006E546D">
              <w:rPr>
                <w:rStyle w:val="Hyperlink"/>
                <w:noProof/>
              </w:rPr>
              <w:t>Part E. Regulatory instruments</w:t>
            </w:r>
            <w:r>
              <w:rPr>
                <w:noProof/>
                <w:webHidden/>
              </w:rPr>
              <w:tab/>
            </w:r>
            <w:r>
              <w:rPr>
                <w:noProof/>
                <w:webHidden/>
              </w:rPr>
              <w:fldChar w:fldCharType="begin"/>
            </w:r>
            <w:r>
              <w:rPr>
                <w:noProof/>
                <w:webHidden/>
              </w:rPr>
              <w:instrText xml:space="preserve"> PAGEREF _Toc238848889 \h </w:instrText>
            </w:r>
            <w:r>
              <w:rPr>
                <w:noProof/>
                <w:webHidden/>
              </w:rPr>
            </w:r>
            <w:r>
              <w:rPr>
                <w:noProof/>
                <w:webHidden/>
              </w:rPr>
              <w:fldChar w:fldCharType="separate"/>
            </w:r>
            <w:r>
              <w:rPr>
                <w:noProof/>
                <w:webHidden/>
              </w:rPr>
              <w:t>59</w:t>
            </w:r>
            <w:r>
              <w:rPr>
                <w:noProof/>
                <w:webHidden/>
              </w:rPr>
              <w:fldChar w:fldCharType="end"/>
            </w:r>
          </w:hyperlink>
        </w:p>
        <w:p w14:paraId="64D5087F" w14:textId="77777777" w:rsidR="00573BBE" w:rsidRDefault="00573BBE">
          <w:pPr>
            <w:pStyle w:val="TOC2"/>
            <w:tabs>
              <w:tab w:val="right" w:leader="dot" w:pos="9350"/>
            </w:tabs>
            <w:rPr>
              <w:noProof/>
            </w:rPr>
          </w:pPr>
          <w:hyperlink w:anchor="_Toc238848890" w:history="1">
            <w:r w:rsidRPr="006E546D">
              <w:rPr>
                <w:rStyle w:val="Hyperlink"/>
                <w:noProof/>
              </w:rPr>
              <w:t>Part F. Copyright and legal rulings</w:t>
            </w:r>
            <w:r>
              <w:rPr>
                <w:noProof/>
                <w:webHidden/>
              </w:rPr>
              <w:tab/>
            </w:r>
            <w:r>
              <w:rPr>
                <w:noProof/>
                <w:webHidden/>
              </w:rPr>
              <w:fldChar w:fldCharType="begin"/>
            </w:r>
            <w:r>
              <w:rPr>
                <w:noProof/>
                <w:webHidden/>
              </w:rPr>
              <w:instrText xml:space="preserve"> PAGEREF _Toc238848890 \h </w:instrText>
            </w:r>
            <w:r>
              <w:rPr>
                <w:noProof/>
                <w:webHidden/>
              </w:rPr>
            </w:r>
            <w:r>
              <w:rPr>
                <w:noProof/>
                <w:webHidden/>
              </w:rPr>
              <w:fldChar w:fldCharType="separate"/>
            </w:r>
            <w:r>
              <w:rPr>
                <w:noProof/>
                <w:webHidden/>
              </w:rPr>
              <w:t>61</w:t>
            </w:r>
            <w:r>
              <w:rPr>
                <w:noProof/>
                <w:webHidden/>
              </w:rPr>
              <w:fldChar w:fldCharType="end"/>
            </w:r>
          </w:hyperlink>
        </w:p>
        <w:p w14:paraId="5BB3E09A" w14:textId="77777777" w:rsidR="00573BBE" w:rsidRDefault="00573BBE">
          <w:pPr>
            <w:pStyle w:val="TOC2"/>
            <w:tabs>
              <w:tab w:val="right" w:leader="dot" w:pos="9350"/>
            </w:tabs>
            <w:rPr>
              <w:noProof/>
            </w:rPr>
          </w:pPr>
          <w:hyperlink w:anchor="_Toc238848891" w:history="1">
            <w:r w:rsidRPr="006E546D">
              <w:rPr>
                <w:rStyle w:val="Hyperlink"/>
                <w:noProof/>
              </w:rPr>
              <w:t>Part G. Research and technical references</w:t>
            </w:r>
            <w:r>
              <w:rPr>
                <w:noProof/>
                <w:webHidden/>
              </w:rPr>
              <w:tab/>
            </w:r>
            <w:r>
              <w:rPr>
                <w:noProof/>
                <w:webHidden/>
              </w:rPr>
              <w:fldChar w:fldCharType="begin"/>
            </w:r>
            <w:r>
              <w:rPr>
                <w:noProof/>
                <w:webHidden/>
              </w:rPr>
              <w:instrText xml:space="preserve"> PAGEREF _Toc238848891 \h </w:instrText>
            </w:r>
            <w:r>
              <w:rPr>
                <w:noProof/>
                <w:webHidden/>
              </w:rPr>
            </w:r>
            <w:r>
              <w:rPr>
                <w:noProof/>
                <w:webHidden/>
              </w:rPr>
              <w:fldChar w:fldCharType="separate"/>
            </w:r>
            <w:r>
              <w:rPr>
                <w:noProof/>
                <w:webHidden/>
              </w:rPr>
              <w:t>62</w:t>
            </w:r>
            <w:r>
              <w:rPr>
                <w:noProof/>
                <w:webHidden/>
              </w:rPr>
              <w:fldChar w:fldCharType="end"/>
            </w:r>
          </w:hyperlink>
        </w:p>
        <w:p w14:paraId="1EBC6670" w14:textId="77777777" w:rsidR="00573BBE" w:rsidRDefault="00573BBE">
          <w:pPr>
            <w:pStyle w:val="TOC2"/>
            <w:tabs>
              <w:tab w:val="right" w:leader="dot" w:pos="9350"/>
            </w:tabs>
            <w:rPr>
              <w:noProof/>
            </w:rPr>
          </w:pPr>
          <w:hyperlink w:anchor="_Toc238848892" w:history="1">
            <w:r w:rsidRPr="006E546D">
              <w:rPr>
                <w:rStyle w:val="Hyperlink"/>
                <w:noProof/>
              </w:rPr>
              <w:t>Part H. Benchmark frameworks (peer indices)</w:t>
            </w:r>
            <w:r>
              <w:rPr>
                <w:noProof/>
                <w:webHidden/>
              </w:rPr>
              <w:tab/>
            </w:r>
            <w:r>
              <w:rPr>
                <w:noProof/>
                <w:webHidden/>
              </w:rPr>
              <w:fldChar w:fldCharType="begin"/>
            </w:r>
            <w:r>
              <w:rPr>
                <w:noProof/>
                <w:webHidden/>
              </w:rPr>
              <w:instrText xml:space="preserve"> PAGEREF _Toc238848892 \h </w:instrText>
            </w:r>
            <w:r>
              <w:rPr>
                <w:noProof/>
                <w:webHidden/>
              </w:rPr>
            </w:r>
            <w:r>
              <w:rPr>
                <w:noProof/>
                <w:webHidden/>
              </w:rPr>
              <w:fldChar w:fldCharType="separate"/>
            </w:r>
            <w:r>
              <w:rPr>
                <w:noProof/>
                <w:webHidden/>
              </w:rPr>
              <w:t>64</w:t>
            </w:r>
            <w:r>
              <w:rPr>
                <w:noProof/>
                <w:webHidden/>
              </w:rPr>
              <w:fldChar w:fldCharType="end"/>
            </w:r>
          </w:hyperlink>
        </w:p>
        <w:p w14:paraId="3CB29F25" w14:textId="77777777" w:rsidR="00573BBE" w:rsidRDefault="00573BBE">
          <w:pPr>
            <w:pStyle w:val="TOC2"/>
            <w:tabs>
              <w:tab w:val="right" w:leader="dot" w:pos="9350"/>
            </w:tabs>
            <w:rPr>
              <w:noProof/>
            </w:rPr>
          </w:pPr>
          <w:hyperlink w:anchor="_Toc238848893" w:history="1">
            <w:r w:rsidRPr="006E546D">
              <w:rPr>
                <w:rStyle w:val="Hyperlink"/>
                <w:noProof/>
              </w:rPr>
              <w:t>Part J. Claims not yet individually verified</w:t>
            </w:r>
            <w:r>
              <w:rPr>
                <w:noProof/>
                <w:webHidden/>
              </w:rPr>
              <w:tab/>
            </w:r>
            <w:r>
              <w:rPr>
                <w:noProof/>
                <w:webHidden/>
              </w:rPr>
              <w:fldChar w:fldCharType="begin"/>
            </w:r>
            <w:r>
              <w:rPr>
                <w:noProof/>
                <w:webHidden/>
              </w:rPr>
              <w:instrText xml:space="preserve"> PAGEREF _Toc238848893 \h </w:instrText>
            </w:r>
            <w:r>
              <w:rPr>
                <w:noProof/>
                <w:webHidden/>
              </w:rPr>
            </w:r>
            <w:r>
              <w:rPr>
                <w:noProof/>
                <w:webHidden/>
              </w:rPr>
              <w:fldChar w:fldCharType="separate"/>
            </w:r>
            <w:r>
              <w:rPr>
                <w:noProof/>
                <w:webHidden/>
              </w:rPr>
              <w:t>67</w:t>
            </w:r>
            <w:r>
              <w:rPr>
                <w:noProof/>
                <w:webHidden/>
              </w:rPr>
              <w:fldChar w:fldCharType="end"/>
            </w:r>
          </w:hyperlink>
        </w:p>
        <w:p w14:paraId="2B901AB8" w14:textId="77777777" w:rsidR="00573BBE" w:rsidRDefault="00573BBE">
          <w:pPr>
            <w:pStyle w:val="TOC1"/>
            <w:tabs>
              <w:tab w:val="right" w:leader="dot" w:pos="9350"/>
            </w:tabs>
            <w:rPr>
              <w:noProof/>
            </w:rPr>
          </w:pPr>
          <w:hyperlink w:anchor="_Toc238848894" w:history="1">
            <w:r w:rsidRPr="006E546D">
              <w:rPr>
                <w:rStyle w:val="Hyperlink"/>
                <w:noProof/>
              </w:rPr>
              <w:t>Rights and licensing</w:t>
            </w:r>
            <w:r>
              <w:rPr>
                <w:noProof/>
                <w:webHidden/>
              </w:rPr>
              <w:tab/>
            </w:r>
            <w:r>
              <w:rPr>
                <w:noProof/>
                <w:webHidden/>
              </w:rPr>
              <w:fldChar w:fldCharType="begin"/>
            </w:r>
            <w:r>
              <w:rPr>
                <w:noProof/>
                <w:webHidden/>
              </w:rPr>
              <w:instrText xml:space="preserve"> PAGEREF _Toc238848894 \h </w:instrText>
            </w:r>
            <w:r>
              <w:rPr>
                <w:noProof/>
                <w:webHidden/>
              </w:rPr>
            </w:r>
            <w:r>
              <w:rPr>
                <w:noProof/>
                <w:webHidden/>
              </w:rPr>
              <w:fldChar w:fldCharType="separate"/>
            </w:r>
            <w:r>
              <w:rPr>
                <w:noProof/>
                <w:webHidden/>
              </w:rPr>
              <w:t>69</w:t>
            </w:r>
            <w:r>
              <w:rPr>
                <w:noProof/>
                <w:webHidden/>
              </w:rPr>
              <w:fldChar w:fldCharType="end"/>
            </w:r>
          </w:hyperlink>
        </w:p>
        <w:p w14:paraId="525DDB3C" w14:textId="77777777" w:rsidR="008A25C9" w:rsidRDefault="00000000">
          <w:r>
            <w:fldChar w:fldCharType="end"/>
          </w:r>
        </w:p>
      </w:sdtContent>
    </w:sdt>
    <w:p w14:paraId="75B07731" w14:textId="77777777" w:rsidR="008A25C9" w:rsidRDefault="00000000">
      <w:pPr>
        <w:pStyle w:val="Heading1"/>
      </w:pPr>
      <w:bookmarkStart w:id="0" w:name="ai-strategic-autonomy-framework"/>
      <w:bookmarkStart w:id="1" w:name="_Toc238848846"/>
      <w:r>
        <w:t>AI Strategic Autonomy Framework</w:t>
      </w:r>
      <w:bookmarkEnd w:id="0"/>
      <w:bookmarkEnd w:id="1"/>
    </w:p>
    <w:p w14:paraId="0DD9904F" w14:textId="77777777" w:rsidR="008A25C9" w:rsidRDefault="00000000">
      <w:pPr>
        <w:pStyle w:val="FirstParagraph"/>
      </w:pPr>
      <w:r>
        <w:rPr>
          <w:b/>
        </w:rPr>
        <w:t>Document Package — Framework, Field Guides, State of Play, and Evidence Base</w:t>
      </w:r>
    </w:p>
    <w:p w14:paraId="6E81E3C3" w14:textId="77777777" w:rsidR="008A25C9" w:rsidRDefault="00000000">
      <w:pPr>
        <w:pStyle w:val="BodyText"/>
      </w:pPr>
      <w:r>
        <w:t>Version 0.7.1 · August 2026 · CC BY 4.0 — full licence, revision notes, and suggested citation are at the back of this package.</w:t>
      </w:r>
    </w:p>
    <w:p w14:paraId="080BB178" w14:textId="77777777" w:rsidR="008A25C9" w:rsidRDefault="00000000">
      <w:pPr>
        <w:pStyle w:val="Heading2"/>
      </w:pPr>
      <w:bookmarkStart w:id="2" w:name="at-a-glance"/>
      <w:bookmarkStart w:id="3" w:name="_Toc238848847"/>
      <w:r>
        <w:t>At a glance</w:t>
      </w:r>
      <w:bookmarkEnd w:id="2"/>
      <w:bookmarkEnd w:id="3"/>
    </w:p>
    <w:p w14:paraId="43A40536" w14:textId="77777777" w:rsidR="008A25C9" w:rsidRDefault="00000000">
      <w:pPr>
        <w:pStyle w:val="FirstParagraph"/>
      </w:pPr>
      <w:r>
        <w:rPr>
          <w:b/>
        </w:rPr>
        <w:t>What is this?</w:t>
      </w:r>
    </w:p>
    <w:p w14:paraId="0668C070" w14:textId="77777777" w:rsidR="008A25C9" w:rsidRDefault="00000000">
      <w:pPr>
        <w:pStyle w:val="BodyText"/>
      </w:pPr>
      <w:r>
        <w:t>The AI Strategic Autonomy Framework (AI-SAF) is a way to measure AI sovereignty — whether a government or a company can keep its important AI systems running, and keep improving them, if an outside supplier or technology cuts off access. It is not a ranking of who is “best at AI.” It measures something different: how much keeps working, and keeps developing, when access changes.</w:t>
      </w:r>
    </w:p>
    <w:p w14:paraId="7BAB37AA" w14:textId="77777777" w:rsidR="008A25C9" w:rsidRDefault="00000000">
      <w:pPr>
        <w:pStyle w:val="BodyText"/>
      </w:pPr>
      <w:r>
        <w:rPr>
          <w:b/>
        </w:rPr>
        <w:lastRenderedPageBreak/>
        <w:t>Two questions, two scores</w:t>
      </w:r>
    </w:p>
    <w:p w14:paraId="728370B0" w14:textId="77777777" w:rsidR="008A25C9" w:rsidRDefault="00000000">
      <w:pPr>
        <w:pStyle w:val="BodyText"/>
      </w:pPr>
      <w:r>
        <w:t>Every assessment answers “What still works if a supplier cuts us off tomorrow?” (resilience) and “Who gets to decide our technology path?” (autonomy). From v0.7.1, these are no longer just an interpretive lens: every sub-indicator is tagged R (resilience) or A (autonomy), and each assessment reports the two subtotals alongside the headline score, which runs from 0 to 100 (higher = more sovereign). A subject can score high on one and low on the other; true sovereignty needs both.</w:t>
      </w:r>
    </w:p>
    <w:p w14:paraId="3786FA69" w14:textId="77777777" w:rsidR="008A25C9" w:rsidRDefault="00000000">
      <w:pPr>
        <w:pStyle w:val="BodyText"/>
      </w:pPr>
      <w:r>
        <w:rPr>
          <w:b/>
        </w:rPr>
        <w:t>Two versions, shared building blocks</w:t>
      </w:r>
    </w:p>
    <w:p w14:paraId="50416C54" w14:textId="77777777" w:rsidR="008A25C9" w:rsidRDefault="00000000">
      <w:pPr>
        <w:pStyle w:val="BodyText"/>
      </w:pPr>
      <w:r>
        <w:t xml:space="preserve">Governments and companies face the same pressures but react differently, so the framework keeps two versions instead of one combined score. Both share eight pillars: Data, Models, Infrastructure, Hardware, Manufacturing, Software, Human Capital, and Regulatory. </w:t>
      </w:r>
      <w:r>
        <w:rPr>
          <w:b/>
        </w:rPr>
        <w:t>AI-SAF-C (business)</w:t>
      </w:r>
      <w:r>
        <w:t xml:space="preserve"> — the lead variant of this package — is for companies; it weights what companies control (cloud choice, model choice, compliance, speed) and adds a ninth pillar, Culture and Operating Model. </w:t>
      </w:r>
      <w:r>
        <w:rPr>
          <w:b/>
        </w:rPr>
        <w:t>AI-SAF-N (national)</w:t>
      </w:r>
      <w:r>
        <w:t xml:space="preserve"> is for governments and blocs; it weights what governments control — chips, sovereign clouds, chip factories, and rule-making. The same pillar can mean opposite things at the two levels — the full argument is in Framework §1.2, and it is the reason a single combined score cannot work.</w:t>
      </w:r>
    </w:p>
    <w:p w14:paraId="78E5B8B7" w14:textId="77777777" w:rsidR="008A25C9" w:rsidRDefault="00000000">
      <w:pPr>
        <w:pStyle w:val="BodyText"/>
      </w:pPr>
      <w:r>
        <w:rPr>
          <w:b/>
        </w:rPr>
        <w:t>How does scoring work?</w:t>
      </w:r>
    </w:p>
    <w:p w14:paraId="1FEC3B65" w14:textId="77777777" w:rsidR="008A25C9" w:rsidRDefault="00000000">
      <w:pPr>
        <w:pStyle w:val="BodyText"/>
      </w:pPr>
      <w:r>
        <w:t>Pillars break into sub-indicators, scored on two angles: capability (what is actually in place today — the basis for the main score) and commitment (what has only been promised — used to estimate the position three years out). Modifiers then adjust the scores: AI-SAF-N has four (rule-stability, geopolitical-alliance, critical-minerals, operating-model), applied in a fixed order set out in the National Field Guide; AI-SAF-C applies a scale discount for smaller firms. Each dependency is labelled a bottleneck (replaceable) or a structural constraint (no realistic replacement). Scores from different levels (national vs. corporate) are not comparable.</w:t>
      </w:r>
    </w:p>
    <w:p w14:paraId="44AF4F5C" w14:textId="77777777" w:rsidR="008A25C9" w:rsidRDefault="00000000">
      <w:pPr>
        <w:pStyle w:val="BodyText"/>
      </w:pPr>
      <w:r>
        <w:rPr>
          <w:b/>
        </w:rPr>
        <w:t>The central idea — Version Deadlock</w:t>
      </w:r>
    </w:p>
    <w:p w14:paraId="148442B5" w14:textId="77777777" w:rsidR="008A25C9" w:rsidRDefault="00000000">
      <w:pPr>
        <w:pStyle w:val="BodyText"/>
      </w:pPr>
      <w:r>
        <w:t>The framework’s most original concept is the trap of being unable to move to the next version of a technology you depend on. Needing a supplier today is manageable; losing the ability to keep up is slow, hard to spot, and often impossible to undo. Outcomes fall into four states — Recoverable, Slow-clock, Vulnerable-but-recoverable, and Terminal — with one caution added in this revision: a deadlock ended by the supplier’s side (restoration) says nothing about the subject’s own position. The 2026 Fable 5 / Mythos 5 suspension and 19-day restoration is now the framework’s flagship live case.</w:t>
      </w:r>
    </w:p>
    <w:p w14:paraId="30FFDBC4" w14:textId="77777777" w:rsidR="008A25C9" w:rsidRDefault="00000000">
      <w:pPr>
        <w:pStyle w:val="BodyText"/>
      </w:pPr>
      <w:r>
        <w:rPr>
          <w:b/>
        </w:rPr>
        <w:t>Putting it to use — gap analysis</w:t>
      </w:r>
    </w:p>
    <w:p w14:paraId="629EC904" w14:textId="77777777" w:rsidR="008A25C9" w:rsidRDefault="00000000">
      <w:pPr>
        <w:pStyle w:val="BodyText"/>
      </w:pPr>
      <w:r>
        <w:t xml:space="preserve">The framework’s main job is not the score but pointing to where the next investment does the most good: score today, project three years out if nothing changes, work out the payoff per unit of investment for each pillar, then choose the best mix. For companies, </w:t>
      </w:r>
      <w:r>
        <w:lastRenderedPageBreak/>
        <w:t>people come first, then reaching L2 on Models (adapting an open model). For countries, infrastructure and people pay off most, over 5–10 years.</w:t>
      </w:r>
    </w:p>
    <w:p w14:paraId="00927DFE" w14:textId="77777777" w:rsidR="008A25C9" w:rsidRDefault="00000000">
      <w:pPr>
        <w:pStyle w:val="BodyText"/>
      </w:pPr>
      <w:r>
        <w:rPr>
          <w:b/>
        </w:rPr>
        <w:t>Package contents</w:t>
      </w:r>
    </w:p>
    <w:p w14:paraId="0EF81D18" w14:textId="77777777" w:rsidR="008A25C9" w:rsidRDefault="00000000">
      <w:pPr>
        <w:pStyle w:val="Compact"/>
        <w:numPr>
          <w:ilvl w:val="0"/>
          <w:numId w:val="2"/>
        </w:numPr>
      </w:pPr>
      <w:r>
        <w:rPr>
          <w:b/>
        </w:rPr>
        <w:t>Document 1 · The Framework</w:t>
      </w:r>
      <w:r>
        <w:t xml:space="preserve"> — theory, methodology, terminology, and the merged glossary.</w:t>
      </w:r>
    </w:p>
    <w:p w14:paraId="5F80CE73" w14:textId="77777777" w:rsidR="008A25C9" w:rsidRDefault="00000000">
      <w:pPr>
        <w:pStyle w:val="Compact"/>
        <w:numPr>
          <w:ilvl w:val="0"/>
          <w:numId w:val="2"/>
        </w:numPr>
      </w:pPr>
      <w:r>
        <w:rPr>
          <w:b/>
        </w:rPr>
        <w:t>Document 2 · AI-SAF-C Field Guide</w:t>
      </w:r>
      <w:r>
        <w:t xml:space="preserve"> (business) — nine pillars with scoring rubrics, the BNP Paribas worked example with an ING calibration check, and the crosswalk to NIST AI RMF, ISO/IEC 42001, and GAIA-X.</w:t>
      </w:r>
    </w:p>
    <w:p w14:paraId="6B7D07F9" w14:textId="77777777" w:rsidR="008A25C9" w:rsidRDefault="00000000">
      <w:pPr>
        <w:pStyle w:val="Compact"/>
        <w:numPr>
          <w:ilvl w:val="0"/>
          <w:numId w:val="2"/>
        </w:numPr>
      </w:pPr>
      <w:r>
        <w:rPr>
          <w:b/>
        </w:rPr>
        <w:t>Document 3 · AI-SAF-N Field Guide</w:t>
      </w:r>
      <w:r>
        <w:t xml:space="preserve"> (national) — eight pillars with scoring rubrics, the four modifiers, worked examples for Bulgaria, France, and the UAE, and the INSAIT/BgGPT case study.</w:t>
      </w:r>
    </w:p>
    <w:p w14:paraId="36A7DD29" w14:textId="77777777" w:rsidR="008A25C9" w:rsidRDefault="00000000">
      <w:pPr>
        <w:pStyle w:val="Compact"/>
        <w:numPr>
          <w:ilvl w:val="0"/>
          <w:numId w:val="2"/>
        </w:numPr>
      </w:pPr>
      <w:r>
        <w:rPr>
          <w:b/>
        </w:rPr>
        <w:t>Document 4 · State of Play</w:t>
      </w:r>
      <w:r>
        <w:t xml:space="preserve"> — the dated market snapshot (models, clouds, chips, manufacturing, software), separated from the rubrics so it can be refreshed each revision without touching the scoring.</w:t>
      </w:r>
    </w:p>
    <w:p w14:paraId="60DC318E" w14:textId="77777777" w:rsidR="008A25C9" w:rsidRDefault="00000000">
      <w:pPr>
        <w:pStyle w:val="Compact"/>
        <w:numPr>
          <w:ilvl w:val="0"/>
          <w:numId w:val="2"/>
        </w:numPr>
      </w:pPr>
      <w:r>
        <w:rPr>
          <w:b/>
        </w:rPr>
        <w:t>Document 5 · Evidence Base</w:t>
      </w:r>
      <w:r>
        <w:t xml:space="preserve"> — sovereignty incidents and sources, 2024–2026, updated to August 2026.</w:t>
      </w:r>
    </w:p>
    <w:p w14:paraId="7A65EF3F" w14:textId="77777777" w:rsidR="008A25C9" w:rsidRDefault="00000000">
      <w:pPr>
        <w:pStyle w:val="FirstParagraph"/>
      </w:pPr>
      <w:r>
        <w:rPr>
          <w:b/>
        </w:rPr>
        <w:t>What is uncertain</w:t>
      </w:r>
    </w:p>
    <w:p w14:paraId="33983BD9" w14:textId="77777777" w:rsidR="008A25C9" w:rsidRDefault="00000000">
      <w:pPr>
        <w:pStyle w:val="BodyText"/>
      </w:pPr>
      <w:r>
        <w:t>Part V of the Framework lists the open questions candidly, updated for this revision: how the EU AI Act’s split timeline plays out (GPAI enforcement live since 2 August 2026; high-risk deferred); where the Cloud and AI Development Act’s sovereignty framework lands in trilogue; whether hyperscalers’ own chips loosen NVIDIA’s grip; whether export controls on model access (the Fable 5 / Mythos 5 episode) become a repeated instrument; life after the Intel Magdeburg cancellation; how much announced funding is actually spent; and the limits of the framework’s own additive scoring.</w:t>
      </w:r>
    </w:p>
    <w:p w14:paraId="723CC653" w14:textId="77777777" w:rsidR="008A25C9" w:rsidRDefault="00000000">
      <w:pPr>
        <w:pStyle w:val="Heading2"/>
      </w:pPr>
      <w:bookmarkStart w:id="4" w:name="about-this-package"/>
      <w:bookmarkStart w:id="5" w:name="_Toc238848848"/>
      <w:r>
        <w:t>About this package</w:t>
      </w:r>
      <w:bookmarkEnd w:id="4"/>
      <w:bookmarkEnd w:id="5"/>
    </w:p>
    <w:p w14:paraId="20915DD5" w14:textId="77777777" w:rsidR="008A25C9" w:rsidRDefault="00000000">
      <w:pPr>
        <w:pStyle w:val="FirstParagraph"/>
      </w:pPr>
      <w:r>
        <w:t>The AI Strategic Autonomy Framework (AI-SAF) assesses AI sovereignty — the capacity of a state or a firm to keep its critical AI systems running, and to keep evolving them, when external access to suppliers or technology is constrained. The framework decomposes sovereignty along two axes (resilience and autonomy), across eight shared pillars, with separate weightings for states and firms, and with an explicit account of the Version Deadlock condition — being unable to evolve because access to the next version of a key technology has been interrupted.</w:t>
      </w:r>
    </w:p>
    <w:p w14:paraId="03C97BA4" w14:textId="77777777" w:rsidR="008A25C9" w:rsidRDefault="00000000">
      <w:pPr>
        <w:pStyle w:val="BodyText"/>
      </w:pPr>
      <w:r>
        <w:t>The two field guides are self-contained. Each opens with a short bridge to the Framework. Reading the Framework first is recommended but not required. Dated market material lives in Document 4 (State of Play) and is refreshed each revision; the rubrics in the field guides are designed to stay stable between revisions.</w:t>
      </w:r>
    </w:p>
    <w:p w14:paraId="6398EC16" w14:textId="77777777" w:rsidR="008A25C9" w:rsidRDefault="00000000">
      <w:pPr>
        <w:pStyle w:val="BodyText"/>
      </w:pPr>
      <w:r>
        <w:rPr>
          <w:b/>
        </w:rPr>
        <w:t>A note on the acronym.</w:t>
      </w:r>
      <w:r>
        <w:t xml:space="preserve"> AI-SAF here stands for AI Strategic Autonomy Framework. It is not the UK AI Security Institute or the US CAISI, which are referenced inside the documents </w:t>
      </w:r>
      <w:r>
        <w:lastRenderedPageBreak/>
        <w:t>but are separate institutions. If this framework moves toward external publication, rebranding is an open question.</w:t>
      </w:r>
    </w:p>
    <w:p w14:paraId="7CA5F9F4" w14:textId="77777777" w:rsidR="008A25C9" w:rsidRDefault="00000000">
      <w:pPr>
        <w:pStyle w:val="BodyText"/>
      </w:pPr>
      <w:r>
        <w:rPr>
          <w:b/>
        </w:rPr>
        <w:t>What kind of feedback would be most useful?</w:t>
      </w:r>
    </w:p>
    <w:p w14:paraId="06731069" w14:textId="77777777" w:rsidR="008A25C9" w:rsidRDefault="00000000">
      <w:pPr>
        <w:pStyle w:val="BodyText"/>
      </w:pPr>
      <w:r>
        <w:t>The framework was first circulated in May 2026; the current revision is v0.7.1 (August 2026). Feedback is most valuable on four points: whether the pillar weights are defensible against the 2024–2026 incident record; whether Version Deadlock is a genuinely useful concept or repackaged lock-in; whether the worked-example profiles (Bulgaria ~46, France ~70, UAE ~57 on AI-SAF-N; BNP Paribas ~62 and ING ~47 on AI-SAF-C) track your own read of these subjects; and whether Part V lists the right uncertainties. A half-page of honest skepticism is more useful than polite acknowledgment. # Document 1 · The Framework</w:t>
      </w:r>
    </w:p>
    <w:p w14:paraId="07494EE9" w14:textId="77777777" w:rsidR="008A25C9" w:rsidRDefault="00000000">
      <w:pPr>
        <w:pStyle w:val="BodyText"/>
      </w:pPr>
      <w:r>
        <w:rPr>
          <w:i/>
        </w:rPr>
        <w:t>Conceptual foundation — theory, methodology, terminology. Version 0.7.1 · August 2026 · CC BY 4.0</w:t>
      </w:r>
    </w:p>
    <w:p w14:paraId="2264EE0E" w14:textId="77777777" w:rsidR="008A25C9" w:rsidRDefault="00000000">
      <w:pPr>
        <w:pStyle w:val="Heading2"/>
      </w:pPr>
      <w:bookmarkStart w:id="6" w:name="how-to-read-this-document"/>
      <w:bookmarkStart w:id="7" w:name="_Toc238848849"/>
      <w:r>
        <w:t>How to read this document</w:t>
      </w:r>
      <w:bookmarkEnd w:id="6"/>
      <w:bookmarkEnd w:id="7"/>
    </w:p>
    <w:p w14:paraId="150D4569" w14:textId="77777777" w:rsidR="008A25C9" w:rsidRDefault="00000000">
      <w:pPr>
        <w:pStyle w:val="FirstParagraph"/>
      </w:pPr>
      <w:r>
        <w:t>This framework uses a specific vocabulary and a specific scoring structure throughout. This section introduces both. A reader already familiar with sovereignty indices may skim it; a reader new to the framework should read it carefully.</w:t>
      </w:r>
    </w:p>
    <w:p w14:paraId="392C9B12" w14:textId="77777777" w:rsidR="008A25C9" w:rsidRDefault="00000000">
      <w:pPr>
        <w:pStyle w:val="CaptionedFigure"/>
      </w:pPr>
      <w:r>
        <w:rPr>
          <w:noProof/>
        </w:rPr>
        <w:drawing>
          <wp:inline distT="0" distB="0" distL="0" distR="0" wp14:anchorId="7356D276" wp14:editId="64D4DFE4">
            <wp:extent cx="5334000" cy="3539717"/>
            <wp:effectExtent l="0" t="0" r="0" b="0"/>
            <wp:docPr id="1" name="Picture" descr="The AI-SAF framework architecture. An assessment builds from the bottom up: capability and commitment data score the sub-indicators, sub-indicators score the pillars, pillars sum to the headline, modifiers adjust it. Every sub-indicator carries an R (resilience) or A (autonomy) tag; the two subtotals are reported alongside the headline."/>
            <wp:cNvGraphicFramePr/>
            <a:graphic xmlns:a="http://schemas.openxmlformats.org/drawingml/2006/main">
              <a:graphicData uri="http://schemas.openxmlformats.org/drawingml/2006/picture">
                <pic:pic xmlns:pic="http://schemas.openxmlformats.org/drawingml/2006/picture">
                  <pic:nvPicPr>
                    <pic:cNvPr id="0" name="Picture" descr="media/figure1.png"/>
                    <pic:cNvPicPr>
                      <a:picLocks noChangeAspect="1" noChangeArrowheads="1"/>
                    </pic:cNvPicPr>
                  </pic:nvPicPr>
                  <pic:blipFill>
                    <a:blip r:embed="rId7"/>
                    <a:stretch>
                      <a:fillRect/>
                    </a:stretch>
                  </pic:blipFill>
                  <pic:spPr bwMode="auto">
                    <a:xfrm>
                      <a:off x="0" y="0"/>
                      <a:ext cx="5334000" cy="3539717"/>
                    </a:xfrm>
                    <a:prstGeom prst="rect">
                      <a:avLst/>
                    </a:prstGeom>
                    <a:noFill/>
                    <a:ln w="9525">
                      <a:noFill/>
                      <a:headEnd/>
                      <a:tailEnd/>
                    </a:ln>
                  </pic:spPr>
                </pic:pic>
              </a:graphicData>
            </a:graphic>
          </wp:inline>
        </w:drawing>
      </w:r>
    </w:p>
    <w:p w14:paraId="7F45D7C7" w14:textId="77777777" w:rsidR="008A25C9" w:rsidRDefault="00000000">
      <w:pPr>
        <w:pStyle w:val="ImageCaption"/>
      </w:pPr>
      <w:r>
        <w:t xml:space="preserve">The AI-SAF framework architecture. An assessment builds from the bottom up: capability and commitment data score the sub-indicators, sub-indicators score the pillars, pillars sum </w:t>
      </w:r>
      <w:r>
        <w:lastRenderedPageBreak/>
        <w:t>to the headline, modifiers adjust it. Every sub-indicator carries an R (resilience) or A (autonomy) tag; the two subtotals are reported alongside the headline.</w:t>
      </w:r>
    </w:p>
    <w:p w14:paraId="3573F01E" w14:textId="77777777" w:rsidR="008A25C9" w:rsidRDefault="00000000">
      <w:pPr>
        <w:pStyle w:val="Heading3"/>
      </w:pPr>
      <w:bookmarkStart w:id="8" w:name="the-pillars-and-weights"/>
      <w:r>
        <w:t>The pillars and weights</w:t>
      </w:r>
      <w:bookmarkEnd w:id="8"/>
    </w:p>
    <w:p w14:paraId="3BCF8E48" w14:textId="77777777" w:rsidR="008A25C9" w:rsidRDefault="00000000">
      <w:pPr>
        <w:pStyle w:val="FirstParagraph"/>
      </w:pPr>
      <w:r>
        <w:t>Every AI-SAF assessment — a company under AI-SAF-C or a country under AI-SAF-N — scores the subject on eight shared pillars. A ninth, Culture and Operating Model, applies to companies only.</w:t>
      </w:r>
    </w:p>
    <w:tbl>
      <w:tblPr>
        <w:tblStyle w:val="Table"/>
        <w:tblW w:w="5000" w:type="pct"/>
        <w:tblLook w:val="07E0" w:firstRow="1" w:lastRow="1" w:firstColumn="1" w:lastColumn="1" w:noHBand="1" w:noVBand="1"/>
      </w:tblPr>
      <w:tblGrid>
        <w:gridCol w:w="2287"/>
        <w:gridCol w:w="5313"/>
        <w:gridCol w:w="879"/>
        <w:gridCol w:w="881"/>
      </w:tblGrid>
      <w:tr w:rsidR="008A25C9" w14:paraId="7FEDAF0D" w14:textId="77777777">
        <w:tc>
          <w:tcPr>
            <w:tcW w:w="0" w:type="auto"/>
            <w:tcBorders>
              <w:bottom w:val="single" w:sz="0" w:space="0" w:color="auto"/>
            </w:tcBorders>
            <w:vAlign w:val="bottom"/>
          </w:tcPr>
          <w:p w14:paraId="249242C4" w14:textId="77777777" w:rsidR="008A25C9" w:rsidRDefault="00000000">
            <w:pPr>
              <w:pStyle w:val="Compact"/>
            </w:pPr>
            <w:r>
              <w:t>Pillar</w:t>
            </w:r>
          </w:p>
        </w:tc>
        <w:tc>
          <w:tcPr>
            <w:tcW w:w="0" w:type="auto"/>
            <w:tcBorders>
              <w:bottom w:val="single" w:sz="0" w:space="0" w:color="auto"/>
            </w:tcBorders>
            <w:vAlign w:val="bottom"/>
          </w:tcPr>
          <w:p w14:paraId="1A180E2E" w14:textId="77777777" w:rsidR="008A25C9" w:rsidRDefault="00000000">
            <w:pPr>
              <w:pStyle w:val="Compact"/>
            </w:pPr>
            <w:r>
              <w:t>What it measures</w:t>
            </w:r>
          </w:p>
        </w:tc>
        <w:tc>
          <w:tcPr>
            <w:tcW w:w="0" w:type="auto"/>
            <w:tcBorders>
              <w:bottom w:val="single" w:sz="0" w:space="0" w:color="auto"/>
            </w:tcBorders>
            <w:vAlign w:val="bottom"/>
          </w:tcPr>
          <w:p w14:paraId="27E4BE4C" w14:textId="77777777" w:rsidR="008A25C9" w:rsidRDefault="00000000">
            <w:pPr>
              <w:pStyle w:val="Compact"/>
            </w:pPr>
            <w:r>
              <w:t>AI-SAF-C</w:t>
            </w:r>
          </w:p>
        </w:tc>
        <w:tc>
          <w:tcPr>
            <w:tcW w:w="0" w:type="auto"/>
            <w:tcBorders>
              <w:bottom w:val="single" w:sz="0" w:space="0" w:color="auto"/>
            </w:tcBorders>
            <w:vAlign w:val="bottom"/>
          </w:tcPr>
          <w:p w14:paraId="0D653D4F" w14:textId="77777777" w:rsidR="008A25C9" w:rsidRDefault="00000000">
            <w:pPr>
              <w:pStyle w:val="Compact"/>
            </w:pPr>
            <w:r>
              <w:t>AI-SAF-N</w:t>
            </w:r>
          </w:p>
        </w:tc>
      </w:tr>
      <w:tr w:rsidR="008A25C9" w14:paraId="06E9D204" w14:textId="77777777">
        <w:tc>
          <w:tcPr>
            <w:tcW w:w="0" w:type="auto"/>
          </w:tcPr>
          <w:p w14:paraId="5C617E22" w14:textId="77777777" w:rsidR="008A25C9" w:rsidRDefault="00000000">
            <w:pPr>
              <w:pStyle w:val="Compact"/>
            </w:pPr>
            <w:r>
              <w:t>1. Data</w:t>
            </w:r>
          </w:p>
        </w:tc>
        <w:tc>
          <w:tcPr>
            <w:tcW w:w="0" w:type="auto"/>
          </w:tcPr>
          <w:p w14:paraId="2330B44C" w14:textId="77777777" w:rsidR="008A25C9" w:rsidRDefault="00000000">
            <w:pPr>
              <w:pStyle w:val="Compact"/>
            </w:pPr>
            <w:r>
              <w:t>Language and proprietary data, where data is kept, the laws covering it, and what leaves at inference time</w:t>
            </w:r>
          </w:p>
        </w:tc>
        <w:tc>
          <w:tcPr>
            <w:tcW w:w="0" w:type="auto"/>
          </w:tcPr>
          <w:p w14:paraId="1E818833" w14:textId="77777777" w:rsidR="008A25C9" w:rsidRDefault="00000000">
            <w:pPr>
              <w:pStyle w:val="Compact"/>
            </w:pPr>
            <w:r>
              <w:t>14</w:t>
            </w:r>
          </w:p>
        </w:tc>
        <w:tc>
          <w:tcPr>
            <w:tcW w:w="0" w:type="auto"/>
          </w:tcPr>
          <w:p w14:paraId="6A52D608" w14:textId="77777777" w:rsidR="008A25C9" w:rsidRDefault="00000000">
            <w:pPr>
              <w:pStyle w:val="Compact"/>
            </w:pPr>
            <w:r>
              <w:t>10</w:t>
            </w:r>
          </w:p>
        </w:tc>
      </w:tr>
      <w:tr w:rsidR="008A25C9" w14:paraId="304245C1" w14:textId="77777777">
        <w:tc>
          <w:tcPr>
            <w:tcW w:w="0" w:type="auto"/>
          </w:tcPr>
          <w:p w14:paraId="532AA683" w14:textId="77777777" w:rsidR="008A25C9" w:rsidRDefault="00000000">
            <w:pPr>
              <w:pStyle w:val="Compact"/>
            </w:pPr>
            <w:r>
              <w:t>2. Models</w:t>
            </w:r>
          </w:p>
        </w:tc>
        <w:tc>
          <w:tcPr>
            <w:tcW w:w="0" w:type="auto"/>
          </w:tcPr>
          <w:p w14:paraId="2642DF3C" w14:textId="77777777" w:rsidR="008A25C9" w:rsidRDefault="00000000">
            <w:pPr>
              <w:pStyle w:val="Compact"/>
            </w:pPr>
            <w:r>
              <w:t>Access to general-purpose AI models, the ability to adapt them, and a disciplined portfolio across providers and jurisdictions</w:t>
            </w:r>
          </w:p>
        </w:tc>
        <w:tc>
          <w:tcPr>
            <w:tcW w:w="0" w:type="auto"/>
          </w:tcPr>
          <w:p w14:paraId="6E7ACCFF" w14:textId="77777777" w:rsidR="008A25C9" w:rsidRDefault="00000000">
            <w:pPr>
              <w:pStyle w:val="Compact"/>
            </w:pPr>
            <w:r>
              <w:t>16</w:t>
            </w:r>
          </w:p>
        </w:tc>
        <w:tc>
          <w:tcPr>
            <w:tcW w:w="0" w:type="auto"/>
          </w:tcPr>
          <w:p w14:paraId="7817486C" w14:textId="77777777" w:rsidR="008A25C9" w:rsidRDefault="00000000">
            <w:pPr>
              <w:pStyle w:val="Compact"/>
            </w:pPr>
            <w:r>
              <w:t>16</w:t>
            </w:r>
          </w:p>
        </w:tc>
      </w:tr>
      <w:tr w:rsidR="008A25C9" w14:paraId="697B3102" w14:textId="77777777">
        <w:tc>
          <w:tcPr>
            <w:tcW w:w="0" w:type="auto"/>
          </w:tcPr>
          <w:p w14:paraId="797AD3F4" w14:textId="77777777" w:rsidR="008A25C9" w:rsidRDefault="00000000">
            <w:pPr>
              <w:pStyle w:val="Compact"/>
            </w:pPr>
            <w:r>
              <w:t>3. Infrastructure</w:t>
            </w:r>
          </w:p>
        </w:tc>
        <w:tc>
          <w:tcPr>
            <w:tcW w:w="0" w:type="auto"/>
          </w:tcPr>
          <w:p w14:paraId="7822257B" w14:textId="77777777" w:rsidR="008A25C9" w:rsidRDefault="00000000">
            <w:pPr>
              <w:pStyle w:val="Compact"/>
            </w:pPr>
            <w:r>
              <w:t>Cloud you control, data-centre capacity, reliable power, and confidential computing</w:t>
            </w:r>
          </w:p>
        </w:tc>
        <w:tc>
          <w:tcPr>
            <w:tcW w:w="0" w:type="auto"/>
          </w:tcPr>
          <w:p w14:paraId="5104EAD3" w14:textId="77777777" w:rsidR="008A25C9" w:rsidRDefault="00000000">
            <w:pPr>
              <w:pStyle w:val="Compact"/>
            </w:pPr>
            <w:r>
              <w:t>14</w:t>
            </w:r>
          </w:p>
        </w:tc>
        <w:tc>
          <w:tcPr>
            <w:tcW w:w="0" w:type="auto"/>
          </w:tcPr>
          <w:p w14:paraId="44B18654" w14:textId="77777777" w:rsidR="008A25C9" w:rsidRDefault="00000000">
            <w:pPr>
              <w:pStyle w:val="Compact"/>
            </w:pPr>
            <w:r>
              <w:t>17</w:t>
            </w:r>
          </w:p>
        </w:tc>
      </w:tr>
      <w:tr w:rsidR="008A25C9" w14:paraId="16F2F6F5" w14:textId="77777777">
        <w:tc>
          <w:tcPr>
            <w:tcW w:w="0" w:type="auto"/>
          </w:tcPr>
          <w:p w14:paraId="36141A87" w14:textId="77777777" w:rsidR="008A25C9" w:rsidRDefault="00000000">
            <w:pPr>
              <w:pStyle w:val="Compact"/>
            </w:pPr>
            <w:r>
              <w:t>4. Hardware</w:t>
            </w:r>
          </w:p>
        </w:tc>
        <w:tc>
          <w:tcPr>
            <w:tcW w:w="0" w:type="auto"/>
          </w:tcPr>
          <w:p w14:paraId="3C4A9019" w14:textId="77777777" w:rsidR="008A25C9" w:rsidRDefault="00000000">
            <w:pPr>
              <w:pStyle w:val="Compact"/>
            </w:pPr>
            <w:r>
              <w:t>Access to AI chips, more than one chip design, and reserves</w:t>
            </w:r>
          </w:p>
        </w:tc>
        <w:tc>
          <w:tcPr>
            <w:tcW w:w="0" w:type="auto"/>
          </w:tcPr>
          <w:p w14:paraId="1386EDDF" w14:textId="77777777" w:rsidR="008A25C9" w:rsidRDefault="00000000">
            <w:pPr>
              <w:pStyle w:val="Compact"/>
            </w:pPr>
            <w:r>
              <w:t>10</w:t>
            </w:r>
          </w:p>
        </w:tc>
        <w:tc>
          <w:tcPr>
            <w:tcW w:w="0" w:type="auto"/>
          </w:tcPr>
          <w:p w14:paraId="3A602EDF" w14:textId="77777777" w:rsidR="008A25C9" w:rsidRDefault="00000000">
            <w:pPr>
              <w:pStyle w:val="Compact"/>
            </w:pPr>
            <w:r>
              <w:t>17</w:t>
            </w:r>
          </w:p>
        </w:tc>
      </w:tr>
      <w:tr w:rsidR="008A25C9" w14:paraId="355F29FD" w14:textId="77777777">
        <w:tc>
          <w:tcPr>
            <w:tcW w:w="0" w:type="auto"/>
          </w:tcPr>
          <w:p w14:paraId="01F8D599" w14:textId="77777777" w:rsidR="008A25C9" w:rsidRDefault="00000000">
            <w:pPr>
              <w:pStyle w:val="Compact"/>
            </w:pPr>
            <w:r>
              <w:t>5. Manufacturing</w:t>
            </w:r>
          </w:p>
        </w:tc>
        <w:tc>
          <w:tcPr>
            <w:tcW w:w="0" w:type="auto"/>
          </w:tcPr>
          <w:p w14:paraId="4226F1B9" w14:textId="77777777" w:rsidR="008A25C9" w:rsidRDefault="00000000">
            <w:pPr>
              <w:pStyle w:val="Compact"/>
            </w:pPr>
            <w:r>
              <w:t>Chip-factory capacity, advanced packaging, critical minerals, and the supply chain behind them</w:t>
            </w:r>
          </w:p>
        </w:tc>
        <w:tc>
          <w:tcPr>
            <w:tcW w:w="0" w:type="auto"/>
          </w:tcPr>
          <w:p w14:paraId="6B142750" w14:textId="77777777" w:rsidR="008A25C9" w:rsidRDefault="00000000">
            <w:pPr>
              <w:pStyle w:val="Compact"/>
            </w:pPr>
            <w:r>
              <w:t>1</w:t>
            </w:r>
          </w:p>
        </w:tc>
        <w:tc>
          <w:tcPr>
            <w:tcW w:w="0" w:type="auto"/>
          </w:tcPr>
          <w:p w14:paraId="7F35287C" w14:textId="77777777" w:rsidR="008A25C9" w:rsidRDefault="00000000">
            <w:pPr>
              <w:pStyle w:val="Compact"/>
            </w:pPr>
            <w:r>
              <w:t>12</w:t>
            </w:r>
          </w:p>
        </w:tc>
      </w:tr>
      <w:tr w:rsidR="008A25C9" w14:paraId="5BEE4EB8" w14:textId="77777777">
        <w:tc>
          <w:tcPr>
            <w:tcW w:w="0" w:type="auto"/>
          </w:tcPr>
          <w:p w14:paraId="1EDA9C04" w14:textId="77777777" w:rsidR="008A25C9" w:rsidRDefault="00000000">
            <w:pPr>
              <w:pStyle w:val="Compact"/>
            </w:pPr>
            <w:r>
              <w:t>6. Software</w:t>
            </w:r>
          </w:p>
        </w:tc>
        <w:tc>
          <w:tcPr>
            <w:tcW w:w="0" w:type="auto"/>
          </w:tcPr>
          <w:p w14:paraId="439FF568" w14:textId="77777777" w:rsidR="008A25C9" w:rsidRDefault="00000000">
            <w:pPr>
              <w:pStyle w:val="Compact"/>
            </w:pPr>
            <w:r>
              <w:t>The AI software stack, CUDA dependence, and how much of the tool set you control</w:t>
            </w:r>
          </w:p>
        </w:tc>
        <w:tc>
          <w:tcPr>
            <w:tcW w:w="0" w:type="auto"/>
          </w:tcPr>
          <w:p w14:paraId="6A967A35" w14:textId="77777777" w:rsidR="008A25C9" w:rsidRDefault="00000000">
            <w:pPr>
              <w:pStyle w:val="Compact"/>
            </w:pPr>
            <w:r>
              <w:t>10</w:t>
            </w:r>
          </w:p>
        </w:tc>
        <w:tc>
          <w:tcPr>
            <w:tcW w:w="0" w:type="auto"/>
          </w:tcPr>
          <w:p w14:paraId="29DB44E2" w14:textId="77777777" w:rsidR="008A25C9" w:rsidRDefault="00000000">
            <w:pPr>
              <w:pStyle w:val="Compact"/>
            </w:pPr>
            <w:r>
              <w:t>8</w:t>
            </w:r>
          </w:p>
        </w:tc>
      </w:tr>
      <w:tr w:rsidR="008A25C9" w14:paraId="535EF19B" w14:textId="77777777">
        <w:tc>
          <w:tcPr>
            <w:tcW w:w="0" w:type="auto"/>
          </w:tcPr>
          <w:p w14:paraId="604EC0A8" w14:textId="77777777" w:rsidR="008A25C9" w:rsidRDefault="00000000">
            <w:pPr>
              <w:pStyle w:val="Compact"/>
            </w:pPr>
            <w:r>
              <w:t>7. Human Capital</w:t>
            </w:r>
          </w:p>
        </w:tc>
        <w:tc>
          <w:tcPr>
            <w:tcW w:w="0" w:type="auto"/>
          </w:tcPr>
          <w:p w14:paraId="4841E8BD" w14:textId="77777777" w:rsidR="008A25C9" w:rsidRDefault="00000000">
            <w:pPr>
              <w:pStyle w:val="Compact"/>
            </w:pPr>
            <w:r>
              <w:t>Researchers, engineers, training pipelines, and retention</w:t>
            </w:r>
          </w:p>
        </w:tc>
        <w:tc>
          <w:tcPr>
            <w:tcW w:w="0" w:type="auto"/>
          </w:tcPr>
          <w:p w14:paraId="238A703B" w14:textId="77777777" w:rsidR="008A25C9" w:rsidRDefault="00000000">
            <w:pPr>
              <w:pStyle w:val="Compact"/>
            </w:pPr>
            <w:r>
              <w:t>13</w:t>
            </w:r>
          </w:p>
        </w:tc>
        <w:tc>
          <w:tcPr>
            <w:tcW w:w="0" w:type="auto"/>
          </w:tcPr>
          <w:p w14:paraId="11004B8C" w14:textId="77777777" w:rsidR="008A25C9" w:rsidRDefault="00000000">
            <w:pPr>
              <w:pStyle w:val="Compact"/>
            </w:pPr>
            <w:r>
              <w:t>12</w:t>
            </w:r>
          </w:p>
        </w:tc>
      </w:tr>
      <w:tr w:rsidR="008A25C9" w14:paraId="07C1BB4C" w14:textId="77777777">
        <w:tc>
          <w:tcPr>
            <w:tcW w:w="0" w:type="auto"/>
          </w:tcPr>
          <w:p w14:paraId="7C67A68A" w14:textId="77777777" w:rsidR="008A25C9" w:rsidRDefault="00000000">
            <w:pPr>
              <w:pStyle w:val="Compact"/>
            </w:pPr>
            <w:r>
              <w:t>8. Regulatory</w:t>
            </w:r>
          </w:p>
        </w:tc>
        <w:tc>
          <w:tcPr>
            <w:tcW w:w="0" w:type="auto"/>
          </w:tcPr>
          <w:p w14:paraId="2F6CF72B" w14:textId="77777777" w:rsidR="008A25C9" w:rsidRDefault="00000000">
            <w:pPr>
              <w:pStyle w:val="Compact"/>
            </w:pPr>
            <w:r>
              <w:t>Following the rules thoroughly (companies) or the power to make them (countries)</w:t>
            </w:r>
          </w:p>
        </w:tc>
        <w:tc>
          <w:tcPr>
            <w:tcW w:w="0" w:type="auto"/>
          </w:tcPr>
          <w:p w14:paraId="0252E9D7" w14:textId="77777777" w:rsidR="008A25C9" w:rsidRDefault="00000000">
            <w:pPr>
              <w:pStyle w:val="Compact"/>
            </w:pPr>
            <w:r>
              <w:t>12</w:t>
            </w:r>
          </w:p>
        </w:tc>
        <w:tc>
          <w:tcPr>
            <w:tcW w:w="0" w:type="auto"/>
          </w:tcPr>
          <w:p w14:paraId="41E19FF1" w14:textId="77777777" w:rsidR="008A25C9" w:rsidRDefault="00000000">
            <w:pPr>
              <w:pStyle w:val="Compact"/>
            </w:pPr>
            <w:r>
              <w:t>8</w:t>
            </w:r>
          </w:p>
        </w:tc>
      </w:tr>
      <w:tr w:rsidR="008A25C9" w14:paraId="3C3C5CBE" w14:textId="77777777">
        <w:tc>
          <w:tcPr>
            <w:tcW w:w="0" w:type="auto"/>
          </w:tcPr>
          <w:p w14:paraId="2E3AF574" w14:textId="77777777" w:rsidR="008A25C9" w:rsidRDefault="00000000">
            <w:pPr>
              <w:pStyle w:val="Compact"/>
            </w:pPr>
            <w:r>
              <w:t>9. Culture and Operating Model</w:t>
            </w:r>
          </w:p>
        </w:tc>
        <w:tc>
          <w:tcPr>
            <w:tcW w:w="0" w:type="auto"/>
          </w:tcPr>
          <w:p w14:paraId="26E72860" w14:textId="77777777" w:rsidR="008A25C9" w:rsidRDefault="00000000">
            <w:pPr>
              <w:pStyle w:val="Compact"/>
            </w:pPr>
            <w:r>
              <w:t>How decisions get made and how disciplined operations are (companies only)</w:t>
            </w:r>
          </w:p>
        </w:tc>
        <w:tc>
          <w:tcPr>
            <w:tcW w:w="0" w:type="auto"/>
          </w:tcPr>
          <w:p w14:paraId="0D04BE6C" w14:textId="77777777" w:rsidR="008A25C9" w:rsidRDefault="00000000">
            <w:pPr>
              <w:pStyle w:val="Compact"/>
            </w:pPr>
            <w:r>
              <w:t>10</w:t>
            </w:r>
          </w:p>
        </w:tc>
        <w:tc>
          <w:tcPr>
            <w:tcW w:w="0" w:type="auto"/>
          </w:tcPr>
          <w:p w14:paraId="0A09FD05" w14:textId="77777777" w:rsidR="008A25C9" w:rsidRDefault="00000000">
            <w:pPr>
              <w:pStyle w:val="Compact"/>
            </w:pPr>
            <w:r>
              <w:t>—</w:t>
            </w:r>
          </w:p>
        </w:tc>
      </w:tr>
      <w:tr w:rsidR="008A25C9" w14:paraId="5BAA75C4" w14:textId="77777777">
        <w:tc>
          <w:tcPr>
            <w:tcW w:w="0" w:type="auto"/>
          </w:tcPr>
          <w:p w14:paraId="72BEBA24" w14:textId="77777777" w:rsidR="008A25C9" w:rsidRDefault="00000000">
            <w:pPr>
              <w:pStyle w:val="Compact"/>
            </w:pPr>
            <w:r>
              <w:rPr>
                <w:b/>
              </w:rPr>
              <w:t>Total</w:t>
            </w:r>
          </w:p>
        </w:tc>
        <w:tc>
          <w:tcPr>
            <w:tcW w:w="0" w:type="auto"/>
          </w:tcPr>
          <w:p w14:paraId="19F7DE1B" w14:textId="77777777" w:rsidR="008A25C9" w:rsidRDefault="008A25C9"/>
        </w:tc>
        <w:tc>
          <w:tcPr>
            <w:tcW w:w="0" w:type="auto"/>
          </w:tcPr>
          <w:p w14:paraId="5510825B" w14:textId="77777777" w:rsidR="008A25C9" w:rsidRDefault="00000000">
            <w:pPr>
              <w:pStyle w:val="Compact"/>
            </w:pPr>
            <w:r>
              <w:rPr>
                <w:b/>
              </w:rPr>
              <w:t>100</w:t>
            </w:r>
          </w:p>
        </w:tc>
        <w:tc>
          <w:tcPr>
            <w:tcW w:w="0" w:type="auto"/>
          </w:tcPr>
          <w:p w14:paraId="7565C103" w14:textId="77777777" w:rsidR="008A25C9" w:rsidRDefault="00000000">
            <w:pPr>
              <w:pStyle w:val="Compact"/>
            </w:pPr>
            <w:r>
              <w:rPr>
                <w:b/>
              </w:rPr>
              <w:t>100</w:t>
            </w:r>
          </w:p>
        </w:tc>
      </w:tr>
    </w:tbl>
    <w:p w14:paraId="3574CCC6" w14:textId="77777777" w:rsidR="008A25C9" w:rsidRDefault="00000000">
      <w:pPr>
        <w:pStyle w:val="Heading3"/>
      </w:pPr>
      <w:bookmarkStart w:id="9" w:name="X5e0c65973ca0e7579f8a549f1d186b755a09447"/>
      <w:r>
        <w:t>The two axes — and how they reach the score</w:t>
      </w:r>
      <w:bookmarkEnd w:id="9"/>
    </w:p>
    <w:p w14:paraId="5CE0A956" w14:textId="77777777" w:rsidR="008A25C9" w:rsidRDefault="00000000">
      <w:pPr>
        <w:pStyle w:val="FirstParagraph"/>
      </w:pPr>
      <w:r>
        <w:t xml:space="preserve">Each pillar score feeds two separate qualities. </w:t>
      </w:r>
      <w:r>
        <w:rPr>
          <w:b/>
        </w:rPr>
        <w:t>Resilience</w:t>
      </w:r>
      <w:r>
        <w:t xml:space="preserve">: can you keep your important AI systems running if an outside supplier cuts off access? </w:t>
      </w:r>
      <w:r>
        <w:rPr>
          <w:b/>
        </w:rPr>
        <w:t>Autonomy</w:t>
      </w:r>
      <w:r>
        <w:t>: do you get to decide your own technology path? The two are separate — a subject can hold a full working copy of a model (high resilience) yet be unable to improve it without outside help (low autonomy), and the reverse.</w:t>
      </w:r>
    </w:p>
    <w:p w14:paraId="31CD272D" w14:textId="77777777" w:rsidR="008A25C9" w:rsidRDefault="00000000">
      <w:pPr>
        <w:pStyle w:val="BodyText"/>
      </w:pPr>
      <w:r>
        <w:t xml:space="preserve">From v0.7.1 this distinction is carried into the arithmetic. Every sub-indicator in both field guides is tagged </w:t>
      </w:r>
      <w:r>
        <w:rPr>
          <w:b/>
        </w:rPr>
        <w:t>[R]</w:t>
      </w:r>
      <w:r>
        <w:t xml:space="preserve"> or </w:t>
      </w:r>
      <w:r>
        <w:rPr>
          <w:b/>
        </w:rPr>
        <w:t>[A]</w:t>
      </w:r>
      <w:r>
        <w:t xml:space="preserve">. The headline score is still the single 0–100 sum, but each </w:t>
      </w:r>
      <w:r>
        <w:lastRenderedPageBreak/>
        <w:t>assessment also reports the R-subtotal and A-subtotal as a two-number profile. Full definitions and practical tests are in §1.1.</w:t>
      </w:r>
    </w:p>
    <w:p w14:paraId="2664C882" w14:textId="77777777" w:rsidR="008A25C9" w:rsidRDefault="00000000">
      <w:pPr>
        <w:pStyle w:val="Heading3"/>
      </w:pPr>
      <w:bookmarkStart w:id="10" w:name="scoring"/>
      <w:r>
        <w:t>Scoring</w:t>
      </w:r>
      <w:bookmarkEnd w:id="10"/>
    </w:p>
    <w:p w14:paraId="036CF0EE" w14:textId="77777777" w:rsidR="008A25C9" w:rsidRDefault="00000000">
      <w:pPr>
        <w:pStyle w:val="FirstParagraph"/>
      </w:pPr>
      <w:r>
        <w:t xml:space="preserve">The </w:t>
      </w:r>
      <w:r>
        <w:rPr>
          <w:b/>
        </w:rPr>
        <w:t>main score</w:t>
      </w:r>
      <w:r>
        <w:t xml:space="preserve"> runs 0 to 100; higher means more sovereign. It is the eight (or nine) pillar scores added together, before modifiers. Each pillar’s maximum equals its weight. </w:t>
      </w:r>
      <w:r>
        <w:rPr>
          <w:b/>
        </w:rPr>
        <w:t>Sub-indicator scores</w:t>
      </w:r>
      <w:r>
        <w:t xml:space="preserve"> break each pillar into three to six parts, each worth a set number of points; the Field Guides give every rubric.</w:t>
      </w:r>
    </w:p>
    <w:p w14:paraId="05639BCD" w14:textId="77777777" w:rsidR="008A25C9" w:rsidRDefault="00000000">
      <w:pPr>
        <w:pStyle w:val="BodyText"/>
      </w:pPr>
      <w:r>
        <w:t>Three things sit alongside the pillar scores:</w:t>
      </w:r>
    </w:p>
    <w:p w14:paraId="595CC9EF" w14:textId="77777777" w:rsidR="008A25C9" w:rsidRDefault="00000000">
      <w:pPr>
        <w:pStyle w:val="Compact"/>
        <w:numPr>
          <w:ilvl w:val="0"/>
          <w:numId w:val="3"/>
        </w:numPr>
      </w:pPr>
      <w:r>
        <w:rPr>
          <w:b/>
        </w:rPr>
        <w:t>Modifiers</w:t>
      </w:r>
      <w:r>
        <w:t xml:space="preserve"> are adjustments applied after the pillar scores are worked out. AI-SAF-N has four — rule-stability (×0.85–1.00 on Hardware and Models), geopolitical-alliance (×0.70–1.15 on Hardware, Models, and Infrastructure), operating-model (±2 on the headline), and critical-minerals (scored inside Manufacturing) — applied in the fixed order given in the National Field Guide, Part II. AI-SAF-C applies a scale discount to three pillars for firms under 2,000 employees (×0.85 below 500 employees; ×0.92 from 500 to 2,000).</w:t>
      </w:r>
    </w:p>
    <w:p w14:paraId="57BBB415" w14:textId="77777777" w:rsidR="008A25C9" w:rsidRDefault="00000000">
      <w:pPr>
        <w:pStyle w:val="Compact"/>
        <w:numPr>
          <w:ilvl w:val="0"/>
          <w:numId w:val="3"/>
        </w:numPr>
      </w:pPr>
      <w:r>
        <w:rPr>
          <w:b/>
        </w:rPr>
        <w:t>Capability and commitment</w:t>
      </w:r>
      <w:r>
        <w:t xml:space="preserve"> are the two angles from which each sub-indicator is scored. Capability is what is actually in place today, judged against hard facts; it feeds the main score. Commitment is what has been promised — budgets, policies, laws — and feeds the three-year projection.</w:t>
      </w:r>
    </w:p>
    <w:p w14:paraId="56F876CC" w14:textId="77777777" w:rsidR="008A25C9" w:rsidRDefault="00000000">
      <w:pPr>
        <w:pStyle w:val="Compact"/>
        <w:numPr>
          <w:ilvl w:val="0"/>
          <w:numId w:val="3"/>
        </w:numPr>
      </w:pPr>
      <w:r>
        <w:rPr>
          <w:b/>
        </w:rPr>
        <w:t>Dependency type</w:t>
      </w:r>
      <w:r>
        <w:t xml:space="preserve"> labels each dependency as a bottleneck (replaceable at reasonable cost) or a structural constraint (no realistic replacement). It does not change the score; it shows which dependencies are worth spending money to fix.</w:t>
      </w:r>
    </w:p>
    <w:p w14:paraId="14F262E7" w14:textId="77777777" w:rsidR="008A25C9" w:rsidRDefault="00000000">
      <w:pPr>
        <w:pStyle w:val="Heading3"/>
      </w:pPr>
      <w:bookmarkStart w:id="11" w:name="levels-of-analysis"/>
      <w:r>
        <w:t>Levels of analysis</w:t>
      </w:r>
      <w:bookmarkEnd w:id="11"/>
    </w:p>
    <w:p w14:paraId="31C8F5E3" w14:textId="77777777" w:rsidR="008A25C9" w:rsidRDefault="00000000">
      <w:pPr>
        <w:pStyle w:val="FirstParagraph"/>
      </w:pPr>
      <w:r>
        <w:t xml:space="preserve">AI-SAF-C is for a single company; AI-SAF-N for a country or bloc (the EU can be scored as a group). A sector score is just the AI-SAF-C scores of the sector’s biggest players combined. Product-level scoring is an internal management tool, not a comparison instrument. </w:t>
      </w:r>
      <w:r>
        <w:rPr>
          <w:b/>
        </w:rPr>
        <w:t>Scores from different levels are not comparable</w:t>
      </w:r>
      <w:r>
        <w:t>: a national 72 is not “higher” than a corporate 68 — they measure related but different things.</w:t>
      </w:r>
    </w:p>
    <w:p w14:paraId="058DC143" w14:textId="77777777" w:rsidR="008A25C9" w:rsidRDefault="00000000">
      <w:pPr>
        <w:pStyle w:val="Heading2"/>
      </w:pPr>
      <w:bookmarkStart w:id="12" w:name="executive-summary"/>
      <w:bookmarkStart w:id="13" w:name="_Toc238848850"/>
      <w:r>
        <w:t>Executive summary</w:t>
      </w:r>
      <w:bookmarkEnd w:id="12"/>
      <w:bookmarkEnd w:id="13"/>
    </w:p>
    <w:p w14:paraId="2A3BD8DE" w14:textId="77777777" w:rsidR="008A25C9" w:rsidRDefault="00000000">
      <w:pPr>
        <w:pStyle w:val="FirstParagraph"/>
      </w:pPr>
      <w:r>
        <w:t xml:space="preserve">AI sovereignty has many parts, so one scoring system cannot fairly judge both governments and companies. Governments set the rules and prices in chip diplomacy; companies follow those rules and take the prices they are given. Governments plan ten to twenty years out; companies three to five. Governments answer to citizens; companies to shareholders and regulators. Because each side reacts differently to the same pressure, a single score for both looks exact but means little. The framework therefore uses two versions sharing the same eight pillars: </w:t>
      </w:r>
      <w:r>
        <w:rPr>
          <w:b/>
        </w:rPr>
        <w:t>AI-SAF-C</w:t>
      </w:r>
      <w:r>
        <w:t xml:space="preserve"> for companies (weighting cloud choice, model choice, compliance depth, culture, and speed, with a ninth Culture pillar) and </w:t>
      </w:r>
      <w:r>
        <w:rPr>
          <w:b/>
        </w:rPr>
        <w:t>AI-SAF-N</w:t>
      </w:r>
      <w:r>
        <w:t xml:space="preserve"> for governments (weighting chip access, sovereign cloud, fabs, and rule-making).</w:t>
      </w:r>
    </w:p>
    <w:p w14:paraId="54FB98F6" w14:textId="77777777" w:rsidR="008A25C9" w:rsidRDefault="00000000">
      <w:pPr>
        <w:pStyle w:val="BodyText"/>
      </w:pPr>
      <w:r>
        <w:lastRenderedPageBreak/>
        <w:t>The framework measures resilience (“what still works if a supplier cuts us off tomorrow?”) and autonomy (“who decides our technology path?”), reported as a two-number profile alongside the headline score. Its most original idea — Version Deadlock, the trap of losing the ability to move to the next version of a technology you depend on — is developed in Part III, where the 2026 Fable 5 / Mythos 5 suspension now serves as the first live AI case, from cut-off through restoration.</w:t>
      </w:r>
    </w:p>
    <w:p w14:paraId="5327E6D0" w14:textId="77777777" w:rsidR="008A25C9" w:rsidRDefault="00000000">
      <w:pPr>
        <w:pStyle w:val="Heading2"/>
      </w:pPr>
      <w:bookmarkStart w:id="14" w:name="part-i.-fundamental-concepts"/>
      <w:bookmarkStart w:id="15" w:name="_Toc238848851"/>
      <w:r>
        <w:t>Part I. Fundamental concepts</w:t>
      </w:r>
      <w:bookmarkEnd w:id="14"/>
      <w:bookmarkEnd w:id="15"/>
    </w:p>
    <w:p w14:paraId="3CCEA469" w14:textId="77777777" w:rsidR="008A25C9" w:rsidRDefault="00000000">
      <w:pPr>
        <w:pStyle w:val="Heading3"/>
      </w:pPr>
      <w:bookmarkStart w:id="16" w:name="a-two-dimensional-definition"/>
      <w:r>
        <w:t>1.1 A two-dimensional definition</w:t>
      </w:r>
      <w:bookmarkEnd w:id="16"/>
    </w:p>
    <w:p w14:paraId="5E862ABB" w14:textId="77777777" w:rsidR="008A25C9" w:rsidRDefault="00000000">
      <w:pPr>
        <w:pStyle w:val="FirstParagraph"/>
      </w:pPr>
      <w:r>
        <w:t>AI sovereignty is measured on two separate scales, each scored on its own.</w:t>
      </w:r>
    </w:p>
    <w:p w14:paraId="5C2238ED" w14:textId="77777777" w:rsidR="008A25C9" w:rsidRDefault="00000000">
      <w:pPr>
        <w:pStyle w:val="BodyText"/>
      </w:pPr>
      <w:r>
        <w:rPr>
          <w:b/>
        </w:rPr>
        <w:t>Resilience.</w:t>
      </w:r>
      <w:r>
        <w:t xml:space="preserve"> Can you keep your important AI systems running if an outside supplier cuts off some or all of your access? The key question: “What still works if a supplier cuts us off tomorrow?” A simple test: if the company behind a top AI model shut off your access tomorrow, how much of your work would keep going? That depends on whether you have a backup model you can run yourself, and whether your systems are wired so tightly to one vendor’s way of working that nothing else fits. Think of the power grid: a resilient grid keeps the lights on when one supplier fails, dimming gradually instead of going dark.</w:t>
      </w:r>
    </w:p>
    <w:p w14:paraId="27EEB2A4" w14:textId="77777777" w:rsidR="008A25C9" w:rsidRDefault="00000000">
      <w:pPr>
        <w:pStyle w:val="BodyText"/>
      </w:pPr>
      <w:r>
        <w:t>Every major AI-sovereignty event of 2024–2026 was a test of this scale — Microsoft France’s CLOUD Act testimony (June 2025), the H20 revenue-share deal (August 2025), the DeepSeek bans (early 2025), the EU delays of Meta’s multimodal Llama and Apple Intelligence. The sharpest test came on 12 June 2026, when a US export-control directive forced Anthropic to suspend all access to its frontier Fable 5 and Mythos 5 models for every foreign national overnight — three days after Fable 5’s public release. Access was restored 19 days later, on 1 July, after the directive was lifted — but the restoration came from the supplier’s side, not from anything the cut-off subjects did, a distinction Part III treats formally (see Evidence Base, Part B).</w:t>
      </w:r>
    </w:p>
    <w:p w14:paraId="0B480F8E" w14:textId="77777777" w:rsidR="008A25C9" w:rsidRDefault="00000000">
      <w:pPr>
        <w:pStyle w:val="BodyText"/>
      </w:pPr>
      <w:r>
        <w:rPr>
          <w:b/>
        </w:rPr>
        <w:t>Autonomy.</w:t>
      </w:r>
      <w:r>
        <w:t xml:space="preserve"> Can you set your own technology direction — which models you use, how you adapt them, where you take them next? The key question: “Who decides?” This is about power and strategy, and it does not automatically rise or fall with resilience.</w:t>
      </w:r>
    </w:p>
    <w:p w14:paraId="6689631F" w14:textId="77777777" w:rsidR="008A25C9" w:rsidRDefault="00000000">
      <w:pPr>
        <w:pStyle w:val="BodyText"/>
      </w:pPr>
      <w:r>
        <w:rPr>
          <w:b/>
        </w:rPr>
        <w:t>The R/A tagging rule.</w:t>
      </w:r>
      <w:r>
        <w:t xml:space="preserve"> Every sub-indicator in the field guides carries an [R] or [A] tag. The assignment rule: if the sub-indicator measures the ability to </w:t>
      </w:r>
      <w:r>
        <w:rPr>
          <w:i/>
        </w:rPr>
        <w:t>keep operating</w:t>
      </w:r>
      <w:r>
        <w:t xml:space="preserve"> under interruption (fallbacks, reserves, diversification, egress control, incident response), it is [R]; if it measures the ability to </w:t>
      </w:r>
      <w:r>
        <w:rPr>
          <w:i/>
        </w:rPr>
        <w:t>set direction</w:t>
      </w:r>
      <w:r>
        <w:t xml:space="preserve"> (own models and data, rule-making, indigenous design, talent, governance), it is [A]. Each assessment reports both subtotals. The profile matters as much as the headline: “68 (R 40 / A 28)” and “68 (R 28 / A 40)” call for opposite investment strategies.</w:t>
      </w:r>
    </w:p>
    <w:p w14:paraId="3FAC805E" w14:textId="77777777" w:rsidR="008A25C9" w:rsidRDefault="00000000">
      <w:pPr>
        <w:pStyle w:val="Heading3"/>
      </w:pPr>
      <w:bookmarkStart w:id="17" w:name="why-a-single-index-will-not-suffice"/>
      <w:r>
        <w:t>1.2 Why a single index will not suffice</w:t>
      </w:r>
      <w:bookmarkEnd w:id="17"/>
    </w:p>
    <w:p w14:paraId="57C56366" w14:textId="77777777" w:rsidR="008A25C9" w:rsidRDefault="00000000">
      <w:pPr>
        <w:pStyle w:val="FirstParagraph"/>
      </w:pPr>
      <w:r>
        <w:t xml:space="preserve">A single 100-point scale cannot judge a government and a company at the same time, because the same pillar measures opposite things at the two levels. Take Regulatory: </w:t>
      </w:r>
      <w:r>
        <w:lastRenderedPageBreak/>
        <w:t>France scores high because it makes the rules — it helped write the EU AI Act and can pass its own national AI laws. BNP Paribas scores high on the same pillar for the opposite reason: following rules well (DORA, GDPR, SR 11-7, ISO/IEC 42001). Each is a sensible measure on its own level; combined, they cancel. Hardware works the same way: a government scores by controlling exports and hosting fabs; a company scores by spreading purchases across suppliers.</w:t>
      </w:r>
    </w:p>
    <w:p w14:paraId="4A83244F" w14:textId="77777777" w:rsidR="008A25C9" w:rsidRDefault="00000000">
      <w:pPr>
        <w:pStyle w:val="BodyText"/>
      </w:pPr>
      <w:r>
        <w:t>The asymmetries run deeper: governments can make money from regulation (the 15% H20 deal) while companies are the ones regulated; governments negotiate chip access while companies receive an allocation; states may own fabs, firms almost never; governments host summits, companies sign codes of practice. Two side-by-side measures make these differences visible; one combined score hides them. This is the framework’s core design decision, and it is why the package contains two field guides rather than one.</w:t>
      </w:r>
    </w:p>
    <w:p w14:paraId="2414C5E4" w14:textId="77777777" w:rsidR="008A25C9" w:rsidRDefault="00000000">
      <w:pPr>
        <w:pStyle w:val="Heading3"/>
      </w:pPr>
      <w:bookmarkStart w:id="18" w:name="four-levels-of-analysis"/>
      <w:r>
        <w:t>1.3 Four levels of analysis</w:t>
      </w:r>
      <w:bookmarkEnd w:id="18"/>
    </w:p>
    <w:tbl>
      <w:tblPr>
        <w:tblStyle w:val="Table"/>
        <w:tblW w:w="5000" w:type="pct"/>
        <w:tblLook w:val="07E0" w:firstRow="1" w:lastRow="1" w:firstColumn="1" w:lastColumn="1" w:noHBand="1" w:noVBand="1"/>
      </w:tblPr>
      <w:tblGrid>
        <w:gridCol w:w="1261"/>
        <w:gridCol w:w="2805"/>
        <w:gridCol w:w="1489"/>
        <w:gridCol w:w="3805"/>
      </w:tblGrid>
      <w:tr w:rsidR="008A25C9" w14:paraId="3BE7F527" w14:textId="77777777">
        <w:tc>
          <w:tcPr>
            <w:tcW w:w="0" w:type="auto"/>
            <w:tcBorders>
              <w:bottom w:val="single" w:sz="0" w:space="0" w:color="auto"/>
            </w:tcBorders>
            <w:vAlign w:val="bottom"/>
          </w:tcPr>
          <w:p w14:paraId="4BF8717A" w14:textId="77777777" w:rsidR="008A25C9" w:rsidRDefault="00000000">
            <w:pPr>
              <w:pStyle w:val="Compact"/>
            </w:pPr>
            <w:r>
              <w:t>Level</w:t>
            </w:r>
          </w:p>
        </w:tc>
        <w:tc>
          <w:tcPr>
            <w:tcW w:w="0" w:type="auto"/>
            <w:tcBorders>
              <w:bottom w:val="single" w:sz="0" w:space="0" w:color="auto"/>
            </w:tcBorders>
            <w:vAlign w:val="bottom"/>
          </w:tcPr>
          <w:p w14:paraId="15263143" w14:textId="77777777" w:rsidR="008A25C9" w:rsidRDefault="00000000">
            <w:pPr>
              <w:pStyle w:val="Compact"/>
            </w:pPr>
            <w:r>
              <w:t>Subject</w:t>
            </w:r>
          </w:p>
        </w:tc>
        <w:tc>
          <w:tcPr>
            <w:tcW w:w="0" w:type="auto"/>
            <w:tcBorders>
              <w:bottom w:val="single" w:sz="0" w:space="0" w:color="auto"/>
            </w:tcBorders>
            <w:vAlign w:val="bottom"/>
          </w:tcPr>
          <w:p w14:paraId="753C85F1" w14:textId="77777777" w:rsidR="008A25C9" w:rsidRDefault="00000000">
            <w:pPr>
              <w:pStyle w:val="Compact"/>
            </w:pPr>
            <w:r>
              <w:t>Typical horizon</w:t>
            </w:r>
          </w:p>
        </w:tc>
        <w:tc>
          <w:tcPr>
            <w:tcW w:w="0" w:type="auto"/>
            <w:tcBorders>
              <w:bottom w:val="single" w:sz="0" w:space="0" w:color="auto"/>
            </w:tcBorders>
            <w:vAlign w:val="bottom"/>
          </w:tcPr>
          <w:p w14:paraId="2DEB6E01" w14:textId="77777777" w:rsidR="008A25C9" w:rsidRDefault="00000000">
            <w:pPr>
              <w:pStyle w:val="Compact"/>
            </w:pPr>
            <w:r>
              <w:t>Primary risk</w:t>
            </w:r>
          </w:p>
        </w:tc>
      </w:tr>
      <w:tr w:rsidR="008A25C9" w14:paraId="41A96A75" w14:textId="77777777">
        <w:tc>
          <w:tcPr>
            <w:tcW w:w="0" w:type="auto"/>
          </w:tcPr>
          <w:p w14:paraId="4CB4BC5F" w14:textId="77777777" w:rsidR="008A25C9" w:rsidRDefault="00000000">
            <w:pPr>
              <w:pStyle w:val="Compact"/>
            </w:pPr>
            <w:r>
              <w:t>National</w:t>
            </w:r>
          </w:p>
        </w:tc>
        <w:tc>
          <w:tcPr>
            <w:tcW w:w="0" w:type="auto"/>
          </w:tcPr>
          <w:p w14:paraId="4CAB753B" w14:textId="77777777" w:rsidR="008A25C9" w:rsidRDefault="00000000">
            <w:pPr>
              <w:pStyle w:val="Compact"/>
            </w:pPr>
            <w:r>
              <w:t>State, EU, regional bloc</w:t>
            </w:r>
          </w:p>
        </w:tc>
        <w:tc>
          <w:tcPr>
            <w:tcW w:w="0" w:type="auto"/>
          </w:tcPr>
          <w:p w14:paraId="68BD47C6" w14:textId="77777777" w:rsidR="008A25C9" w:rsidRDefault="00000000">
            <w:pPr>
              <w:pStyle w:val="Compact"/>
            </w:pPr>
            <w:r>
              <w:t>10–20 years</w:t>
            </w:r>
          </w:p>
        </w:tc>
        <w:tc>
          <w:tcPr>
            <w:tcW w:w="0" w:type="auto"/>
          </w:tcPr>
          <w:p w14:paraId="407773FC" w14:textId="77777777" w:rsidR="008A25C9" w:rsidRDefault="00000000">
            <w:pPr>
              <w:pStyle w:val="Compact"/>
            </w:pPr>
            <w:r>
              <w:t>Political cut-off; technology denial</w:t>
            </w:r>
          </w:p>
        </w:tc>
      </w:tr>
      <w:tr w:rsidR="008A25C9" w14:paraId="538BC414" w14:textId="77777777">
        <w:tc>
          <w:tcPr>
            <w:tcW w:w="0" w:type="auto"/>
          </w:tcPr>
          <w:p w14:paraId="1B65D12A" w14:textId="77777777" w:rsidR="008A25C9" w:rsidRDefault="00000000">
            <w:pPr>
              <w:pStyle w:val="Compact"/>
            </w:pPr>
            <w:r>
              <w:t>Sectoral</w:t>
            </w:r>
          </w:p>
        </w:tc>
        <w:tc>
          <w:tcPr>
            <w:tcW w:w="0" w:type="auto"/>
          </w:tcPr>
          <w:p w14:paraId="2C15F6C0" w14:textId="77777777" w:rsidR="008A25C9" w:rsidRDefault="00000000">
            <w:pPr>
              <w:pStyle w:val="Compact"/>
            </w:pPr>
            <w:r>
              <w:t>Industry (banks, energy, telecoms)</w:t>
            </w:r>
          </w:p>
        </w:tc>
        <w:tc>
          <w:tcPr>
            <w:tcW w:w="0" w:type="auto"/>
          </w:tcPr>
          <w:p w14:paraId="61A7E9F5" w14:textId="77777777" w:rsidR="008A25C9" w:rsidRDefault="00000000">
            <w:pPr>
              <w:pStyle w:val="Compact"/>
            </w:pPr>
            <w:r>
              <w:t>5–10 years</w:t>
            </w:r>
          </w:p>
        </w:tc>
        <w:tc>
          <w:tcPr>
            <w:tcW w:w="0" w:type="auto"/>
          </w:tcPr>
          <w:p w14:paraId="01C73D6A" w14:textId="77777777" w:rsidR="008A25C9" w:rsidRDefault="00000000">
            <w:pPr>
              <w:pStyle w:val="Compact"/>
            </w:pPr>
            <w:r>
              <w:t>New rules; sector-wide risk</w:t>
            </w:r>
          </w:p>
        </w:tc>
      </w:tr>
      <w:tr w:rsidR="008A25C9" w14:paraId="50F2C830" w14:textId="77777777">
        <w:tc>
          <w:tcPr>
            <w:tcW w:w="0" w:type="auto"/>
          </w:tcPr>
          <w:p w14:paraId="33EE126E" w14:textId="77777777" w:rsidR="008A25C9" w:rsidRDefault="00000000">
            <w:pPr>
              <w:pStyle w:val="Compact"/>
            </w:pPr>
            <w:r>
              <w:t>Corporate</w:t>
            </w:r>
          </w:p>
        </w:tc>
        <w:tc>
          <w:tcPr>
            <w:tcW w:w="0" w:type="auto"/>
          </w:tcPr>
          <w:p w14:paraId="4F45C44D" w14:textId="77777777" w:rsidR="008A25C9" w:rsidRDefault="00000000">
            <w:pPr>
              <w:pStyle w:val="Compact"/>
            </w:pPr>
            <w:r>
              <w:t>Single firm or group</w:t>
            </w:r>
          </w:p>
        </w:tc>
        <w:tc>
          <w:tcPr>
            <w:tcW w:w="0" w:type="auto"/>
          </w:tcPr>
          <w:p w14:paraId="42889C9B" w14:textId="77777777" w:rsidR="008A25C9" w:rsidRDefault="00000000">
            <w:pPr>
              <w:pStyle w:val="Compact"/>
            </w:pPr>
            <w:r>
              <w:t>3–5 years</w:t>
            </w:r>
          </w:p>
        </w:tc>
        <w:tc>
          <w:tcPr>
            <w:tcW w:w="0" w:type="auto"/>
          </w:tcPr>
          <w:p w14:paraId="0DECCFF6" w14:textId="77777777" w:rsidR="008A25C9" w:rsidRDefault="00000000">
            <w:pPr>
              <w:pStyle w:val="Compact"/>
            </w:pPr>
            <w:r>
              <w:t>Supplier lock-in; price shocks; compliance failure</w:t>
            </w:r>
          </w:p>
        </w:tc>
      </w:tr>
      <w:tr w:rsidR="008A25C9" w14:paraId="71E90C8B" w14:textId="77777777">
        <w:tc>
          <w:tcPr>
            <w:tcW w:w="0" w:type="auto"/>
          </w:tcPr>
          <w:p w14:paraId="0CF6BFA5" w14:textId="77777777" w:rsidR="008A25C9" w:rsidRDefault="00000000">
            <w:pPr>
              <w:pStyle w:val="Compact"/>
            </w:pPr>
            <w:r>
              <w:t>Product</w:t>
            </w:r>
          </w:p>
        </w:tc>
        <w:tc>
          <w:tcPr>
            <w:tcW w:w="0" w:type="auto"/>
          </w:tcPr>
          <w:p w14:paraId="7122C720" w14:textId="77777777" w:rsidR="008A25C9" w:rsidRDefault="00000000">
            <w:pPr>
              <w:pStyle w:val="Compact"/>
            </w:pPr>
            <w:r>
              <w:t>Product team, specific project</w:t>
            </w:r>
          </w:p>
        </w:tc>
        <w:tc>
          <w:tcPr>
            <w:tcW w:w="0" w:type="auto"/>
          </w:tcPr>
          <w:p w14:paraId="5E3DFA94" w14:textId="77777777" w:rsidR="008A25C9" w:rsidRDefault="00000000">
            <w:pPr>
              <w:pStyle w:val="Compact"/>
            </w:pPr>
            <w:r>
              <w:t>6–18 months</w:t>
            </w:r>
          </w:p>
        </w:tc>
        <w:tc>
          <w:tcPr>
            <w:tcW w:w="0" w:type="auto"/>
          </w:tcPr>
          <w:p w14:paraId="0AC2E572" w14:textId="77777777" w:rsidR="008A25C9" w:rsidRDefault="00000000">
            <w:pPr>
              <w:pStyle w:val="Compact"/>
            </w:pPr>
            <w:r>
              <w:t>Service or licence changes; retirement</w:t>
            </w:r>
          </w:p>
        </w:tc>
      </w:tr>
    </w:tbl>
    <w:p w14:paraId="1493314D" w14:textId="77777777" w:rsidR="008A25C9" w:rsidRDefault="00000000">
      <w:pPr>
        <w:pStyle w:val="BodyText"/>
      </w:pPr>
      <w:r>
        <w:t>AI-SAF-C serves the corporate level and, aggregated, the sectoral level; AI-SAF-N the national level. Product-level scoring borrows the vocabulary but its numbers should not be compared between companies.</w:t>
      </w:r>
    </w:p>
    <w:p w14:paraId="6DD713BD" w14:textId="77777777" w:rsidR="008A25C9" w:rsidRDefault="00000000">
      <w:pPr>
        <w:pStyle w:val="Heading3"/>
      </w:pPr>
      <w:bookmarkStart w:id="19" w:name="the-temporal-dimension"/>
      <w:r>
        <w:t>1.4 The temporal dimension</w:t>
      </w:r>
      <w:bookmarkEnd w:id="19"/>
    </w:p>
    <w:p w14:paraId="6F1D1F69" w14:textId="77777777" w:rsidR="008A25C9" w:rsidRDefault="00000000">
      <w:pPr>
        <w:pStyle w:val="FirstParagraph"/>
      </w:pPr>
      <w:r>
        <w:t>Sovereignty is a direction of travel, not a fixed position. Someone scoring 55 today but climbing is in better shape than someone at 70 but slipping. An honest assessment needs four reference points: today’s score (T0); the likely score three years out if nothing changes; the likely score three years out under a specific set of planned actions; and speed relative to peers. In a fast-moving field, anyone who stands still is losing ground without doing anything wrong, because the bar for “good enough” keeps rising.</w:t>
      </w:r>
    </w:p>
    <w:p w14:paraId="4B4AF29C" w14:textId="77777777" w:rsidR="008A25C9" w:rsidRDefault="00000000">
      <w:pPr>
        <w:pStyle w:val="CaptionedFigure"/>
      </w:pPr>
      <w:r>
        <w:rPr>
          <w:noProof/>
        </w:rPr>
        <w:lastRenderedPageBreak/>
        <w:drawing>
          <wp:inline distT="0" distB="0" distL="0" distR="0" wp14:anchorId="559E24BD" wp14:editId="2EF44A9E">
            <wp:extent cx="5334000" cy="3117157"/>
            <wp:effectExtent l="0" t="0" r="0" b="0"/>
            <wp:docPr id="616410079" name="Picture" descr="Figure 1.4. An example path from today (T0) to three years out. Subject A starts above the middle of the pack but trends down; Subject B starts below it but rises; the bar itself rises too. Illustrative numbers only."/>
            <wp:cNvGraphicFramePr/>
            <a:graphic xmlns:a="http://schemas.openxmlformats.org/drawingml/2006/main">
              <a:graphicData uri="http://schemas.openxmlformats.org/drawingml/2006/picture">
                <pic:pic xmlns:pic="http://schemas.openxmlformats.org/drawingml/2006/picture">
                  <pic:nvPicPr>
                    <pic:cNvPr id="0" name="Picture" descr="media/figure2.png"/>
                    <pic:cNvPicPr>
                      <a:picLocks noChangeAspect="1" noChangeArrowheads="1"/>
                    </pic:cNvPicPr>
                  </pic:nvPicPr>
                  <pic:blipFill>
                    <a:blip r:embed="rId8"/>
                    <a:stretch>
                      <a:fillRect/>
                    </a:stretch>
                  </pic:blipFill>
                  <pic:spPr bwMode="auto">
                    <a:xfrm>
                      <a:off x="0" y="0"/>
                      <a:ext cx="5334000" cy="3117157"/>
                    </a:xfrm>
                    <a:prstGeom prst="rect">
                      <a:avLst/>
                    </a:prstGeom>
                    <a:noFill/>
                    <a:ln w="9525">
                      <a:noFill/>
                      <a:headEnd/>
                      <a:tailEnd/>
                    </a:ln>
                  </pic:spPr>
                </pic:pic>
              </a:graphicData>
            </a:graphic>
          </wp:inline>
        </w:drawing>
      </w:r>
    </w:p>
    <w:p w14:paraId="154A2111" w14:textId="77777777" w:rsidR="008A25C9" w:rsidRDefault="00000000">
      <w:pPr>
        <w:pStyle w:val="ImageCaption"/>
      </w:pPr>
      <w:r>
        <w:t>Figure 1.4. An example path from today (T0) to three years out. Subject A starts above the middle of the pack but trends down; Subject B starts below it but rises; the bar itself rises too. Illustrative numbers only.</w:t>
      </w:r>
    </w:p>
    <w:p w14:paraId="57E34D36" w14:textId="77777777" w:rsidR="008A25C9" w:rsidRDefault="00000000">
      <w:pPr>
        <w:pStyle w:val="Heading3"/>
      </w:pPr>
      <w:bookmarkStart w:id="20" w:name="decomposition-capability-commitment"/>
      <w:r>
        <w:t>1.5 Decomposition: capability × commitment</w:t>
      </w:r>
      <w:bookmarkEnd w:id="20"/>
    </w:p>
    <w:p w14:paraId="4615E7C2" w14:textId="77777777" w:rsidR="008A25C9" w:rsidRDefault="00000000">
      <w:pPr>
        <w:pStyle w:val="FirstParagraph"/>
      </w:pPr>
      <w:r>
        <w:t>Every sub-score splits into two parts — an idea adapted from the ECFR European Sovereignty Index:</w:t>
      </w:r>
    </w:p>
    <w:p w14:paraId="5168E0D5" w14:textId="77777777" w:rsidR="008A25C9" w:rsidRDefault="00000000">
      <w:pPr>
        <w:pStyle w:val="Compact"/>
        <w:numPr>
          <w:ilvl w:val="0"/>
          <w:numId w:val="4"/>
        </w:numPr>
      </w:pPr>
      <w:r>
        <w:rPr>
          <w:b/>
        </w:rPr>
        <w:t>Capability</w:t>
      </w:r>
      <w:r>
        <w:t xml:space="preserve"> — what is actually in place: training data held, researchers employed, chips installed and running, rules signed and in force, clouds actually certified.</w:t>
      </w:r>
    </w:p>
    <w:p w14:paraId="3F861FAC" w14:textId="77777777" w:rsidR="008A25C9" w:rsidRDefault="00000000">
      <w:pPr>
        <w:pStyle w:val="Compact"/>
        <w:numPr>
          <w:ilvl w:val="0"/>
          <w:numId w:val="4"/>
        </w:numPr>
      </w:pPr>
      <w:r>
        <w:rPr>
          <w:b/>
        </w:rPr>
        <w:t>Commitment</w:t>
      </w:r>
      <w:r>
        <w:t xml:space="preserve"> — what has been promised: strategy papers, announced budgets, laws in progress, agreements signed but not yet in effect.</w:t>
      </w:r>
    </w:p>
    <w:p w14:paraId="1779F097" w14:textId="77777777" w:rsidR="008A25C9" w:rsidRDefault="00000000">
      <w:pPr>
        <w:pStyle w:val="FirstParagraph"/>
      </w:pPr>
      <w:r>
        <w:t>A country that has promised much but built little is in a very different position from one with the opposite mix. Both numbers are shown for every pillar; the main score uses capability, and commitment drives the three-year projection. A promise with nothing built is just a promise; lots built with no plan is coasting.</w:t>
      </w:r>
    </w:p>
    <w:p w14:paraId="3C0F81EF" w14:textId="77777777" w:rsidR="008A25C9" w:rsidRDefault="00000000">
      <w:pPr>
        <w:pStyle w:val="Heading3"/>
      </w:pPr>
      <w:bookmarkStart w:id="21" w:name="dependency-ratios"/>
      <w:r>
        <w:t>1.6 Dependency ratios</w:t>
      </w:r>
      <w:bookmarkEnd w:id="21"/>
    </w:p>
    <w:p w14:paraId="39F886B1" w14:textId="77777777" w:rsidR="008A25C9" w:rsidRDefault="00000000">
      <w:pPr>
        <w:pStyle w:val="FirstParagraph"/>
      </w:pPr>
      <w:r>
        <w:t>Each pillar is also broken down to show exactly where you depend on others, because not every dependence is equally risky:</w:t>
      </w:r>
    </w:p>
    <w:tbl>
      <w:tblPr>
        <w:tblStyle w:val="Table"/>
        <w:tblW w:w="5000" w:type="pct"/>
        <w:tblLook w:val="07E0" w:firstRow="1" w:lastRow="1" w:firstColumn="1" w:lastColumn="1" w:noHBand="1" w:noVBand="1"/>
      </w:tblPr>
      <w:tblGrid>
        <w:gridCol w:w="1889"/>
        <w:gridCol w:w="3411"/>
        <w:gridCol w:w="4060"/>
      </w:tblGrid>
      <w:tr w:rsidR="008A25C9" w14:paraId="56E586B0" w14:textId="77777777">
        <w:tc>
          <w:tcPr>
            <w:tcW w:w="0" w:type="auto"/>
            <w:tcBorders>
              <w:bottom w:val="single" w:sz="0" w:space="0" w:color="auto"/>
            </w:tcBorders>
            <w:vAlign w:val="bottom"/>
          </w:tcPr>
          <w:p w14:paraId="0E53F81D" w14:textId="77777777" w:rsidR="008A25C9" w:rsidRDefault="00000000">
            <w:pPr>
              <w:pStyle w:val="Compact"/>
            </w:pPr>
            <w:r>
              <w:t>Dependency axis</w:t>
            </w:r>
          </w:p>
        </w:tc>
        <w:tc>
          <w:tcPr>
            <w:tcW w:w="0" w:type="auto"/>
            <w:tcBorders>
              <w:bottom w:val="single" w:sz="0" w:space="0" w:color="auto"/>
            </w:tcBorders>
            <w:vAlign w:val="bottom"/>
          </w:tcPr>
          <w:p w14:paraId="466232C6" w14:textId="77777777" w:rsidR="008A25C9" w:rsidRDefault="00000000">
            <w:pPr>
              <w:pStyle w:val="Compact"/>
            </w:pPr>
            <w:r>
              <w:t>Indicator</w:t>
            </w:r>
          </w:p>
        </w:tc>
        <w:tc>
          <w:tcPr>
            <w:tcW w:w="0" w:type="auto"/>
            <w:tcBorders>
              <w:bottom w:val="single" w:sz="0" w:space="0" w:color="auto"/>
            </w:tcBorders>
            <w:vAlign w:val="bottom"/>
          </w:tcPr>
          <w:p w14:paraId="40429F49" w14:textId="77777777" w:rsidR="008A25C9" w:rsidRDefault="00000000">
            <w:pPr>
              <w:pStyle w:val="Compact"/>
            </w:pPr>
            <w:r>
              <w:t>Reading</w:t>
            </w:r>
          </w:p>
        </w:tc>
      </w:tr>
      <w:tr w:rsidR="008A25C9" w14:paraId="1931DB0B" w14:textId="77777777">
        <w:tc>
          <w:tcPr>
            <w:tcW w:w="0" w:type="auto"/>
          </w:tcPr>
          <w:p w14:paraId="3E6CFF9B" w14:textId="77777777" w:rsidR="008A25C9" w:rsidRDefault="00000000">
            <w:pPr>
              <w:pStyle w:val="Compact"/>
            </w:pPr>
            <w:r>
              <w:t>Compute</w:t>
            </w:r>
          </w:p>
        </w:tc>
        <w:tc>
          <w:tcPr>
            <w:tcW w:w="0" w:type="auto"/>
          </w:tcPr>
          <w:p w14:paraId="7696A5D6" w14:textId="77777777" w:rsidR="008A25C9" w:rsidRDefault="00000000">
            <w:pPr>
              <w:pStyle w:val="Compact"/>
            </w:pPr>
            <w:r>
              <w:t>Share of AI computing on foreign-owned platforms</w:t>
            </w:r>
          </w:p>
        </w:tc>
        <w:tc>
          <w:tcPr>
            <w:tcW w:w="0" w:type="auto"/>
          </w:tcPr>
          <w:p w14:paraId="0C64FC5B" w14:textId="77777777" w:rsidR="008A25C9" w:rsidRDefault="00000000">
            <w:pPr>
              <w:pStyle w:val="Compact"/>
            </w:pPr>
            <w:r>
              <w:t>Hard to fix once it passes roughly 70% (author judgement)</w:t>
            </w:r>
          </w:p>
        </w:tc>
      </w:tr>
      <w:tr w:rsidR="008A25C9" w14:paraId="1AFF3EA6" w14:textId="77777777">
        <w:tc>
          <w:tcPr>
            <w:tcW w:w="0" w:type="auto"/>
          </w:tcPr>
          <w:p w14:paraId="28AD0060" w14:textId="77777777" w:rsidR="008A25C9" w:rsidRDefault="00000000">
            <w:pPr>
              <w:pStyle w:val="Compact"/>
            </w:pPr>
            <w:r>
              <w:lastRenderedPageBreak/>
              <w:t>Models</w:t>
            </w:r>
          </w:p>
        </w:tc>
        <w:tc>
          <w:tcPr>
            <w:tcW w:w="0" w:type="auto"/>
          </w:tcPr>
          <w:p w14:paraId="0FF43261" w14:textId="77777777" w:rsidR="008A25C9" w:rsidRDefault="00000000">
            <w:pPr>
              <w:pStyle w:val="Compact"/>
            </w:pPr>
            <w:r>
              <w:t>Share of top models in use built abroad</w:t>
            </w:r>
          </w:p>
        </w:tc>
        <w:tc>
          <w:tcPr>
            <w:tcW w:w="0" w:type="auto"/>
          </w:tcPr>
          <w:p w14:paraId="263D5C00" w14:textId="77777777" w:rsidR="008A25C9" w:rsidRDefault="00000000">
            <w:pPr>
              <w:pStyle w:val="Compact"/>
            </w:pPr>
            <w:r>
              <w:t>Replaceable while open-weights substitutes exist</w:t>
            </w:r>
          </w:p>
        </w:tc>
      </w:tr>
      <w:tr w:rsidR="008A25C9" w14:paraId="31E510CE" w14:textId="77777777">
        <w:tc>
          <w:tcPr>
            <w:tcW w:w="0" w:type="auto"/>
          </w:tcPr>
          <w:p w14:paraId="4D132731" w14:textId="77777777" w:rsidR="008A25C9" w:rsidRDefault="00000000">
            <w:pPr>
              <w:pStyle w:val="Compact"/>
            </w:pPr>
            <w:r>
              <w:t>Semiconductor</w:t>
            </w:r>
          </w:p>
        </w:tc>
        <w:tc>
          <w:tcPr>
            <w:tcW w:w="0" w:type="auto"/>
          </w:tcPr>
          <w:p w14:paraId="72D3682D" w14:textId="77777777" w:rsidR="008A25C9" w:rsidRDefault="00000000">
            <w:pPr>
              <w:pStyle w:val="Compact"/>
            </w:pPr>
            <w:r>
              <w:t>Share of chips made abroad</w:t>
            </w:r>
          </w:p>
        </w:tc>
        <w:tc>
          <w:tcPr>
            <w:tcW w:w="0" w:type="auto"/>
          </w:tcPr>
          <w:p w14:paraId="33507D56" w14:textId="77777777" w:rsidR="008A25C9" w:rsidRDefault="00000000">
            <w:pPr>
              <w:pStyle w:val="Compact"/>
            </w:pPr>
            <w:r>
              <w:t>Structural for more than 90% of countries (author judgement)</w:t>
            </w:r>
          </w:p>
        </w:tc>
      </w:tr>
      <w:tr w:rsidR="008A25C9" w14:paraId="796BEC0B" w14:textId="77777777">
        <w:tc>
          <w:tcPr>
            <w:tcW w:w="0" w:type="auto"/>
          </w:tcPr>
          <w:p w14:paraId="3BC26A08" w14:textId="77777777" w:rsidR="008A25C9" w:rsidRDefault="00000000">
            <w:pPr>
              <w:pStyle w:val="Compact"/>
            </w:pPr>
            <w:r>
              <w:t>Software</w:t>
            </w:r>
          </w:p>
        </w:tc>
        <w:tc>
          <w:tcPr>
            <w:tcW w:w="0" w:type="auto"/>
          </w:tcPr>
          <w:p w14:paraId="2C6A7B6A" w14:textId="77777777" w:rsidR="008A25C9" w:rsidRDefault="00000000">
            <w:pPr>
              <w:pStyle w:val="Compact"/>
            </w:pPr>
            <w:r>
              <w:t>Share of the core toolkit under foreign control</w:t>
            </w:r>
          </w:p>
        </w:tc>
        <w:tc>
          <w:tcPr>
            <w:tcW w:w="0" w:type="auto"/>
          </w:tcPr>
          <w:p w14:paraId="0C0D686E" w14:textId="77777777" w:rsidR="008A25C9" w:rsidRDefault="00000000">
            <w:pPr>
              <w:pStyle w:val="Compact"/>
            </w:pPr>
            <w:r>
              <w:t>Replaceable in part</w:t>
            </w:r>
          </w:p>
        </w:tc>
      </w:tr>
      <w:tr w:rsidR="008A25C9" w14:paraId="6887810C" w14:textId="77777777">
        <w:tc>
          <w:tcPr>
            <w:tcW w:w="0" w:type="auto"/>
          </w:tcPr>
          <w:p w14:paraId="3C4B6904" w14:textId="77777777" w:rsidR="008A25C9" w:rsidRDefault="00000000">
            <w:pPr>
              <w:pStyle w:val="Compact"/>
            </w:pPr>
            <w:r>
              <w:t>Data</w:t>
            </w:r>
          </w:p>
        </w:tc>
        <w:tc>
          <w:tcPr>
            <w:tcW w:w="0" w:type="auto"/>
          </w:tcPr>
          <w:p w14:paraId="3408A46E" w14:textId="77777777" w:rsidR="008A25C9" w:rsidRDefault="00000000">
            <w:pPr>
              <w:pStyle w:val="Compact"/>
            </w:pPr>
            <w:r>
              <w:t>Share of training data from foreign sources</w:t>
            </w:r>
          </w:p>
        </w:tc>
        <w:tc>
          <w:tcPr>
            <w:tcW w:w="0" w:type="auto"/>
          </w:tcPr>
          <w:p w14:paraId="4A98F1F8" w14:textId="77777777" w:rsidR="008A25C9" w:rsidRDefault="00000000">
            <w:pPr>
              <w:pStyle w:val="Compact"/>
            </w:pPr>
            <w:r>
              <w:t>Degrading over time as AI-generated text spreads</w:t>
            </w:r>
          </w:p>
        </w:tc>
      </w:tr>
    </w:tbl>
    <w:p w14:paraId="316E8DEA" w14:textId="77777777" w:rsidR="008A25C9" w:rsidRDefault="00000000">
      <w:pPr>
        <w:pStyle w:val="BodyText"/>
      </w:pPr>
      <w:r>
        <w:t xml:space="preserve">Each dependence is labelled a </w:t>
      </w:r>
      <w:r>
        <w:rPr>
          <w:b/>
        </w:rPr>
        <w:t>bottleneck</w:t>
      </w:r>
      <w:r>
        <w:t xml:space="preserve"> (replaceable at reasonable cost) or a </w:t>
      </w:r>
      <w:r>
        <w:rPr>
          <w:b/>
        </w:rPr>
        <w:t>structural constraint</w:t>
      </w:r>
      <w:r>
        <w:t xml:space="preserve"> (no realistic replacement in sight). The goal is not to remove every dependence — impossible — but to spot the ones you cannot replace and steer spending toward them. The thresholds above are calibration judgements, not published constants; treat them as defaults an assessor may overrule with evidence.</w:t>
      </w:r>
    </w:p>
    <w:p w14:paraId="79471AB4" w14:textId="77777777" w:rsidR="008A25C9" w:rsidRDefault="00000000">
      <w:pPr>
        <w:pStyle w:val="Heading2"/>
      </w:pPr>
      <w:bookmarkStart w:id="22" w:name="part-ii.-pillars-and-weights"/>
      <w:bookmarkStart w:id="23" w:name="_Toc238848852"/>
      <w:r>
        <w:t>Part II. Pillars and weights</w:t>
      </w:r>
      <w:bookmarkEnd w:id="22"/>
      <w:bookmarkEnd w:id="23"/>
    </w:p>
    <w:p w14:paraId="37D85D48" w14:textId="77777777" w:rsidR="008A25C9" w:rsidRDefault="00000000">
      <w:pPr>
        <w:pStyle w:val="Heading3"/>
      </w:pPr>
      <w:bookmarkStart w:id="24" w:name="the-eight-shared-pillars"/>
      <w:r>
        <w:t>2.1 The eight shared pillars</w:t>
      </w:r>
      <w:bookmarkEnd w:id="24"/>
    </w:p>
    <w:p w14:paraId="027F7099" w14:textId="77777777" w:rsidR="008A25C9" w:rsidRDefault="00000000">
      <w:pPr>
        <w:pStyle w:val="FirstParagraph"/>
      </w:pPr>
      <w:r>
        <w:t>The backbone is eight pillars, stable against the 2024–2026 incident record and covering the design space of the publicly comparable instruments in active use (Stanford HAI AI Index, OECD.AI, IMF AIPI, Tortoise, CSET/ETO, ECFR, GAIA-X, NIST AI RMF, ISO/IEC 42001).</w:t>
      </w:r>
    </w:p>
    <w:tbl>
      <w:tblPr>
        <w:tblStyle w:val="Table"/>
        <w:tblW w:w="5000" w:type="pct"/>
        <w:tblLook w:val="07E0" w:firstRow="1" w:lastRow="1" w:firstColumn="1" w:lastColumn="1" w:noHBand="1" w:noVBand="1"/>
      </w:tblPr>
      <w:tblGrid>
        <w:gridCol w:w="360"/>
        <w:gridCol w:w="2207"/>
        <w:gridCol w:w="6793"/>
      </w:tblGrid>
      <w:tr w:rsidR="008A25C9" w14:paraId="3831BDE4" w14:textId="77777777">
        <w:tc>
          <w:tcPr>
            <w:tcW w:w="0" w:type="auto"/>
            <w:tcBorders>
              <w:bottom w:val="single" w:sz="0" w:space="0" w:color="auto"/>
            </w:tcBorders>
            <w:vAlign w:val="bottom"/>
          </w:tcPr>
          <w:p w14:paraId="6E0F3E19" w14:textId="77777777" w:rsidR="008A25C9" w:rsidRDefault="00000000">
            <w:pPr>
              <w:pStyle w:val="Compact"/>
            </w:pPr>
            <w:r>
              <w:t>#</w:t>
            </w:r>
          </w:p>
        </w:tc>
        <w:tc>
          <w:tcPr>
            <w:tcW w:w="0" w:type="auto"/>
            <w:tcBorders>
              <w:bottom w:val="single" w:sz="0" w:space="0" w:color="auto"/>
            </w:tcBorders>
            <w:vAlign w:val="bottom"/>
          </w:tcPr>
          <w:p w14:paraId="59CE3ED7" w14:textId="77777777" w:rsidR="008A25C9" w:rsidRDefault="00000000">
            <w:pPr>
              <w:pStyle w:val="Compact"/>
            </w:pPr>
            <w:r>
              <w:t>Pillar</w:t>
            </w:r>
          </w:p>
        </w:tc>
        <w:tc>
          <w:tcPr>
            <w:tcW w:w="0" w:type="auto"/>
            <w:tcBorders>
              <w:bottom w:val="single" w:sz="0" w:space="0" w:color="auto"/>
            </w:tcBorders>
            <w:vAlign w:val="bottom"/>
          </w:tcPr>
          <w:p w14:paraId="584DB551" w14:textId="77777777" w:rsidR="008A25C9" w:rsidRDefault="00000000">
            <w:pPr>
              <w:pStyle w:val="Compact"/>
            </w:pPr>
            <w:r>
              <w:t>Scope</w:t>
            </w:r>
          </w:p>
        </w:tc>
      </w:tr>
      <w:tr w:rsidR="008A25C9" w14:paraId="2DD9CB5F" w14:textId="77777777">
        <w:tc>
          <w:tcPr>
            <w:tcW w:w="0" w:type="auto"/>
          </w:tcPr>
          <w:p w14:paraId="674EA905" w14:textId="77777777" w:rsidR="008A25C9" w:rsidRDefault="00000000">
            <w:pPr>
              <w:pStyle w:val="Compact"/>
            </w:pPr>
            <w:r>
              <w:t>1</w:t>
            </w:r>
          </w:p>
        </w:tc>
        <w:tc>
          <w:tcPr>
            <w:tcW w:w="0" w:type="auto"/>
          </w:tcPr>
          <w:p w14:paraId="4FB712CF" w14:textId="77777777" w:rsidR="008A25C9" w:rsidRDefault="00000000">
            <w:pPr>
              <w:pStyle w:val="Compact"/>
            </w:pPr>
            <w:r>
              <w:t>Data</w:t>
            </w:r>
          </w:p>
        </w:tc>
        <w:tc>
          <w:tcPr>
            <w:tcW w:w="0" w:type="auto"/>
          </w:tcPr>
          <w:p w14:paraId="3D5981EA" w14:textId="77777777" w:rsidR="008A25C9" w:rsidRDefault="00000000">
            <w:pPr>
              <w:pStyle w:val="Compact"/>
            </w:pPr>
            <w:r>
              <w:t>Corpus control, linguistic identity, residency, no-train discipline, data egress at inference</w:t>
            </w:r>
          </w:p>
        </w:tc>
      </w:tr>
      <w:tr w:rsidR="008A25C9" w14:paraId="25B05034" w14:textId="77777777">
        <w:tc>
          <w:tcPr>
            <w:tcW w:w="0" w:type="auto"/>
          </w:tcPr>
          <w:p w14:paraId="175BBB6E" w14:textId="77777777" w:rsidR="008A25C9" w:rsidRDefault="00000000">
            <w:pPr>
              <w:pStyle w:val="Compact"/>
            </w:pPr>
            <w:r>
              <w:t>2</w:t>
            </w:r>
          </w:p>
        </w:tc>
        <w:tc>
          <w:tcPr>
            <w:tcW w:w="0" w:type="auto"/>
          </w:tcPr>
          <w:p w14:paraId="35321C1D" w14:textId="77777777" w:rsidR="008A25C9" w:rsidRDefault="00000000">
            <w:pPr>
              <w:pStyle w:val="Compact"/>
            </w:pPr>
            <w:r>
              <w:t>Models</w:t>
            </w:r>
          </w:p>
        </w:tc>
        <w:tc>
          <w:tcPr>
            <w:tcW w:w="0" w:type="auto"/>
          </w:tcPr>
          <w:p w14:paraId="5E6D645E" w14:textId="77777777" w:rsidR="008A25C9" w:rsidRDefault="00000000">
            <w:pPr>
              <w:pStyle w:val="Compact"/>
            </w:pPr>
            <w:r>
              <w:t>The L0–L4 ladder from foreign API to from-scratch training; fine-tune capacity; reasoning; portfolio and jurisdiction diversification</w:t>
            </w:r>
          </w:p>
        </w:tc>
      </w:tr>
      <w:tr w:rsidR="008A25C9" w14:paraId="3F1FBC78" w14:textId="77777777">
        <w:tc>
          <w:tcPr>
            <w:tcW w:w="0" w:type="auto"/>
          </w:tcPr>
          <w:p w14:paraId="78019D80" w14:textId="77777777" w:rsidR="008A25C9" w:rsidRDefault="00000000">
            <w:pPr>
              <w:pStyle w:val="Compact"/>
            </w:pPr>
            <w:r>
              <w:t>3</w:t>
            </w:r>
          </w:p>
        </w:tc>
        <w:tc>
          <w:tcPr>
            <w:tcW w:w="0" w:type="auto"/>
          </w:tcPr>
          <w:p w14:paraId="710423B2" w14:textId="77777777" w:rsidR="008A25C9" w:rsidRDefault="00000000">
            <w:pPr>
              <w:pStyle w:val="Compact"/>
            </w:pPr>
            <w:r>
              <w:t>Infrastructure and energy</w:t>
            </w:r>
          </w:p>
        </w:tc>
        <w:tc>
          <w:tcPr>
            <w:tcW w:w="0" w:type="auto"/>
          </w:tcPr>
          <w:p w14:paraId="46DA4898" w14:textId="77777777" w:rsidR="008A25C9" w:rsidRDefault="00000000">
            <w:pPr>
              <w:pStyle w:val="Compact"/>
            </w:pPr>
            <w:r>
              <w:t>Sovereign cloud, AI factories, network and energy independence, confidential computing</w:t>
            </w:r>
          </w:p>
        </w:tc>
      </w:tr>
      <w:tr w:rsidR="008A25C9" w14:paraId="2AFF26F4" w14:textId="77777777">
        <w:tc>
          <w:tcPr>
            <w:tcW w:w="0" w:type="auto"/>
          </w:tcPr>
          <w:p w14:paraId="3F8E2BD9" w14:textId="77777777" w:rsidR="008A25C9" w:rsidRDefault="00000000">
            <w:pPr>
              <w:pStyle w:val="Compact"/>
            </w:pPr>
            <w:r>
              <w:t>4</w:t>
            </w:r>
          </w:p>
        </w:tc>
        <w:tc>
          <w:tcPr>
            <w:tcW w:w="0" w:type="auto"/>
          </w:tcPr>
          <w:p w14:paraId="4C34FF05" w14:textId="77777777" w:rsidR="008A25C9" w:rsidRDefault="00000000">
            <w:pPr>
              <w:pStyle w:val="Compact"/>
            </w:pPr>
            <w:r>
              <w:t>Hardware architecture</w:t>
            </w:r>
          </w:p>
        </w:tc>
        <w:tc>
          <w:tcPr>
            <w:tcW w:w="0" w:type="auto"/>
          </w:tcPr>
          <w:p w14:paraId="28283ED5" w14:textId="77777777" w:rsidR="008A25C9" w:rsidRDefault="00000000">
            <w:pPr>
              <w:pStyle w:val="Compact"/>
            </w:pPr>
            <w:r>
              <w:t>CPU ISA (x86/ARM/RISC-V) and AI accelerators, export-tier access, indigenous designs</w:t>
            </w:r>
          </w:p>
        </w:tc>
      </w:tr>
      <w:tr w:rsidR="008A25C9" w14:paraId="2CED10D3" w14:textId="77777777">
        <w:tc>
          <w:tcPr>
            <w:tcW w:w="0" w:type="auto"/>
          </w:tcPr>
          <w:p w14:paraId="1986339D" w14:textId="77777777" w:rsidR="008A25C9" w:rsidRDefault="00000000">
            <w:pPr>
              <w:pStyle w:val="Compact"/>
            </w:pPr>
            <w:r>
              <w:t>5</w:t>
            </w:r>
          </w:p>
        </w:tc>
        <w:tc>
          <w:tcPr>
            <w:tcW w:w="0" w:type="auto"/>
          </w:tcPr>
          <w:p w14:paraId="4C76C0C3" w14:textId="77777777" w:rsidR="008A25C9" w:rsidRDefault="00000000">
            <w:pPr>
              <w:pStyle w:val="Compact"/>
            </w:pPr>
            <w:r>
              <w:t>Manufacturing (foundry)</w:t>
            </w:r>
          </w:p>
        </w:tc>
        <w:tc>
          <w:tcPr>
            <w:tcW w:w="0" w:type="auto"/>
          </w:tcPr>
          <w:p w14:paraId="02CDD18F" w14:textId="77777777" w:rsidR="008A25C9" w:rsidRDefault="00000000">
            <w:pPr>
              <w:pStyle w:val="Compact"/>
            </w:pPr>
            <w:r>
              <w:t>Leading-edge foundry access, advanced packaging, critical minerals, domestic capacity</w:t>
            </w:r>
          </w:p>
        </w:tc>
      </w:tr>
      <w:tr w:rsidR="008A25C9" w14:paraId="7D56D8ED" w14:textId="77777777">
        <w:tc>
          <w:tcPr>
            <w:tcW w:w="0" w:type="auto"/>
          </w:tcPr>
          <w:p w14:paraId="1DAB3923" w14:textId="77777777" w:rsidR="008A25C9" w:rsidRDefault="00000000">
            <w:pPr>
              <w:pStyle w:val="Compact"/>
            </w:pPr>
            <w:r>
              <w:t>6</w:t>
            </w:r>
          </w:p>
        </w:tc>
        <w:tc>
          <w:tcPr>
            <w:tcW w:w="0" w:type="auto"/>
          </w:tcPr>
          <w:p w14:paraId="4CBBACF6" w14:textId="77777777" w:rsidR="008A25C9" w:rsidRDefault="00000000">
            <w:pPr>
              <w:pStyle w:val="Compact"/>
            </w:pPr>
            <w:r>
              <w:t>Software stack</w:t>
            </w:r>
          </w:p>
        </w:tc>
        <w:tc>
          <w:tcPr>
            <w:tcW w:w="0" w:type="auto"/>
          </w:tcPr>
          <w:p w14:paraId="56E72A83" w14:textId="77777777" w:rsidR="008A25C9" w:rsidRDefault="00000000">
            <w:pPr>
              <w:pStyle w:val="Compact"/>
            </w:pPr>
            <w:r>
              <w:t>CUDA exposure, training frameworks, inference runtimes, MLOps, open-source contribution</w:t>
            </w:r>
          </w:p>
        </w:tc>
      </w:tr>
      <w:tr w:rsidR="008A25C9" w14:paraId="7DF761D0" w14:textId="77777777">
        <w:tc>
          <w:tcPr>
            <w:tcW w:w="0" w:type="auto"/>
          </w:tcPr>
          <w:p w14:paraId="07CCE72D" w14:textId="77777777" w:rsidR="008A25C9" w:rsidRDefault="00000000">
            <w:pPr>
              <w:pStyle w:val="Compact"/>
            </w:pPr>
            <w:r>
              <w:t>7</w:t>
            </w:r>
          </w:p>
        </w:tc>
        <w:tc>
          <w:tcPr>
            <w:tcW w:w="0" w:type="auto"/>
          </w:tcPr>
          <w:p w14:paraId="5ACD4C30" w14:textId="77777777" w:rsidR="008A25C9" w:rsidRDefault="00000000">
            <w:pPr>
              <w:pStyle w:val="Compact"/>
            </w:pPr>
            <w:r>
              <w:t>Human capital</w:t>
            </w:r>
          </w:p>
        </w:tc>
        <w:tc>
          <w:tcPr>
            <w:tcW w:w="0" w:type="auto"/>
          </w:tcPr>
          <w:p w14:paraId="10F0B90A" w14:textId="77777777" w:rsidR="008A25C9" w:rsidRDefault="00000000">
            <w:pPr>
              <w:pStyle w:val="Compact"/>
            </w:pPr>
            <w:r>
              <w:t>Researchers at top venues, ML engineers, education pipeline, retention, AI literacy</w:t>
            </w:r>
          </w:p>
        </w:tc>
      </w:tr>
      <w:tr w:rsidR="008A25C9" w14:paraId="06ECE691" w14:textId="77777777">
        <w:tc>
          <w:tcPr>
            <w:tcW w:w="0" w:type="auto"/>
          </w:tcPr>
          <w:p w14:paraId="167056B6" w14:textId="77777777" w:rsidR="008A25C9" w:rsidRDefault="00000000">
            <w:pPr>
              <w:pStyle w:val="Compact"/>
            </w:pPr>
            <w:r>
              <w:t>8</w:t>
            </w:r>
          </w:p>
        </w:tc>
        <w:tc>
          <w:tcPr>
            <w:tcW w:w="0" w:type="auto"/>
          </w:tcPr>
          <w:p w14:paraId="6EBB380A" w14:textId="77777777" w:rsidR="008A25C9" w:rsidRDefault="00000000">
            <w:pPr>
              <w:pStyle w:val="Compact"/>
            </w:pPr>
            <w:r>
              <w:t>Regulatory and legal</w:t>
            </w:r>
          </w:p>
        </w:tc>
        <w:tc>
          <w:tcPr>
            <w:tcW w:w="0" w:type="auto"/>
          </w:tcPr>
          <w:p w14:paraId="1F61D31E" w14:textId="77777777" w:rsidR="008A25C9" w:rsidRDefault="00000000">
            <w:pPr>
              <w:pStyle w:val="Compact"/>
            </w:pPr>
            <w:r>
              <w:t>AI-SAF-C: depth of compliance. AI-SAF-N: rule-making capacity</w:t>
            </w:r>
          </w:p>
        </w:tc>
      </w:tr>
    </w:tbl>
    <w:p w14:paraId="4955F2C9" w14:textId="77777777" w:rsidR="008A25C9" w:rsidRDefault="00000000">
      <w:pPr>
        <w:pStyle w:val="BodyText"/>
      </w:pPr>
      <w:r>
        <w:t xml:space="preserve">The Data pillar covers not only the data a subject holds but also proprietary, corporate, or personal data that flows out to third-party models at inference time — prompts, retrieved </w:t>
      </w:r>
      <w:r>
        <w:lastRenderedPageBreak/>
        <w:t>context, fine-tuning sets and logs — scored through data-egress, no-train/data-rights and (for firms) IP-leakage sub-indicators. Uncontrolled egress of proprietary data is now a primary sovereignty exposure; it is cross-referenced to the Models pillar’s run-it-yourself fallback rather than counted twice.</w:t>
      </w:r>
    </w:p>
    <w:p w14:paraId="014FE602" w14:textId="77777777" w:rsidR="008A25C9" w:rsidRDefault="00000000">
      <w:pPr>
        <w:pStyle w:val="Heading3"/>
      </w:pPr>
      <w:bookmarkStart w:id="25" w:name="Xd6583016a56da21f680cdf20970af16ab84e68f"/>
      <w:r>
        <w:t>2.2 The ninth pillar: Culture and operating model</w:t>
      </w:r>
      <w:bookmarkEnd w:id="25"/>
    </w:p>
    <w:p w14:paraId="71379E29" w14:textId="77777777" w:rsidR="008A25C9" w:rsidRDefault="00000000">
      <w:pPr>
        <w:pStyle w:val="FirstParagraph"/>
      </w:pPr>
      <w:r>
        <w:t>AI-SAF-C only. Corporate execution does not reduce to technology and compliance. The CrowdStrike incident (19 July 2024: 8.5M Windows machines down, Fortune 500 losses above $5B) showed that the gap between hours and days of recovery was determined by runbook and incident-response maturity, not cloud choice. Every comparable business framework (McKinsey, BCG, Gartner, Deloitte, MIT CISR) treats culture as a distinct dimension. The ninth pillar measures board oversight, applied AI literacy, deployment speed, model-change governance, and disciplined experimentation. States do not have an organisational culture in this sense; the pillar does not appear in AI-SAF-N.</w:t>
      </w:r>
    </w:p>
    <w:p w14:paraId="7DBB7704" w14:textId="77777777" w:rsidR="008A25C9" w:rsidRDefault="00000000">
      <w:pPr>
        <w:pStyle w:val="Heading3"/>
      </w:pPr>
      <w:bookmarkStart w:id="26" w:name="weights-by-variant"/>
      <w:r>
        <w:t>2.3 Weights by variant</w:t>
      </w:r>
      <w:bookmarkEnd w:id="26"/>
    </w:p>
    <w:p w14:paraId="1BD1BDE1" w14:textId="77777777" w:rsidR="008A25C9" w:rsidRDefault="00000000">
      <w:pPr>
        <w:pStyle w:val="FirstParagraph"/>
      </w:pPr>
      <w:r>
        <w:t>Weights reflect the asymmetry between firm and state. The two largest movements — Manufacturing (1 corporate, 12 national) and Culture (10 corporate, absent national) — are mirror images: firms live or die by how they operate; states live or die by fab capacity.</w:t>
      </w:r>
    </w:p>
    <w:tbl>
      <w:tblPr>
        <w:tblStyle w:val="Table"/>
        <w:tblW w:w="5000" w:type="pct"/>
        <w:tblLook w:val="07E0" w:firstRow="1" w:lastRow="1" w:firstColumn="1" w:lastColumn="1" w:noHBand="1" w:noVBand="1"/>
      </w:tblPr>
      <w:tblGrid>
        <w:gridCol w:w="1864"/>
        <w:gridCol w:w="986"/>
        <w:gridCol w:w="990"/>
        <w:gridCol w:w="5520"/>
      </w:tblGrid>
      <w:tr w:rsidR="008A25C9" w14:paraId="762A9858" w14:textId="77777777">
        <w:tc>
          <w:tcPr>
            <w:tcW w:w="0" w:type="auto"/>
            <w:tcBorders>
              <w:bottom w:val="single" w:sz="0" w:space="0" w:color="auto"/>
            </w:tcBorders>
            <w:vAlign w:val="bottom"/>
          </w:tcPr>
          <w:p w14:paraId="586E2A18" w14:textId="77777777" w:rsidR="008A25C9" w:rsidRDefault="00000000">
            <w:pPr>
              <w:pStyle w:val="Compact"/>
            </w:pPr>
            <w:r>
              <w:t>Pillar</w:t>
            </w:r>
          </w:p>
        </w:tc>
        <w:tc>
          <w:tcPr>
            <w:tcW w:w="0" w:type="auto"/>
            <w:tcBorders>
              <w:bottom w:val="single" w:sz="0" w:space="0" w:color="auto"/>
            </w:tcBorders>
            <w:vAlign w:val="bottom"/>
          </w:tcPr>
          <w:p w14:paraId="1551ADE4" w14:textId="77777777" w:rsidR="008A25C9" w:rsidRDefault="00000000">
            <w:pPr>
              <w:pStyle w:val="Compact"/>
            </w:pPr>
            <w:r>
              <w:t>AI-SAF-C</w:t>
            </w:r>
          </w:p>
        </w:tc>
        <w:tc>
          <w:tcPr>
            <w:tcW w:w="0" w:type="auto"/>
            <w:tcBorders>
              <w:bottom w:val="single" w:sz="0" w:space="0" w:color="auto"/>
            </w:tcBorders>
            <w:vAlign w:val="bottom"/>
          </w:tcPr>
          <w:p w14:paraId="7988CF21" w14:textId="77777777" w:rsidR="008A25C9" w:rsidRDefault="00000000">
            <w:pPr>
              <w:pStyle w:val="Compact"/>
            </w:pPr>
            <w:r>
              <w:t>AI-SAF-N</w:t>
            </w:r>
          </w:p>
        </w:tc>
        <w:tc>
          <w:tcPr>
            <w:tcW w:w="0" w:type="auto"/>
            <w:tcBorders>
              <w:bottom w:val="single" w:sz="0" w:space="0" w:color="auto"/>
            </w:tcBorders>
            <w:vAlign w:val="bottom"/>
          </w:tcPr>
          <w:p w14:paraId="107F13E3" w14:textId="77777777" w:rsidR="008A25C9" w:rsidRDefault="00000000">
            <w:pPr>
              <w:pStyle w:val="Compact"/>
            </w:pPr>
            <w:r>
              <w:t>Weight rationale</w:t>
            </w:r>
          </w:p>
        </w:tc>
      </w:tr>
      <w:tr w:rsidR="008A25C9" w14:paraId="65311659" w14:textId="77777777">
        <w:tc>
          <w:tcPr>
            <w:tcW w:w="0" w:type="auto"/>
          </w:tcPr>
          <w:p w14:paraId="5B23609A" w14:textId="77777777" w:rsidR="008A25C9" w:rsidRDefault="00000000">
            <w:pPr>
              <w:pStyle w:val="Compact"/>
            </w:pPr>
            <w:r>
              <w:t>1. Data</w:t>
            </w:r>
          </w:p>
        </w:tc>
        <w:tc>
          <w:tcPr>
            <w:tcW w:w="0" w:type="auto"/>
          </w:tcPr>
          <w:p w14:paraId="773DDEB7" w14:textId="77777777" w:rsidR="008A25C9" w:rsidRDefault="00000000">
            <w:pPr>
              <w:pStyle w:val="Compact"/>
            </w:pPr>
            <w:r>
              <w:t>14</w:t>
            </w:r>
          </w:p>
        </w:tc>
        <w:tc>
          <w:tcPr>
            <w:tcW w:w="0" w:type="auto"/>
          </w:tcPr>
          <w:p w14:paraId="1B960C77" w14:textId="77777777" w:rsidR="008A25C9" w:rsidRDefault="00000000">
            <w:pPr>
              <w:pStyle w:val="Compact"/>
            </w:pPr>
            <w:r>
              <w:t>10</w:t>
            </w:r>
          </w:p>
        </w:tc>
        <w:tc>
          <w:tcPr>
            <w:tcW w:w="0" w:type="auto"/>
          </w:tcPr>
          <w:p w14:paraId="6668FFFA" w14:textId="77777777" w:rsidR="008A25C9" w:rsidRDefault="00000000">
            <w:pPr>
              <w:pStyle w:val="Compact"/>
            </w:pPr>
            <w:r>
              <w:t>C: corpus + residency + contractual and egress discipline; N: residency emphasis</w:t>
            </w:r>
          </w:p>
        </w:tc>
      </w:tr>
      <w:tr w:rsidR="008A25C9" w14:paraId="75718603" w14:textId="77777777">
        <w:tc>
          <w:tcPr>
            <w:tcW w:w="0" w:type="auto"/>
          </w:tcPr>
          <w:p w14:paraId="27335031" w14:textId="77777777" w:rsidR="008A25C9" w:rsidRDefault="00000000">
            <w:pPr>
              <w:pStyle w:val="Compact"/>
            </w:pPr>
            <w:r>
              <w:t>2. Models</w:t>
            </w:r>
          </w:p>
        </w:tc>
        <w:tc>
          <w:tcPr>
            <w:tcW w:w="0" w:type="auto"/>
          </w:tcPr>
          <w:p w14:paraId="769824F0" w14:textId="77777777" w:rsidR="008A25C9" w:rsidRDefault="00000000">
            <w:pPr>
              <w:pStyle w:val="Compact"/>
            </w:pPr>
            <w:r>
              <w:t>16</w:t>
            </w:r>
          </w:p>
        </w:tc>
        <w:tc>
          <w:tcPr>
            <w:tcW w:w="0" w:type="auto"/>
          </w:tcPr>
          <w:p w14:paraId="45CE13C8" w14:textId="77777777" w:rsidR="008A25C9" w:rsidRDefault="00000000">
            <w:pPr>
              <w:pStyle w:val="Compact"/>
            </w:pPr>
            <w:r>
              <w:t>16</w:t>
            </w:r>
          </w:p>
        </w:tc>
        <w:tc>
          <w:tcPr>
            <w:tcW w:w="0" w:type="auto"/>
          </w:tcPr>
          <w:p w14:paraId="0DD9BE98" w14:textId="77777777" w:rsidR="008A25C9" w:rsidRDefault="00000000">
            <w:pPr>
              <w:pStyle w:val="Compact"/>
            </w:pPr>
            <w:r>
              <w:t>Portfolio and jurisdiction spread, fine-tune, open fallback, reasoning</w:t>
            </w:r>
          </w:p>
        </w:tc>
      </w:tr>
      <w:tr w:rsidR="008A25C9" w14:paraId="3497B05B" w14:textId="77777777">
        <w:tc>
          <w:tcPr>
            <w:tcW w:w="0" w:type="auto"/>
          </w:tcPr>
          <w:p w14:paraId="1F2F1528" w14:textId="77777777" w:rsidR="008A25C9" w:rsidRDefault="00000000">
            <w:pPr>
              <w:pStyle w:val="Compact"/>
            </w:pPr>
            <w:r>
              <w:t>3. Infrastructure</w:t>
            </w:r>
          </w:p>
        </w:tc>
        <w:tc>
          <w:tcPr>
            <w:tcW w:w="0" w:type="auto"/>
          </w:tcPr>
          <w:p w14:paraId="6C4B60F1" w14:textId="77777777" w:rsidR="008A25C9" w:rsidRDefault="00000000">
            <w:pPr>
              <w:pStyle w:val="Compact"/>
            </w:pPr>
            <w:r>
              <w:t>14</w:t>
            </w:r>
          </w:p>
        </w:tc>
        <w:tc>
          <w:tcPr>
            <w:tcW w:w="0" w:type="auto"/>
          </w:tcPr>
          <w:p w14:paraId="22D2ED59" w14:textId="77777777" w:rsidR="008A25C9" w:rsidRDefault="00000000">
            <w:pPr>
              <w:pStyle w:val="Compact"/>
            </w:pPr>
            <w:r>
              <w:t>17</w:t>
            </w:r>
          </w:p>
        </w:tc>
        <w:tc>
          <w:tcPr>
            <w:tcW w:w="0" w:type="auto"/>
          </w:tcPr>
          <w:p w14:paraId="10E8231C" w14:textId="77777777" w:rsidR="008A25C9" w:rsidRDefault="00000000">
            <w:pPr>
              <w:pStyle w:val="Compact"/>
            </w:pPr>
            <w:r>
              <w:t>Sovereign cloud, AI factories, CLOUD Act exposure</w:t>
            </w:r>
          </w:p>
        </w:tc>
      </w:tr>
      <w:tr w:rsidR="008A25C9" w14:paraId="64A77EF2" w14:textId="77777777">
        <w:tc>
          <w:tcPr>
            <w:tcW w:w="0" w:type="auto"/>
          </w:tcPr>
          <w:p w14:paraId="3A555BF7" w14:textId="77777777" w:rsidR="008A25C9" w:rsidRDefault="00000000">
            <w:pPr>
              <w:pStyle w:val="Compact"/>
            </w:pPr>
            <w:r>
              <w:t>4. Hardware</w:t>
            </w:r>
          </w:p>
        </w:tc>
        <w:tc>
          <w:tcPr>
            <w:tcW w:w="0" w:type="auto"/>
          </w:tcPr>
          <w:p w14:paraId="77B5E273" w14:textId="77777777" w:rsidR="008A25C9" w:rsidRDefault="00000000">
            <w:pPr>
              <w:pStyle w:val="Compact"/>
            </w:pPr>
            <w:r>
              <w:t>10</w:t>
            </w:r>
          </w:p>
        </w:tc>
        <w:tc>
          <w:tcPr>
            <w:tcW w:w="0" w:type="auto"/>
          </w:tcPr>
          <w:p w14:paraId="17BD602C" w14:textId="77777777" w:rsidR="008A25C9" w:rsidRDefault="00000000">
            <w:pPr>
              <w:pStyle w:val="Compact"/>
            </w:pPr>
            <w:r>
              <w:t>17</w:t>
            </w:r>
          </w:p>
        </w:tc>
        <w:tc>
          <w:tcPr>
            <w:tcW w:w="0" w:type="auto"/>
          </w:tcPr>
          <w:p w14:paraId="571F3E57" w14:textId="77777777" w:rsidR="008A25C9" w:rsidRDefault="00000000">
            <w:pPr>
              <w:pStyle w:val="Compact"/>
            </w:pPr>
            <w:r>
              <w:t>C: reserved GPU, diversification; N: access + design</w:t>
            </w:r>
          </w:p>
        </w:tc>
      </w:tr>
      <w:tr w:rsidR="008A25C9" w14:paraId="45EC2D90" w14:textId="77777777">
        <w:tc>
          <w:tcPr>
            <w:tcW w:w="0" w:type="auto"/>
          </w:tcPr>
          <w:p w14:paraId="08BE06F9" w14:textId="77777777" w:rsidR="008A25C9" w:rsidRDefault="00000000">
            <w:pPr>
              <w:pStyle w:val="Compact"/>
            </w:pPr>
            <w:r>
              <w:t>5. Manufacturing</w:t>
            </w:r>
          </w:p>
        </w:tc>
        <w:tc>
          <w:tcPr>
            <w:tcW w:w="0" w:type="auto"/>
          </w:tcPr>
          <w:p w14:paraId="7D1E3800" w14:textId="77777777" w:rsidR="008A25C9" w:rsidRDefault="00000000">
            <w:pPr>
              <w:pStyle w:val="Compact"/>
            </w:pPr>
            <w:r>
              <w:t>1</w:t>
            </w:r>
          </w:p>
        </w:tc>
        <w:tc>
          <w:tcPr>
            <w:tcW w:w="0" w:type="auto"/>
          </w:tcPr>
          <w:p w14:paraId="0B574506" w14:textId="77777777" w:rsidR="008A25C9" w:rsidRDefault="00000000">
            <w:pPr>
              <w:pStyle w:val="Compact"/>
            </w:pPr>
            <w:r>
              <w:t>12</w:t>
            </w:r>
          </w:p>
        </w:tc>
        <w:tc>
          <w:tcPr>
            <w:tcW w:w="0" w:type="auto"/>
          </w:tcPr>
          <w:p w14:paraId="2DFFB5BF" w14:textId="77777777" w:rsidR="008A25C9" w:rsidRDefault="00000000">
            <w:pPr>
              <w:pStyle w:val="Compact"/>
            </w:pPr>
            <w:r>
              <w:t>C: awareness only; N: fabs, packaging, minerals</w:t>
            </w:r>
          </w:p>
        </w:tc>
      </w:tr>
      <w:tr w:rsidR="008A25C9" w14:paraId="15BA4984" w14:textId="77777777">
        <w:tc>
          <w:tcPr>
            <w:tcW w:w="0" w:type="auto"/>
          </w:tcPr>
          <w:p w14:paraId="109CCA9A" w14:textId="77777777" w:rsidR="008A25C9" w:rsidRDefault="00000000">
            <w:pPr>
              <w:pStyle w:val="Compact"/>
            </w:pPr>
            <w:r>
              <w:t>6. Software</w:t>
            </w:r>
          </w:p>
        </w:tc>
        <w:tc>
          <w:tcPr>
            <w:tcW w:w="0" w:type="auto"/>
          </w:tcPr>
          <w:p w14:paraId="6A152EE3" w14:textId="77777777" w:rsidR="008A25C9" w:rsidRDefault="00000000">
            <w:pPr>
              <w:pStyle w:val="Compact"/>
            </w:pPr>
            <w:r>
              <w:t>10</w:t>
            </w:r>
          </w:p>
        </w:tc>
        <w:tc>
          <w:tcPr>
            <w:tcW w:w="0" w:type="auto"/>
          </w:tcPr>
          <w:p w14:paraId="49B4BC77" w14:textId="77777777" w:rsidR="008A25C9" w:rsidRDefault="00000000">
            <w:pPr>
              <w:pStyle w:val="Compact"/>
            </w:pPr>
            <w:r>
              <w:t>8</w:t>
            </w:r>
          </w:p>
        </w:tc>
        <w:tc>
          <w:tcPr>
            <w:tcW w:w="0" w:type="auto"/>
          </w:tcPr>
          <w:p w14:paraId="35AF00B1" w14:textId="77777777" w:rsidR="008A25C9" w:rsidRDefault="00000000">
            <w:pPr>
              <w:pStyle w:val="Compact"/>
            </w:pPr>
            <w:r>
              <w:t>CUDA exposure, MLOps, FOSS share</w:t>
            </w:r>
          </w:p>
        </w:tc>
      </w:tr>
      <w:tr w:rsidR="008A25C9" w14:paraId="6D567896" w14:textId="77777777">
        <w:tc>
          <w:tcPr>
            <w:tcW w:w="0" w:type="auto"/>
          </w:tcPr>
          <w:p w14:paraId="26A2FDCF" w14:textId="77777777" w:rsidR="008A25C9" w:rsidRDefault="00000000">
            <w:pPr>
              <w:pStyle w:val="Compact"/>
            </w:pPr>
            <w:r>
              <w:t>7. Human capital</w:t>
            </w:r>
          </w:p>
        </w:tc>
        <w:tc>
          <w:tcPr>
            <w:tcW w:w="0" w:type="auto"/>
          </w:tcPr>
          <w:p w14:paraId="55EFB228" w14:textId="77777777" w:rsidR="008A25C9" w:rsidRDefault="00000000">
            <w:pPr>
              <w:pStyle w:val="Compact"/>
            </w:pPr>
            <w:r>
              <w:t>13</w:t>
            </w:r>
          </w:p>
        </w:tc>
        <w:tc>
          <w:tcPr>
            <w:tcW w:w="0" w:type="auto"/>
          </w:tcPr>
          <w:p w14:paraId="67929F11" w14:textId="77777777" w:rsidR="008A25C9" w:rsidRDefault="00000000">
            <w:pPr>
              <w:pStyle w:val="Compact"/>
            </w:pPr>
            <w:r>
              <w:t>12</w:t>
            </w:r>
          </w:p>
        </w:tc>
        <w:tc>
          <w:tcPr>
            <w:tcW w:w="0" w:type="auto"/>
          </w:tcPr>
          <w:p w14:paraId="7EED36A6" w14:textId="77777777" w:rsidR="008A25C9" w:rsidRDefault="00000000">
            <w:pPr>
              <w:pStyle w:val="Compact"/>
            </w:pPr>
            <w:r>
              <w:t>C: AI-literate engineer ratio; N: talent stack + retention</w:t>
            </w:r>
          </w:p>
        </w:tc>
      </w:tr>
      <w:tr w:rsidR="008A25C9" w14:paraId="457035F3" w14:textId="77777777">
        <w:tc>
          <w:tcPr>
            <w:tcW w:w="0" w:type="auto"/>
          </w:tcPr>
          <w:p w14:paraId="295CFD1E" w14:textId="77777777" w:rsidR="008A25C9" w:rsidRDefault="00000000">
            <w:pPr>
              <w:pStyle w:val="Compact"/>
            </w:pPr>
            <w:r>
              <w:t>8. Regulatory</w:t>
            </w:r>
          </w:p>
        </w:tc>
        <w:tc>
          <w:tcPr>
            <w:tcW w:w="0" w:type="auto"/>
          </w:tcPr>
          <w:p w14:paraId="6F672DA7" w14:textId="77777777" w:rsidR="008A25C9" w:rsidRDefault="00000000">
            <w:pPr>
              <w:pStyle w:val="Compact"/>
            </w:pPr>
            <w:r>
              <w:t>12</w:t>
            </w:r>
          </w:p>
        </w:tc>
        <w:tc>
          <w:tcPr>
            <w:tcW w:w="0" w:type="auto"/>
          </w:tcPr>
          <w:p w14:paraId="644F63FD" w14:textId="77777777" w:rsidR="008A25C9" w:rsidRDefault="00000000">
            <w:pPr>
              <w:pStyle w:val="Compact"/>
            </w:pPr>
            <w:r>
              <w:t>8</w:t>
            </w:r>
          </w:p>
        </w:tc>
        <w:tc>
          <w:tcPr>
            <w:tcW w:w="0" w:type="auto"/>
          </w:tcPr>
          <w:p w14:paraId="54BBD892" w14:textId="77777777" w:rsidR="008A25C9" w:rsidRDefault="00000000">
            <w:pPr>
              <w:pStyle w:val="Compact"/>
            </w:pPr>
            <w:r>
              <w:t>C: compliance depth; N: rule-making</w:t>
            </w:r>
          </w:p>
        </w:tc>
      </w:tr>
      <w:tr w:rsidR="008A25C9" w14:paraId="59E70278" w14:textId="77777777">
        <w:tc>
          <w:tcPr>
            <w:tcW w:w="0" w:type="auto"/>
          </w:tcPr>
          <w:p w14:paraId="7CD28E1B" w14:textId="77777777" w:rsidR="008A25C9" w:rsidRDefault="00000000">
            <w:pPr>
              <w:pStyle w:val="Compact"/>
            </w:pPr>
            <w:r>
              <w:t>9. Culture</w:t>
            </w:r>
          </w:p>
        </w:tc>
        <w:tc>
          <w:tcPr>
            <w:tcW w:w="0" w:type="auto"/>
          </w:tcPr>
          <w:p w14:paraId="34A2920D" w14:textId="77777777" w:rsidR="008A25C9" w:rsidRDefault="00000000">
            <w:pPr>
              <w:pStyle w:val="Compact"/>
            </w:pPr>
            <w:r>
              <w:t>10</w:t>
            </w:r>
          </w:p>
        </w:tc>
        <w:tc>
          <w:tcPr>
            <w:tcW w:w="0" w:type="auto"/>
          </w:tcPr>
          <w:p w14:paraId="5BC9DA4F" w14:textId="77777777" w:rsidR="008A25C9" w:rsidRDefault="00000000">
            <w:pPr>
              <w:pStyle w:val="Compact"/>
            </w:pPr>
            <w:r>
              <w:t>—</w:t>
            </w:r>
          </w:p>
        </w:tc>
        <w:tc>
          <w:tcPr>
            <w:tcW w:w="0" w:type="auto"/>
          </w:tcPr>
          <w:p w14:paraId="69C8DD84" w14:textId="77777777" w:rsidR="008A25C9" w:rsidRDefault="00000000">
            <w:pPr>
              <w:pStyle w:val="Compact"/>
            </w:pPr>
            <w:r>
              <w:t>Corporate only</w:t>
            </w:r>
          </w:p>
        </w:tc>
      </w:tr>
      <w:tr w:rsidR="008A25C9" w14:paraId="2BC4FD60" w14:textId="77777777">
        <w:tc>
          <w:tcPr>
            <w:tcW w:w="0" w:type="auto"/>
          </w:tcPr>
          <w:p w14:paraId="0E56968E" w14:textId="77777777" w:rsidR="008A25C9" w:rsidRDefault="00000000">
            <w:pPr>
              <w:pStyle w:val="Compact"/>
            </w:pPr>
            <w:r>
              <w:rPr>
                <w:b/>
              </w:rPr>
              <w:t>Total</w:t>
            </w:r>
          </w:p>
        </w:tc>
        <w:tc>
          <w:tcPr>
            <w:tcW w:w="0" w:type="auto"/>
          </w:tcPr>
          <w:p w14:paraId="2ADA7AB6" w14:textId="77777777" w:rsidR="008A25C9" w:rsidRDefault="00000000">
            <w:pPr>
              <w:pStyle w:val="Compact"/>
            </w:pPr>
            <w:r>
              <w:rPr>
                <w:b/>
              </w:rPr>
              <w:t>100</w:t>
            </w:r>
          </w:p>
        </w:tc>
        <w:tc>
          <w:tcPr>
            <w:tcW w:w="0" w:type="auto"/>
          </w:tcPr>
          <w:p w14:paraId="1AA269A4" w14:textId="77777777" w:rsidR="008A25C9" w:rsidRDefault="00000000">
            <w:pPr>
              <w:pStyle w:val="Compact"/>
            </w:pPr>
            <w:r>
              <w:rPr>
                <w:b/>
              </w:rPr>
              <w:t>100</w:t>
            </w:r>
          </w:p>
        </w:tc>
        <w:tc>
          <w:tcPr>
            <w:tcW w:w="0" w:type="auto"/>
          </w:tcPr>
          <w:p w14:paraId="63BB8407" w14:textId="77777777" w:rsidR="008A25C9" w:rsidRDefault="008A25C9"/>
        </w:tc>
      </w:tr>
    </w:tbl>
    <w:p w14:paraId="3F3916E1" w14:textId="77777777" w:rsidR="008A25C9" w:rsidRDefault="00000000">
      <w:pPr>
        <w:pStyle w:val="BodyText"/>
      </w:pPr>
      <w:r>
        <w:t xml:space="preserve">Models keeps 16 in both variants because the 2024–2026 record showed model access as equivalent to ownership. The June 2026 Fable 5 / Mythos 5 suspension settled the point after the weights were set: enterprises built on Anthropic’s frontier models lost them </w:t>
      </w:r>
      <w:r>
        <w:lastRenderedPageBreak/>
        <w:t>outright by government directive, with no ownership to fall back on. That access was restored on 1 July does not weaken the case — a 19-day outage imposed by a foreign government, ended at that government’s discretion, is precisely the exposure the 16-point weight prices in (Evidence Base, Part B). The weights are stress-tested rather than taken on faith — see §4.3 for what has and has not yet been run.</w:t>
      </w:r>
    </w:p>
    <w:p w14:paraId="0C2F88C3" w14:textId="77777777" w:rsidR="008A25C9" w:rsidRDefault="00000000">
      <w:pPr>
        <w:pStyle w:val="Heading3"/>
      </w:pPr>
      <w:bookmarkStart w:id="27" w:name="interpreting-the-headline-score"/>
      <w:r>
        <w:t>2.4 Interpreting the headline score</w:t>
      </w:r>
      <w:bookmarkEnd w:id="27"/>
    </w:p>
    <w:tbl>
      <w:tblPr>
        <w:tblStyle w:val="Table"/>
        <w:tblW w:w="5000" w:type="pct"/>
        <w:tblLook w:val="07E0" w:firstRow="1" w:lastRow="1" w:firstColumn="1" w:lastColumn="1" w:noHBand="1" w:noVBand="1"/>
      </w:tblPr>
      <w:tblGrid>
        <w:gridCol w:w="1040"/>
        <w:gridCol w:w="2855"/>
        <w:gridCol w:w="5465"/>
      </w:tblGrid>
      <w:tr w:rsidR="008A25C9" w14:paraId="774083F2" w14:textId="77777777">
        <w:tc>
          <w:tcPr>
            <w:tcW w:w="0" w:type="auto"/>
            <w:tcBorders>
              <w:bottom w:val="single" w:sz="0" w:space="0" w:color="auto"/>
            </w:tcBorders>
            <w:vAlign w:val="bottom"/>
          </w:tcPr>
          <w:p w14:paraId="169E5E35" w14:textId="77777777" w:rsidR="008A25C9" w:rsidRDefault="00000000">
            <w:pPr>
              <w:pStyle w:val="Compact"/>
            </w:pPr>
            <w:r>
              <w:t>Band</w:t>
            </w:r>
          </w:p>
        </w:tc>
        <w:tc>
          <w:tcPr>
            <w:tcW w:w="0" w:type="auto"/>
            <w:tcBorders>
              <w:bottom w:val="single" w:sz="0" w:space="0" w:color="auto"/>
            </w:tcBorders>
            <w:vAlign w:val="bottom"/>
          </w:tcPr>
          <w:p w14:paraId="5490E807" w14:textId="77777777" w:rsidR="008A25C9" w:rsidRDefault="00000000">
            <w:pPr>
              <w:pStyle w:val="Compact"/>
            </w:pPr>
            <w:r>
              <w:t>Level</w:t>
            </w:r>
          </w:p>
        </w:tc>
        <w:tc>
          <w:tcPr>
            <w:tcW w:w="0" w:type="auto"/>
            <w:tcBorders>
              <w:bottom w:val="single" w:sz="0" w:space="0" w:color="auto"/>
            </w:tcBorders>
            <w:vAlign w:val="bottom"/>
          </w:tcPr>
          <w:p w14:paraId="5622270A" w14:textId="77777777" w:rsidR="008A25C9" w:rsidRDefault="00000000">
            <w:pPr>
              <w:pStyle w:val="Compact"/>
            </w:pPr>
            <w:r>
              <w:t>Meaning</w:t>
            </w:r>
          </w:p>
        </w:tc>
      </w:tr>
      <w:tr w:rsidR="008A25C9" w14:paraId="54CDB641" w14:textId="77777777">
        <w:tc>
          <w:tcPr>
            <w:tcW w:w="0" w:type="auto"/>
          </w:tcPr>
          <w:p w14:paraId="0112C88A" w14:textId="77777777" w:rsidR="008A25C9" w:rsidRDefault="00000000">
            <w:pPr>
              <w:pStyle w:val="Compact"/>
            </w:pPr>
            <w:r>
              <w:t>85–100</w:t>
            </w:r>
          </w:p>
        </w:tc>
        <w:tc>
          <w:tcPr>
            <w:tcW w:w="0" w:type="auto"/>
          </w:tcPr>
          <w:p w14:paraId="48A3FFB8" w14:textId="77777777" w:rsidR="008A25C9" w:rsidRDefault="00000000">
            <w:pPr>
              <w:pStyle w:val="Compact"/>
            </w:pPr>
            <w:r>
              <w:t>Sovereign hegemon</w:t>
            </w:r>
          </w:p>
        </w:tc>
        <w:tc>
          <w:tcPr>
            <w:tcW w:w="0" w:type="auto"/>
          </w:tcPr>
          <w:p w14:paraId="5696086A" w14:textId="77777777" w:rsidR="008A25C9" w:rsidRDefault="00000000">
            <w:pPr>
              <w:pStyle w:val="Compact"/>
            </w:pPr>
            <w:r>
              <w:t>Sets the rules; others depend on it</w:t>
            </w:r>
          </w:p>
        </w:tc>
      </w:tr>
      <w:tr w:rsidR="008A25C9" w14:paraId="59205B8C" w14:textId="77777777">
        <w:tc>
          <w:tcPr>
            <w:tcW w:w="0" w:type="auto"/>
          </w:tcPr>
          <w:p w14:paraId="72D5BD18" w14:textId="77777777" w:rsidR="008A25C9" w:rsidRDefault="00000000">
            <w:pPr>
              <w:pStyle w:val="Compact"/>
            </w:pPr>
            <w:r>
              <w:t>65–84</w:t>
            </w:r>
          </w:p>
        </w:tc>
        <w:tc>
          <w:tcPr>
            <w:tcW w:w="0" w:type="auto"/>
          </w:tcPr>
          <w:p w14:paraId="0CC427A0" w14:textId="77777777" w:rsidR="008A25C9" w:rsidRDefault="00000000">
            <w:pPr>
              <w:pStyle w:val="Compact"/>
            </w:pPr>
            <w:r>
              <w:t>Strategically autonomous</w:t>
            </w:r>
          </w:p>
        </w:tc>
        <w:tc>
          <w:tcPr>
            <w:tcW w:w="0" w:type="auto"/>
          </w:tcPr>
          <w:p w14:paraId="5C30D9CC" w14:textId="77777777" w:rsidR="008A25C9" w:rsidRDefault="00000000">
            <w:pPr>
              <w:pStyle w:val="Compact"/>
            </w:pPr>
            <w:r>
              <w:t>Operates under interruption; sets its own trajectory</w:t>
            </w:r>
          </w:p>
        </w:tc>
      </w:tr>
      <w:tr w:rsidR="008A25C9" w14:paraId="6EB5C213" w14:textId="77777777">
        <w:tc>
          <w:tcPr>
            <w:tcW w:w="0" w:type="auto"/>
          </w:tcPr>
          <w:p w14:paraId="4964EE0A" w14:textId="77777777" w:rsidR="008A25C9" w:rsidRDefault="00000000">
            <w:pPr>
              <w:pStyle w:val="Compact"/>
            </w:pPr>
            <w:r>
              <w:t>45–64</w:t>
            </w:r>
          </w:p>
        </w:tc>
        <w:tc>
          <w:tcPr>
            <w:tcW w:w="0" w:type="auto"/>
          </w:tcPr>
          <w:p w14:paraId="400CC9DA" w14:textId="77777777" w:rsidR="008A25C9" w:rsidRDefault="00000000">
            <w:pPr>
              <w:pStyle w:val="Compact"/>
            </w:pPr>
            <w:r>
              <w:t>Partially autonomous</w:t>
            </w:r>
          </w:p>
        </w:tc>
        <w:tc>
          <w:tcPr>
            <w:tcW w:w="0" w:type="auto"/>
          </w:tcPr>
          <w:p w14:paraId="45A89054" w14:textId="77777777" w:rsidR="008A25C9" w:rsidRDefault="00000000">
            <w:pPr>
              <w:pStyle w:val="Compact"/>
            </w:pPr>
            <w:r>
              <w:t>Resilient to some shocks, vulnerable to others</w:t>
            </w:r>
          </w:p>
        </w:tc>
      </w:tr>
      <w:tr w:rsidR="008A25C9" w14:paraId="6AB4B95E" w14:textId="77777777">
        <w:tc>
          <w:tcPr>
            <w:tcW w:w="0" w:type="auto"/>
          </w:tcPr>
          <w:p w14:paraId="4DE351C1" w14:textId="77777777" w:rsidR="008A25C9" w:rsidRDefault="00000000">
            <w:pPr>
              <w:pStyle w:val="Compact"/>
            </w:pPr>
            <w:r>
              <w:t>25–44</w:t>
            </w:r>
          </w:p>
        </w:tc>
        <w:tc>
          <w:tcPr>
            <w:tcW w:w="0" w:type="auto"/>
          </w:tcPr>
          <w:p w14:paraId="24C446E3" w14:textId="77777777" w:rsidR="008A25C9" w:rsidRDefault="00000000">
            <w:pPr>
              <w:pStyle w:val="Compact"/>
            </w:pPr>
            <w:r>
              <w:t>Dependent with reserves</w:t>
            </w:r>
          </w:p>
        </w:tc>
        <w:tc>
          <w:tcPr>
            <w:tcW w:w="0" w:type="auto"/>
          </w:tcPr>
          <w:p w14:paraId="18E029EA" w14:textId="77777777" w:rsidR="008A25C9" w:rsidRDefault="00000000">
            <w:pPr>
              <w:pStyle w:val="Compact"/>
            </w:pPr>
            <w:r>
              <w:t>Critically dependent but has partial alternatives</w:t>
            </w:r>
          </w:p>
        </w:tc>
      </w:tr>
      <w:tr w:rsidR="008A25C9" w14:paraId="78B5EB28" w14:textId="77777777">
        <w:tc>
          <w:tcPr>
            <w:tcW w:w="0" w:type="auto"/>
          </w:tcPr>
          <w:p w14:paraId="3238304E" w14:textId="77777777" w:rsidR="008A25C9" w:rsidRDefault="00000000">
            <w:pPr>
              <w:pStyle w:val="Compact"/>
            </w:pPr>
            <w:r>
              <w:t>0–24</w:t>
            </w:r>
          </w:p>
        </w:tc>
        <w:tc>
          <w:tcPr>
            <w:tcW w:w="0" w:type="auto"/>
          </w:tcPr>
          <w:p w14:paraId="30A1DC0E" w14:textId="77777777" w:rsidR="008A25C9" w:rsidRDefault="00000000">
            <w:pPr>
              <w:pStyle w:val="Compact"/>
            </w:pPr>
            <w:r>
              <w:t>Fully dependent</w:t>
            </w:r>
          </w:p>
        </w:tc>
        <w:tc>
          <w:tcPr>
            <w:tcW w:w="0" w:type="auto"/>
          </w:tcPr>
          <w:p w14:paraId="4C83D602" w14:textId="77777777" w:rsidR="008A25C9" w:rsidRDefault="00000000">
            <w:pPr>
              <w:pStyle w:val="Compact"/>
            </w:pPr>
            <w:r>
              <w:t>No sovereignty; strategic vulnerability</w:t>
            </w:r>
          </w:p>
        </w:tc>
      </w:tr>
    </w:tbl>
    <w:p w14:paraId="760B54F7" w14:textId="77777777" w:rsidR="008A25C9" w:rsidRDefault="00000000">
      <w:pPr>
        <w:pStyle w:val="BodyText"/>
      </w:pPr>
      <w:r>
        <w:t>Calibration notes. Small states (&lt;10M population) cannot realistically exceed ~70 on AI-SAF-N because Manufacturing is structurally out of reach; enforceable participation in pooled EU compute (AI Factories / Gigafactories) partially rebuts this on the Infrastructure side. Every EU bank scores ≥35 on compliance depth alone; for mid-cap EU banks the 35–45 range rebases to 45–60. The AI-SAF-C scale discount is defined in the Corporate Field Guide, Part III.</w:t>
      </w:r>
    </w:p>
    <w:p w14:paraId="2BC7761A" w14:textId="77777777" w:rsidR="008A25C9" w:rsidRDefault="00000000">
      <w:pPr>
        <w:pStyle w:val="Heading2"/>
      </w:pPr>
      <w:bookmarkStart w:id="28" w:name="part-iii.-the-version-deadlock-framework"/>
      <w:bookmarkStart w:id="29" w:name="_Toc238848853"/>
      <w:r>
        <w:t>Part III. The Version Deadlock framework</w:t>
      </w:r>
      <w:bookmarkEnd w:id="28"/>
      <w:bookmarkEnd w:id="29"/>
    </w:p>
    <w:p w14:paraId="1E0A8C5A" w14:textId="77777777" w:rsidR="008A25C9" w:rsidRDefault="00000000">
      <w:pPr>
        <w:pStyle w:val="FirstParagraph"/>
      </w:pPr>
      <w:r>
        <w:t>Version Deadlock is the trap where you can no longer keep your technology up to date, because access to the next version of something essential has been cut off. Depending on a supplier here and now can be managed with contracts, stockpiles, and switching plans; losing the ability to keep up is slow, hard to spot, and often impossible to undo. It happens to countries and companies alike.</w:t>
      </w:r>
    </w:p>
    <w:p w14:paraId="15B7286C" w14:textId="77777777" w:rsidR="008A25C9" w:rsidRDefault="00000000">
      <w:pPr>
        <w:pStyle w:val="Heading3"/>
      </w:pPr>
      <w:bookmarkStart w:id="30" w:name="the-four-types"/>
      <w:r>
        <w:t>3.1 The four types</w:t>
      </w:r>
      <w:bookmarkEnd w:id="30"/>
    </w:p>
    <w:tbl>
      <w:tblPr>
        <w:tblStyle w:val="Table"/>
        <w:tblW w:w="5000" w:type="pct"/>
        <w:tblLook w:val="07E0" w:firstRow="1" w:lastRow="1" w:firstColumn="1" w:lastColumn="1" w:noHBand="1" w:noVBand="1"/>
      </w:tblPr>
      <w:tblGrid>
        <w:gridCol w:w="1210"/>
        <w:gridCol w:w="5361"/>
        <w:gridCol w:w="2789"/>
      </w:tblGrid>
      <w:tr w:rsidR="008A25C9" w14:paraId="7F081CBA" w14:textId="77777777">
        <w:tc>
          <w:tcPr>
            <w:tcW w:w="0" w:type="auto"/>
            <w:tcBorders>
              <w:bottom w:val="single" w:sz="0" w:space="0" w:color="auto"/>
            </w:tcBorders>
            <w:vAlign w:val="bottom"/>
          </w:tcPr>
          <w:p w14:paraId="2E9674E7" w14:textId="77777777" w:rsidR="008A25C9" w:rsidRDefault="00000000">
            <w:pPr>
              <w:pStyle w:val="Compact"/>
            </w:pPr>
            <w:r>
              <w:t>Type</w:t>
            </w:r>
          </w:p>
        </w:tc>
        <w:tc>
          <w:tcPr>
            <w:tcW w:w="0" w:type="auto"/>
            <w:tcBorders>
              <w:bottom w:val="single" w:sz="0" w:space="0" w:color="auto"/>
            </w:tcBorders>
            <w:vAlign w:val="bottom"/>
          </w:tcPr>
          <w:p w14:paraId="5D0F8833" w14:textId="77777777" w:rsidR="008A25C9" w:rsidRDefault="00000000">
            <w:pPr>
              <w:pStyle w:val="Compact"/>
            </w:pPr>
            <w:r>
              <w:t>Concrete scenario</w:t>
            </w:r>
          </w:p>
        </w:tc>
        <w:tc>
          <w:tcPr>
            <w:tcW w:w="0" w:type="auto"/>
            <w:tcBorders>
              <w:bottom w:val="single" w:sz="0" w:space="0" w:color="auto"/>
            </w:tcBorders>
            <w:vAlign w:val="bottom"/>
          </w:tcPr>
          <w:p w14:paraId="37E8F4E7" w14:textId="77777777" w:rsidR="008A25C9" w:rsidRDefault="00000000">
            <w:pPr>
              <w:pStyle w:val="Compact"/>
            </w:pPr>
            <w:r>
              <w:t>Early-warning indicators</w:t>
            </w:r>
          </w:p>
        </w:tc>
      </w:tr>
      <w:tr w:rsidR="008A25C9" w14:paraId="66D23FA3" w14:textId="77777777">
        <w:tc>
          <w:tcPr>
            <w:tcW w:w="0" w:type="auto"/>
          </w:tcPr>
          <w:p w14:paraId="75431177" w14:textId="77777777" w:rsidR="008A25C9" w:rsidRDefault="00000000">
            <w:pPr>
              <w:pStyle w:val="Compact"/>
            </w:pPr>
            <w:r>
              <w:t>Model</w:t>
            </w:r>
          </w:p>
        </w:tc>
        <w:tc>
          <w:tcPr>
            <w:tcW w:w="0" w:type="auto"/>
          </w:tcPr>
          <w:p w14:paraId="2901F2D9" w14:textId="77777777" w:rsidR="008A25C9" w:rsidRDefault="00000000">
            <w:pPr>
              <w:pStyle w:val="Compact"/>
            </w:pPr>
            <w:r>
              <w:t>Losing access to the next version of a core model, or to the model itself: the Fable 5 / Mythos 5 suspension (June 2026); EU hold-ups of Meta’s multimodal Llama (2024) and Apple Intelligence (2024–25); the DeepSeek bans (2025)</w:t>
            </w:r>
          </w:p>
        </w:tc>
        <w:tc>
          <w:tcPr>
            <w:tcW w:w="0" w:type="auto"/>
          </w:tcPr>
          <w:p w14:paraId="4ACE48F8" w14:textId="77777777" w:rsidR="008A25C9" w:rsidRDefault="00000000">
            <w:pPr>
              <w:pStyle w:val="Compact"/>
            </w:pPr>
            <w:r>
              <w:t>Retirement notices; versions blocked in certain countries; price rises faster than inflation</w:t>
            </w:r>
          </w:p>
        </w:tc>
      </w:tr>
      <w:tr w:rsidR="008A25C9" w14:paraId="4E3497F0" w14:textId="77777777">
        <w:tc>
          <w:tcPr>
            <w:tcW w:w="0" w:type="auto"/>
          </w:tcPr>
          <w:p w14:paraId="2AE03F7C" w14:textId="77777777" w:rsidR="008A25C9" w:rsidRDefault="00000000">
            <w:pPr>
              <w:pStyle w:val="Compact"/>
            </w:pPr>
            <w:r>
              <w:t>Hardware</w:t>
            </w:r>
          </w:p>
        </w:tc>
        <w:tc>
          <w:tcPr>
            <w:tcW w:w="0" w:type="auto"/>
          </w:tcPr>
          <w:p w14:paraId="77F047C4" w14:textId="77777777" w:rsidR="008A25C9" w:rsidRDefault="00000000">
            <w:pPr>
              <w:pStyle w:val="Compact"/>
            </w:pPr>
            <w:r>
              <w:t>Export limits on newer chips: the Biden Diffusion Rule (Jan 2025, scrapped May 2025); the H20 15% and H200 25% revenue-share deals (2025); case-by-case licence review (2026)</w:t>
            </w:r>
          </w:p>
        </w:tc>
        <w:tc>
          <w:tcPr>
            <w:tcW w:w="0" w:type="auto"/>
          </w:tcPr>
          <w:p w14:paraId="57FE3498" w14:textId="77777777" w:rsidR="008A25C9" w:rsidRDefault="00000000">
            <w:pPr>
              <w:pStyle w:val="Compact"/>
            </w:pPr>
            <w:r>
              <w:t>Export-rule changes; sanctions; supply chains redrawn; one-off deals</w:t>
            </w:r>
          </w:p>
        </w:tc>
      </w:tr>
      <w:tr w:rsidR="008A25C9" w14:paraId="3271F9EF" w14:textId="77777777">
        <w:tc>
          <w:tcPr>
            <w:tcW w:w="0" w:type="auto"/>
          </w:tcPr>
          <w:p w14:paraId="52B5C188" w14:textId="77777777" w:rsidR="008A25C9" w:rsidRDefault="00000000">
            <w:pPr>
              <w:pStyle w:val="Compact"/>
            </w:pPr>
            <w:r>
              <w:t>Software</w:t>
            </w:r>
          </w:p>
        </w:tc>
        <w:tc>
          <w:tcPr>
            <w:tcW w:w="0" w:type="auto"/>
          </w:tcPr>
          <w:p w14:paraId="21CE551A" w14:textId="77777777" w:rsidR="008A25C9" w:rsidRDefault="00000000">
            <w:pPr>
              <w:pStyle w:val="Compact"/>
            </w:pPr>
            <w:r>
              <w:t xml:space="preserve">CUDA licensing changes; key components moved behind closed doors; governance shifts. The CrowdStrike outage (July 2024) was an accidental </w:t>
            </w:r>
            <w:r>
              <w:lastRenderedPageBreak/>
              <w:t>test of over-reliance on one piece of software</w:t>
            </w:r>
          </w:p>
        </w:tc>
        <w:tc>
          <w:tcPr>
            <w:tcW w:w="0" w:type="auto"/>
          </w:tcPr>
          <w:p w14:paraId="03A37FFF" w14:textId="77777777" w:rsidR="008A25C9" w:rsidRDefault="00000000">
            <w:pPr>
              <w:pStyle w:val="Compact"/>
            </w:pPr>
            <w:r>
              <w:lastRenderedPageBreak/>
              <w:t>Licence changes; features gated to big customers; single-</w:t>
            </w:r>
            <w:r>
              <w:lastRenderedPageBreak/>
              <w:t>supplier reliance</w:t>
            </w:r>
          </w:p>
        </w:tc>
      </w:tr>
      <w:tr w:rsidR="008A25C9" w14:paraId="7C004FE8" w14:textId="77777777">
        <w:tc>
          <w:tcPr>
            <w:tcW w:w="0" w:type="auto"/>
          </w:tcPr>
          <w:p w14:paraId="598E0450" w14:textId="77777777" w:rsidR="008A25C9" w:rsidRDefault="00000000">
            <w:pPr>
              <w:pStyle w:val="Compact"/>
            </w:pPr>
            <w:r>
              <w:lastRenderedPageBreak/>
              <w:t>Data</w:t>
            </w:r>
          </w:p>
        </w:tc>
        <w:tc>
          <w:tcPr>
            <w:tcW w:w="0" w:type="auto"/>
          </w:tcPr>
          <w:p w14:paraId="38485DA2" w14:textId="77777777" w:rsidR="008A25C9" w:rsidRDefault="00000000">
            <w:pPr>
              <w:pStyle w:val="Compact"/>
            </w:pPr>
            <w:r>
              <w:t>A supplier cutting off training data or a licensed dataset; rulings such as NYT v. OpenAI (ongoing), Bartz v. Anthropic (fair use 2025; $1.5B settlement approved July 2026), Kadrey v. Meta (2025), Getty v. Stability (UK, 2025)</w:t>
            </w:r>
          </w:p>
        </w:tc>
        <w:tc>
          <w:tcPr>
            <w:tcW w:w="0" w:type="auto"/>
          </w:tcPr>
          <w:p w14:paraId="4B3CF142" w14:textId="77777777" w:rsidR="008A25C9" w:rsidRDefault="00000000">
            <w:pPr>
              <w:pStyle w:val="Compact"/>
            </w:pPr>
            <w:r>
              <w:t>Stricter renewal terms; terms-of-service changes; residency rules</w:t>
            </w:r>
          </w:p>
        </w:tc>
      </w:tr>
    </w:tbl>
    <w:p w14:paraId="33067CCE" w14:textId="77777777" w:rsidR="008A25C9" w:rsidRDefault="00000000">
      <w:pPr>
        <w:pStyle w:val="Heading3"/>
      </w:pPr>
      <w:bookmarkStart w:id="31" w:name="common-mitigation-strategies"/>
      <w:r>
        <w:t>3.2 Common mitigation strategies</w:t>
      </w:r>
      <w:bookmarkEnd w:id="31"/>
    </w:p>
    <w:p w14:paraId="1AEEB88A" w14:textId="77777777" w:rsidR="008A25C9" w:rsidRDefault="00000000">
      <w:pPr>
        <w:pStyle w:val="FirstParagraph"/>
      </w:pPr>
      <w:r>
        <w:rPr>
          <w:b/>
        </w:rPr>
        <w:t>Model:</w:t>
      </w:r>
      <w:r>
        <w:t xml:space="preserve"> keep the last working version on your own systems; adapt an open-weights model (Llama 4, Gemma 3, Qwen 3, DeepSeek) as a live fallback; contract for minimum support periods; spread across providers </w:t>
      </w:r>
      <w:r>
        <w:rPr>
          <w:i/>
        </w:rPr>
        <w:t>and jurisdictions</w:t>
      </w:r>
      <w:r>
        <w:t xml:space="preserve"> — two or three top providers plus your own open copy in-house. </w:t>
      </w:r>
      <w:r>
        <w:rPr>
          <w:b/>
        </w:rPr>
        <w:t>Hardware:</w:t>
      </w:r>
      <w:r>
        <w:t xml:space="preserve"> buy from several suppliers; keep reserves; qualify alternative accelerators before you need them; use confidential computing to run on others’ clouds with your data sealed. </w:t>
      </w:r>
      <w:r>
        <w:rPr>
          <w:b/>
        </w:rPr>
        <w:t>Software:</w:t>
      </w:r>
      <w:r>
        <w:t xml:space="preserve"> favour open-source tools under multi-party governance (PyTorch Foundation); contribute back; use source-code escrow; keep vLLM, SGLang, llama.cpp as inference fallbacks. </w:t>
      </w:r>
      <w:r>
        <w:rPr>
          <w:b/>
        </w:rPr>
        <w:t>Data:</w:t>
      </w:r>
      <w:r>
        <w:t xml:space="preserve"> build your own collection pipeline; gather text in your own language; use synthetic data only as a supplement (models trained mostly on it degrade — Shumailov et al., Nature 2024); bar suppliers from training on your data; align contracts with EU Data Act Chapter VII.</w:t>
      </w:r>
    </w:p>
    <w:p w14:paraId="532A4778" w14:textId="77777777" w:rsidR="008A25C9" w:rsidRDefault="00000000">
      <w:pPr>
        <w:pStyle w:val="Heading3"/>
      </w:pPr>
      <w:bookmarkStart w:id="32" w:name="version-deadlock-related-modifiers"/>
      <w:r>
        <w:t>3.3 Version-Deadlock-related modifiers</w:t>
      </w:r>
      <w:bookmarkEnd w:id="32"/>
    </w:p>
    <w:p w14:paraId="1804AF6C" w14:textId="77777777" w:rsidR="008A25C9" w:rsidRDefault="00000000">
      <w:pPr>
        <w:pStyle w:val="FirstParagraph"/>
      </w:pPr>
      <w:r>
        <w:rPr>
          <w:b/>
        </w:rPr>
        <w:t>Rule-stability.</w:t>
      </w:r>
      <w:r>
        <w:t xml:space="preserve"> The defining feature of 2025–2026 is one-off deals struck case by case, where the rules can change at any time in either direction: exports banned, then taxed at 15%, then licensed; a frontier model suspended by directive, then restored 19 days later. The modifier prices exposure to this volatility — not the strictness of any one rule — and lowers the Hardware and Models scores of anyone at the mercy of unpredictable decisions in a supplier jurisdiction (×0.85 high exposure – ×1.00 none). It applies as a modifier in AI-SAF-N; AI-SAF-C captures the same risk inside its Models pillar through jurisdiction diversification.</w:t>
      </w:r>
    </w:p>
    <w:p w14:paraId="06CA7A22" w14:textId="77777777" w:rsidR="008A25C9" w:rsidRDefault="00000000">
      <w:pPr>
        <w:pStyle w:val="BodyText"/>
      </w:pPr>
      <w:r>
        <w:rPr>
          <w:b/>
        </w:rPr>
        <w:t>Geopolitical-alliance.</w:t>
      </w:r>
      <w:r>
        <w:t xml:space="preserve"> AI-SAF-N only. The closest US allies get better chip access. That access is not a strength they built, so it multiplies the relevant scores (×0.70–1.15 on Hardware, Models, Infrastructure) rather than adding points. Note that the alliance multiplier and the rule-stability modifier pull against each other for close US allies — alignment buys access and simultaneously deepens exposure to the supplier’s rule volatility. Both must always be applied; the National Field Guide fixes the order.</w:t>
      </w:r>
    </w:p>
    <w:p w14:paraId="20BC3129" w14:textId="77777777" w:rsidR="008A25C9" w:rsidRDefault="00000000">
      <w:pPr>
        <w:pStyle w:val="Heading3"/>
      </w:pPr>
      <w:bookmarkStart w:id="33" w:name="historical-analogues"/>
      <w:r>
        <w:t>3.4 Historical analogues</w:t>
      </w:r>
      <w:bookmarkEnd w:id="33"/>
    </w:p>
    <w:p w14:paraId="6EB6BE52" w14:textId="77777777" w:rsidR="008A25C9" w:rsidRDefault="00000000">
      <w:pPr>
        <w:pStyle w:val="FirstParagraph"/>
      </w:pPr>
      <w:r>
        <w:t>Three cases from outside AI set up the categories, and one from AI itself now completes them.</w:t>
      </w:r>
    </w:p>
    <w:p w14:paraId="73B0341D" w14:textId="77777777" w:rsidR="008A25C9" w:rsidRDefault="00000000">
      <w:pPr>
        <w:pStyle w:val="BodyText"/>
      </w:pPr>
      <w:r>
        <w:rPr>
          <w:b/>
        </w:rPr>
        <w:t>Windows XP in business computing (escaped).</w:t>
      </w:r>
      <w:r>
        <w:t xml:space="preserve"> From roughly 2007 to 2014, companies kept running XP long after the security risks said to move, because their key business programs worked on XP but not Vista. The real upgrade cost was rewriting those programs. </w:t>
      </w:r>
      <w:r>
        <w:lastRenderedPageBreak/>
        <w:t>The deadlock was broken from the supplier’s side: Microsoft released Windows 7 with an XP compatibility mode. The lesson: some Version Deadlocks are ended by the supplier — and waiting for that is a gamble that their interests stay aligned with yours.</w:t>
      </w:r>
    </w:p>
    <w:p w14:paraId="49CC4521" w14:textId="77777777" w:rsidR="008A25C9" w:rsidRDefault="00000000">
      <w:pPr>
        <w:pStyle w:val="BodyText"/>
      </w:pPr>
      <w:r>
        <w:rPr>
          <w:b/>
        </w:rPr>
        <w:t>Russian-designed nuclear reactor fuel (slow-clock).</w:t>
      </w:r>
      <w:r>
        <w:t xml:space="preserve"> VVER reactors across Eastern Europe use fuel rods shaped for that design. Since 2022, operators have been moving away from Rosatom; alternatives exist (Westinghouse), but qualification for a given reactor takes years. The lesson: an alternative that exists on paper but needs five to ten years to qualify is not an alternative within the time-frame that matters.</w:t>
      </w:r>
    </w:p>
    <w:p w14:paraId="3C84E1EC" w14:textId="77777777" w:rsidR="008A25C9" w:rsidRDefault="00000000">
      <w:pPr>
        <w:pStyle w:val="BodyText"/>
      </w:pPr>
      <w:r>
        <w:rPr>
          <w:b/>
        </w:rPr>
        <w:t>Soviet industrial licensing (fatal).</w:t>
      </w:r>
      <w:r>
        <w:t xml:space="preserve"> From the 1960s the USSR acquired Western industrial and computing technology by licence (Tolyatti, the ES EVM computers copying IBM designs). By the late 1970s, COCOM restrictions tightened access to the next generation — and decades of leaning on licensed designs had hollowed out the home-grown ability to design from scratch. The outside limit and the inside decay arrived together. The most important lesson of the three: fatal deadlocks are rarely caused by the moment access is cut; they are caused by the long, comfortable stretch beforehand, when the ability to build your own was allowed to waste away.</w:t>
      </w:r>
    </w:p>
    <w:p w14:paraId="50DBF9E5" w14:textId="77777777" w:rsidR="008A25C9" w:rsidRDefault="00000000">
      <w:pPr>
        <w:pStyle w:val="BodyText"/>
      </w:pPr>
      <w:r>
        <w:rPr>
          <w:b/>
        </w:rPr>
        <w:t>Fable 5 / Mythos 5 — the first live AI case (June–July 2026).</w:t>
      </w:r>
      <w:r>
        <w:t xml:space="preserve"> On 12 June 2026 a US export-control directive forced Anthropic to suspend all access to its frontier Fable 5 and Mythos 5 models for every foreign national, overnight, three days after Fable 5’s public release. On 30 June the directive was lifted; Fable 5 returned globally on 1 July, while Mythos 5 was reintroduced only to approved US organisations. The episode compresses the analogues’ lessons into 19 days. For subjects that had kept a fine-tuned open model in reserve, it was a Recoverable event; for those that had not, it was three weeks of dead stop and would have been Slow-clock had the directive held. And like Windows XP, the ending came from the supplier’s side — the US government reversed itself; no cut-off subject restored its own access. It is the clearest warning the framework has had that a frontier model can be switched off by the jurisdiction that hosts it, that the switch can be thrown and un-thrown inside a month, and that the comfortable years of pure API dependence are exactly when the in-house ability to switch must be paid for.</w:t>
      </w:r>
    </w:p>
    <w:p w14:paraId="220E93E5" w14:textId="77777777" w:rsidR="008A25C9" w:rsidRDefault="00000000">
      <w:pPr>
        <w:pStyle w:val="Heading3"/>
      </w:pPr>
      <w:bookmarkStart w:id="34" w:name="taxonomy-of-version-deadlock-states"/>
      <w:r>
        <w:t>3.5 Taxonomy of Version Deadlock states</w:t>
      </w:r>
      <w:bookmarkEnd w:id="34"/>
    </w:p>
    <w:p w14:paraId="244C7988" w14:textId="77777777" w:rsidR="008A25C9" w:rsidRDefault="00000000">
      <w:pPr>
        <w:pStyle w:val="FirstParagraph"/>
      </w:pPr>
      <w:r>
        <w:t>Two questions build the grid. Does another supplier of the version you need exist? Have you kept your own ability to switch, or has it wasted away?</w:t>
      </w:r>
    </w:p>
    <w:p w14:paraId="24DF18DF" w14:textId="77777777" w:rsidR="008A25C9" w:rsidRDefault="00000000">
      <w:pPr>
        <w:pStyle w:val="Compact"/>
        <w:numPr>
          <w:ilvl w:val="0"/>
          <w:numId w:val="5"/>
        </w:numPr>
      </w:pPr>
      <w:r>
        <w:rPr>
          <w:b/>
        </w:rPr>
        <w:t>Recoverable</w:t>
      </w:r>
      <w:r>
        <w:t xml:space="preserve"> — an alternative exists and you have kept your ability to switch. Migration is doable at reasonable cost and time. Windows XP → 7 sits here.</w:t>
      </w:r>
    </w:p>
    <w:p w14:paraId="1DC9DAE9" w14:textId="77777777" w:rsidR="008A25C9" w:rsidRDefault="00000000">
      <w:pPr>
        <w:pStyle w:val="Compact"/>
        <w:numPr>
          <w:ilvl w:val="0"/>
          <w:numId w:val="5"/>
        </w:numPr>
      </w:pPr>
      <w:r>
        <w:rPr>
          <w:b/>
        </w:rPr>
        <w:t>Slow-clock</w:t>
      </w:r>
      <w:r>
        <w:t xml:space="preserve"> — an alternative exists, but your ability to switch has wasted away; rebuilding the skills to qualify and integrate it takes years. Russian reactor fuel sits here.</w:t>
      </w:r>
    </w:p>
    <w:p w14:paraId="63DFE373" w14:textId="77777777" w:rsidR="008A25C9" w:rsidRDefault="00000000">
      <w:pPr>
        <w:pStyle w:val="Compact"/>
        <w:numPr>
          <w:ilvl w:val="0"/>
          <w:numId w:val="5"/>
        </w:numPr>
      </w:pPr>
      <w:r>
        <w:rPr>
          <w:b/>
        </w:rPr>
        <w:t>Vulnerable but recoverable</w:t>
      </w:r>
      <w:r>
        <w:t xml:space="preserve"> — no alternative exists, but you have kept the ability to build one, at real cost. Whether you do comes down to political will.</w:t>
      </w:r>
    </w:p>
    <w:p w14:paraId="1F25A592" w14:textId="77777777" w:rsidR="008A25C9" w:rsidRDefault="00000000">
      <w:pPr>
        <w:pStyle w:val="Compact"/>
        <w:numPr>
          <w:ilvl w:val="0"/>
          <w:numId w:val="5"/>
        </w:numPr>
      </w:pPr>
      <w:r>
        <w:rPr>
          <w:b/>
        </w:rPr>
        <w:lastRenderedPageBreak/>
        <w:t>Terminal</w:t>
      </w:r>
      <w:r>
        <w:t xml:space="preserve"> — no alternative, and no ability left to build one; the gap widens faster than you can close it. Soviet computing by the mid-1980s. The only useful policy is never to land here.</w:t>
      </w:r>
    </w:p>
    <w:p w14:paraId="024D9002" w14:textId="77777777" w:rsidR="008A25C9" w:rsidRDefault="00000000">
      <w:pPr>
        <w:pStyle w:val="FirstParagraph"/>
      </w:pPr>
      <w:r>
        <w:rPr>
          <w:b/>
        </w:rPr>
        <w:t>Restoration is not recovery.</w:t>
      </w:r>
      <w:r>
        <w:t xml:space="preserve"> Two of the cases above — Windows XP and Fable/Mythos — ended because the </w:t>
      </w:r>
      <w:r>
        <w:rPr>
          <w:i/>
        </w:rPr>
        <w:t>supplier side</w:t>
      </w:r>
      <w:r>
        <w:t xml:space="preserve"> reversed course. The taxonomy classifies what the subject can do; a deadlock ended by supplier grace leaves the subject’s own position exactly where it was. Scoring a subject “Recoverable” because a directive was lifted is an assessment error: the correct reading is the state the subject would have been in had the restriction held. Assessors should record supplier-side restorations as evidence about the </w:t>
      </w:r>
      <w:r>
        <w:rPr>
          <w:i/>
        </w:rPr>
        <w:t>supplier’s</w:t>
      </w:r>
      <w:r>
        <w:t xml:space="preserve"> rule-stability, not about the subject’s resilience.</w:t>
      </w:r>
    </w:p>
    <w:p w14:paraId="749A5884" w14:textId="77777777" w:rsidR="008A25C9" w:rsidRDefault="00000000">
      <w:pPr>
        <w:pStyle w:val="Heading3"/>
      </w:pPr>
      <w:bookmarkStart w:id="35" w:name="detection-leading-vs-lagging-indicators"/>
      <w:r>
        <w:t>3.6 Detection: leading vs lagging indicators</w:t>
      </w:r>
      <w:bookmarkEnd w:id="35"/>
    </w:p>
    <w:p w14:paraId="6042BE35" w14:textId="77777777" w:rsidR="008A25C9" w:rsidRDefault="00000000">
      <w:pPr>
        <w:pStyle w:val="FirstParagraph"/>
      </w:pPr>
      <w:r>
        <w:t>The visible signs — a licence refused, retirement notices, prices that shut you out — show up late; by then the deadlock has set in. The early signs are harder: how many generations behind the edge you are and whether the gap is widening; whether your own ability to switch is growing or wasting; supplier signals about its plans. Your own switching ability is the hardest to measure and the most important; rough proxies include researchers active in the relevant area, alternative suppliers qualified in the last cycle, and how long qualification takes when you try. Reaction speed must be tuned to the field: the AI edge moves in months, business software in years, nuclear fuel in decades.</w:t>
      </w:r>
    </w:p>
    <w:p w14:paraId="7B87EA91" w14:textId="77777777" w:rsidR="008A25C9" w:rsidRDefault="00000000">
      <w:pPr>
        <w:pStyle w:val="Heading3"/>
      </w:pPr>
      <w:bookmarkStart w:id="36" w:name="policy-implications"/>
      <w:r>
        <w:t>3.7 Policy implications</w:t>
      </w:r>
      <w:bookmarkEnd w:id="36"/>
    </w:p>
    <w:p w14:paraId="283EAB6C" w14:textId="77777777" w:rsidR="008A25C9" w:rsidRDefault="00000000">
      <w:pPr>
        <w:pStyle w:val="FirstParagraph"/>
      </w:pPr>
      <w:r>
        <w:t>The point is not whether you depend on others — almost everyone does, for almost everything — but whether you can keep improving while you depend on them. Cutting ties completely is rarely possible. Spreading across suppliers buys time but does not solve the problem. Keeping your own ability to switch is the overlooked lever: the single most important choice during the easy years is to pay, at real expense, to maintain the home-grown ability you would need if access ended. That upkeep wins no political credit, because it produces nothing visible exactly when it matters most — and, going by the Soviet case, it is the difference between a deadlock you can escape and one you cannot. The EU’s AI Factories and Gigafactories programmes, national open-model efforts (Bulgaria’s BgGPT and peers), and certified sovereign cloud are all best understood as insurance against a future Version Deadlock. The full account is in the companion paper “Version Deadlock: Technological Evolution Under Constrained Dependency” (April 2026).</w:t>
      </w:r>
    </w:p>
    <w:p w14:paraId="0743138C" w14:textId="77777777" w:rsidR="008A25C9" w:rsidRDefault="00000000">
      <w:pPr>
        <w:pStyle w:val="Heading2"/>
      </w:pPr>
      <w:bookmarkStart w:id="37" w:name="part-iv.-gap-analysis-methodology"/>
      <w:bookmarkStart w:id="38" w:name="_Toc238848854"/>
      <w:r>
        <w:t>Part IV. Gap-analysis methodology</w:t>
      </w:r>
      <w:bookmarkEnd w:id="37"/>
      <w:bookmarkEnd w:id="38"/>
    </w:p>
    <w:p w14:paraId="33519603" w14:textId="77777777" w:rsidR="008A25C9" w:rsidRDefault="00000000">
      <w:pPr>
        <w:pStyle w:val="FirstParagraph"/>
      </w:pPr>
      <w:r>
        <w:t>The framework’s most useful job is not the score but pointing to where the next investment does the most good: “Given where you stand, what you can spend, and how long you have, which pillar gives the biggest gain per unit of money or effort?”</w:t>
      </w:r>
    </w:p>
    <w:p w14:paraId="5BF4B4C0" w14:textId="77777777" w:rsidR="008A25C9" w:rsidRDefault="00000000">
      <w:pPr>
        <w:pStyle w:val="Heading3"/>
      </w:pPr>
      <w:bookmarkStart w:id="39" w:name="a-four-step-process"/>
      <w:r>
        <w:t>4.1 A four-step process</w:t>
      </w:r>
      <w:bookmarkEnd w:id="39"/>
    </w:p>
    <w:p w14:paraId="55C7046A" w14:textId="77777777" w:rsidR="008A25C9" w:rsidRDefault="00000000">
      <w:pPr>
        <w:pStyle w:val="Compact"/>
        <w:numPr>
          <w:ilvl w:val="0"/>
          <w:numId w:val="6"/>
        </w:numPr>
      </w:pPr>
      <w:r>
        <w:rPr>
          <w:b/>
        </w:rPr>
        <w:t>Score today</w:t>
      </w:r>
      <w:r>
        <w:t xml:space="preserve"> — fill in the scale with hard evidence, splitting capability from commitment; note the direction of travel.</w:t>
      </w:r>
    </w:p>
    <w:p w14:paraId="4F01281B" w14:textId="77777777" w:rsidR="008A25C9" w:rsidRDefault="00000000">
      <w:pPr>
        <w:pStyle w:val="Compact"/>
        <w:numPr>
          <w:ilvl w:val="0"/>
          <w:numId w:val="6"/>
        </w:numPr>
      </w:pPr>
      <w:r>
        <w:rPr>
          <w:b/>
        </w:rPr>
        <w:lastRenderedPageBreak/>
        <w:t>Project three years out at current effort</w:t>
      </w:r>
      <w:r>
        <w:t xml:space="preserve"> — the bar rises, so standing still usually means falling behind.</w:t>
      </w:r>
    </w:p>
    <w:p w14:paraId="7A6C663A" w14:textId="77777777" w:rsidR="008A25C9" w:rsidRDefault="00000000">
      <w:pPr>
        <w:pStyle w:val="Compact"/>
        <w:numPr>
          <w:ilvl w:val="0"/>
          <w:numId w:val="6"/>
        </w:numPr>
      </w:pPr>
      <w:r>
        <w:rPr>
          <w:b/>
        </w:rPr>
        <w:t>Work out payoff per pillar</w:t>
      </w:r>
      <w:r>
        <w:t xml:space="preserve"> — points gained per standard chunk of investment (€1M, 10 FTE, or 12 months); pick the pillars that pay most and fastest.</w:t>
      </w:r>
    </w:p>
    <w:p w14:paraId="2B9AB7C8" w14:textId="77777777" w:rsidR="008A25C9" w:rsidRDefault="00000000">
      <w:pPr>
        <w:pStyle w:val="Compact"/>
        <w:numPr>
          <w:ilvl w:val="0"/>
          <w:numId w:val="6"/>
        </w:numPr>
      </w:pPr>
      <w:r>
        <w:rPr>
          <w:b/>
        </w:rPr>
        <w:t>Choose the mix</w:t>
      </w:r>
      <w:r>
        <w:t xml:space="preserve"> — the set of moves giving the best three-year position for the budget, counting knock-on effects (people multiply every other pillar’s payoff).</w:t>
      </w:r>
    </w:p>
    <w:p w14:paraId="69893F1B" w14:textId="77777777" w:rsidR="008A25C9" w:rsidRDefault="00000000">
      <w:pPr>
        <w:pStyle w:val="Heading3"/>
      </w:pPr>
      <w:bookmarkStart w:id="40" w:name="typical-priorities"/>
      <w:r>
        <w:t>4.2 Typical priorities</w:t>
      </w:r>
      <w:bookmarkEnd w:id="40"/>
    </w:p>
    <w:p w14:paraId="5146EBA3" w14:textId="77777777" w:rsidR="008A25C9" w:rsidRDefault="00000000">
      <w:pPr>
        <w:pStyle w:val="FirstParagraph"/>
      </w:pPr>
      <w:r>
        <w:rPr>
          <w:b/>
        </w:rPr>
        <w:t>Companies:</w:t>
      </w:r>
      <w:r>
        <w:t xml:space="preserve"> first people (the multiplier), then L2 on Models (adapting an open model — realistic, big payoff), then software stack and data. Manufacturing and Hardware take country-sized investment to move. </w:t>
      </w:r>
      <w:r>
        <w:rPr>
          <w:b/>
        </w:rPr>
        <w:t>Countries:</w:t>
      </w:r>
      <w:r>
        <w:t xml:space="preserve"> infrastructure and people pay most but need 5–10 years of steady commitment; Models and Regulatory can move faster but hit lower ceilings.</w:t>
      </w:r>
    </w:p>
    <w:p w14:paraId="28CABD95" w14:textId="77777777" w:rsidR="008A25C9" w:rsidRDefault="00000000">
      <w:pPr>
        <w:pStyle w:val="Heading3"/>
      </w:pPr>
      <w:bookmarkStart w:id="41" w:name="Xda264fd5bd4b799a6db8286980ddeb1202bc96a"/>
      <w:r>
        <w:t>4.3 Methodological rigour — design and current status</w:t>
      </w:r>
      <w:bookmarkEnd w:id="41"/>
    </w:p>
    <w:p w14:paraId="04D7D027" w14:textId="77777777" w:rsidR="008A25C9" w:rsidRDefault="00000000">
      <w:pPr>
        <w:pStyle w:val="FirstParagraph"/>
      </w:pPr>
      <w:r>
        <w:t>The framework is designed to the standard for composite indicators set out in the OECD/JRC Handbook on Constructing Composite Indicators: min-max normalisation to a common scale; imputation only where no more than 15% of data is missing; principal-component cross-checks on the aggregate; and Monte Carlo sensitivity runs that nudge every weight to test whether profile readings — and the ordering of any two subjects more than a few points apart — survive.</w:t>
      </w:r>
    </w:p>
    <w:p w14:paraId="66592588" w14:textId="77777777" w:rsidR="008A25C9" w:rsidRDefault="00000000">
      <w:pPr>
        <w:pStyle w:val="BodyText"/>
      </w:pPr>
      <w:r>
        <w:rPr>
          <w:b/>
        </w:rPr>
        <w:t>Status, stated plainly:</w:t>
      </w:r>
      <w:r>
        <w:t xml:space="preserve"> as of v0.7.1 these checks are a design commitment, not a completed exercise. The sensitivity runs and PCA cross-checks have not yet been executed and published; they are a precondition for a 1.0 release, alongside the reproducibility test below. Until then, the worked examples should be read as calibrated illustrations, not validated measurements.</w:t>
      </w:r>
    </w:p>
    <w:p w14:paraId="0501C98C" w14:textId="77777777" w:rsidR="008A25C9" w:rsidRDefault="00000000">
      <w:pPr>
        <w:pStyle w:val="BodyText"/>
      </w:pPr>
      <w:r>
        <w:rPr>
          <w:b/>
        </w:rPr>
        <w:t>Reproducibility between assessors.</w:t>
      </w:r>
      <w:r>
        <w:t xml:space="preserve"> Where a sub-indicator calls for qualitative judgement, two assessors working independently from the same evidence should land within one scoring band; a wider gap is treated as a defect in the rubric, not the assessors. Score sheets record the evidence relied on so a third party can re-derive the number.</w:t>
      </w:r>
    </w:p>
    <w:p w14:paraId="309DABFE" w14:textId="77777777" w:rsidR="008A25C9" w:rsidRDefault="00000000">
      <w:pPr>
        <w:pStyle w:val="BodyText"/>
      </w:pPr>
      <w:r>
        <w:rPr>
          <w:b/>
        </w:rPr>
        <w:t>Data sources</w:t>
      </w:r>
      <w:r>
        <w:t xml:space="preserve"> (catalogued in Evidence Base, Parts G and H): CSET/ETO Supply Chain Explorer (Hardware, Manufacturing); the Epoch AI notable-models database via Stanford HAI (Models); the SecNumCloud 3.2 registry, GAIA-X Level 3 labels, and the EU cloud sovereignty instruments (Infrastructure); CulturaX, HPLT v2, FineWeb-2, INCLUDE, and Global-MMLU (Data); CSRankings, top-venue author counts, MacroPolo Global AI Talent Tracker 2.0, and the Stanford AI Index (Human capital).</w:t>
      </w:r>
    </w:p>
    <w:p w14:paraId="2BDC0897" w14:textId="77777777" w:rsidR="008A25C9" w:rsidRDefault="00000000">
      <w:pPr>
        <w:pStyle w:val="Heading2"/>
      </w:pPr>
      <w:bookmarkStart w:id="42" w:name="part-v.-areas-of-genuine-uncertainty"/>
      <w:bookmarkStart w:id="43" w:name="_Toc238848855"/>
      <w:r>
        <w:t>Part V. Areas of genuine uncertainty</w:t>
      </w:r>
      <w:bookmarkEnd w:id="42"/>
      <w:bookmarkEnd w:id="43"/>
    </w:p>
    <w:p w14:paraId="3342501D" w14:textId="77777777" w:rsidR="008A25C9" w:rsidRDefault="00000000">
      <w:pPr>
        <w:pStyle w:val="FirstParagraph"/>
      </w:pPr>
      <w:r>
        <w:t>Every framework has a point past which its own advice turns into guesswork. Being upfront about where that point lies is part of doing the job honestly.</w:t>
      </w:r>
    </w:p>
    <w:p w14:paraId="12083869" w14:textId="77777777" w:rsidR="008A25C9" w:rsidRDefault="00000000">
      <w:pPr>
        <w:pStyle w:val="BodyText"/>
      </w:pPr>
      <w:r>
        <w:rPr>
          <w:b/>
        </w:rPr>
        <w:lastRenderedPageBreak/>
        <w:t>How the AI Act’s split timeline plays out.</w:t>
      </w:r>
      <w:r>
        <w:t xml:space="preserve"> Partially resolved since the last revision: GPAI obligations and Article 50 transparency duties became enforceable on schedule on 2 August 2026, while the Digital Omnibus on AI (in force 27 July 2026) deferred high-risk obligations to December 2027 (Annex III) and August 2028 (Annex I). The open question is now enforcement practice, not the calendar — and how the deferral feeds the three-year commitment projections in AI-SAF-C Regulatory.</w:t>
      </w:r>
    </w:p>
    <w:p w14:paraId="6068DFBF" w14:textId="77777777" w:rsidR="008A25C9" w:rsidRDefault="00000000">
      <w:pPr>
        <w:pStyle w:val="BodyText"/>
      </w:pPr>
      <w:r>
        <w:rPr>
          <w:b/>
        </w:rPr>
        <w:t>Where the Cloud and AI Development Act lands.</w:t>
      </w:r>
      <w:r>
        <w:t xml:space="preserve"> The Commission’s CADA proposal (3 June 2026) introduces a four-level Cloud Sovereignty Framework for public procurement, effectively superseding the stalled EUCS debate. If it survives trilogue near its proposed form, it becomes the EU-wide anchor for the Infrastructure pillar, displacing SecNumCloud as the reference ladder; if it is diluted, SecNumCloud 3.2 stays the top bar. Assessors should track the trilogue.</w:t>
      </w:r>
    </w:p>
    <w:p w14:paraId="325C86CB" w14:textId="77777777" w:rsidR="008A25C9" w:rsidRDefault="00000000">
      <w:pPr>
        <w:pStyle w:val="BodyText"/>
      </w:pPr>
      <w:r>
        <w:rPr>
          <w:b/>
        </w:rPr>
        <w:t>Whether the big cloud companies’ own chips loosen NVIDIA’s grip.</w:t>
      </w:r>
      <w:r>
        <w:t xml:space="preserve"> If TrendForce’s forecast (NVIDIA’s inference share falling to 20–30% by 2028) is right, CUDA lock-in should matter less in the Software pillar. No decisive evidence either way yet.</w:t>
      </w:r>
    </w:p>
    <w:p w14:paraId="22ABDC82" w14:textId="77777777" w:rsidR="008A25C9" w:rsidRDefault="00000000">
      <w:pPr>
        <w:pStyle w:val="BodyText"/>
      </w:pPr>
      <w:r>
        <w:rPr>
          <w:b/>
        </w:rPr>
        <w:t>Whether export controls on model access become an instrument.</w:t>
      </w:r>
      <w:r>
        <w:t xml:space="preserve"> The Fable 5 / Mythos 5 episode ended after 19 days, but the precedent stands: the US demonstrated it can and will switch off a frontier model for all foreign nationals by directive. Whether this becomes a repeated tool or stays a one-off, and how far its extraterritorial reach holds up, bears directly on the rule-stability modifier and the Models weight. The DeepSeek V4 question, by contrast, is resolved: V4 shipped with day-0 adaptation to Huawei Ascend (April 2026), confirming that a top Chinese model no longer needs CUDA — advantage China over Europe on the Software pillar.</w:t>
      </w:r>
    </w:p>
    <w:p w14:paraId="36373AFF" w14:textId="77777777" w:rsidR="008A25C9" w:rsidRDefault="00000000">
      <w:pPr>
        <w:pStyle w:val="BodyText"/>
      </w:pPr>
      <w:r>
        <w:rPr>
          <w:b/>
        </w:rPr>
        <w:t>Life after Magdeburg.</w:t>
      </w:r>
      <w:r>
        <w:t xml:space="preserve"> Intel’s July 2025 cancellation cost the EU Chips Act credibility; Chips Act 2.0 (proposed 3 June 2026) is the policy response, and ESMC Dresden is proceeding. Whether proposal turns into capacity affects Germany’s Manufacturing score — a capability-vs-commitment test case.</w:t>
      </w:r>
    </w:p>
    <w:p w14:paraId="7FDF2552" w14:textId="77777777" w:rsidR="008A25C9" w:rsidRDefault="00000000">
      <w:pPr>
        <w:pStyle w:val="BodyText"/>
      </w:pPr>
      <w:r>
        <w:rPr>
          <w:b/>
        </w:rPr>
        <w:t>How much announced money is actually spent.</w:t>
      </w:r>
      <w:r>
        <w:t xml:space="preserve"> The headline numbers (Stargate $500B, France €109B, the €30B Gigafactories initiative) mix private pledges, partner-country money, and multi-year spending. The framework treats them as rough sizes and separately tracks disbursement.</w:t>
      </w:r>
    </w:p>
    <w:p w14:paraId="2EA7AF14" w14:textId="77777777" w:rsidR="008A25C9" w:rsidRDefault="00000000">
      <w:pPr>
        <w:pStyle w:val="BodyText"/>
      </w:pPr>
      <w:r>
        <w:rPr>
          <w:b/>
        </w:rPr>
        <w:t>The framework’s own additive form.</w:t>
      </w:r>
      <w:r>
        <w:t xml:space="preserve"> Pillar scores sum linearly, so a strong Regulatory score can arithmetically offset a near-zero Models score. The framework’s own thesis is non-compensatory — sovereignty fails at the choke point. The additive headline therefore overstates sovereignty for unbalanced profiles; the dependency-type labels and the R/A profile are the non-compensatory reading, and assessors should flag any profile where a structural-constraint pillar scores under a quarter of its weight, whatever the headline says. A future revision may adopt partially non-compensatory aggregation; the trade-off is transparency.</w:t>
      </w:r>
    </w:p>
    <w:p w14:paraId="71F46881" w14:textId="77777777" w:rsidR="008A25C9" w:rsidRDefault="00000000">
      <w:pPr>
        <w:pStyle w:val="Heading2"/>
      </w:pPr>
      <w:bookmarkStart w:id="44" w:name="conclusion"/>
      <w:bookmarkStart w:id="45" w:name="_Toc238848856"/>
      <w:r>
        <w:lastRenderedPageBreak/>
        <w:t>Conclusion</w:t>
      </w:r>
      <w:bookmarkEnd w:id="44"/>
      <w:bookmarkEnd w:id="45"/>
    </w:p>
    <w:p w14:paraId="485A1FB0" w14:textId="77777777" w:rsidR="008A25C9" w:rsidRDefault="00000000">
      <w:pPr>
        <w:pStyle w:val="FirstParagraph"/>
      </w:pPr>
      <w:r>
        <w:t>AI sovereignty is not about owning the whole technology chain. It is about being able to keep running — and keep improving — if the chain is broken. Every major event of 2024–2026 tested exactly that: the CLOUD Act admission, the H20 and H200 revenue deals, the DeepSeek wave, the Meta and Apple delays, Magdeburg, China’s mineral controls, the sovereign-cloud responses — and, above all, the June 2026 suspension of Fable 5 and Mythos 5, the first time a government switched off access to a frontier model itself. That it was switched back on 19 days later, by the same government, only sharpens the lesson: access is not ownership, and restoration is not recovery.</w:t>
      </w:r>
    </w:p>
    <w:p w14:paraId="447E8252" w14:textId="77777777" w:rsidR="008A25C9" w:rsidRDefault="00000000">
      <w:pPr>
        <w:pStyle w:val="BodyText"/>
      </w:pPr>
      <w:r>
        <w:t>The framework’s biggest departure from existing public tools is admitting that the same pillar name means opposite things for a company and a country, and keeping two variants instead of forcing one score. The second is splitting capability from commitment inside every pillar. The third, new in this revision, is carrying the resilience/autonomy distinction into the arithmetic. A business uses AI-SAF-C (Document 2); a government body uses AI-SAF-N (Document 3). This document stays the reference for the method, the terms, and the thinking behind both.</w:t>
      </w:r>
    </w:p>
    <w:p w14:paraId="445A6665" w14:textId="77777777" w:rsidR="008A25C9" w:rsidRDefault="00000000">
      <w:pPr>
        <w:pStyle w:val="Heading2"/>
      </w:pPr>
      <w:bookmarkStart w:id="46" w:name="appendix-master-glossary"/>
      <w:bookmarkStart w:id="47" w:name="_Toc238848857"/>
      <w:r>
        <w:t>Appendix: Master glossary</w:t>
      </w:r>
      <w:bookmarkEnd w:id="46"/>
      <w:bookmarkEnd w:id="47"/>
    </w:p>
    <w:p w14:paraId="5B170C07" w14:textId="77777777" w:rsidR="008A25C9" w:rsidRDefault="00000000">
      <w:pPr>
        <w:pStyle w:val="FirstParagraph"/>
      </w:pPr>
      <w:r>
        <w:rPr>
          <w:b/>
        </w:rPr>
        <w:t>AI-SAF / AI-SAF-C / AI-SAF-N:</w:t>
      </w:r>
      <w:r>
        <w:t xml:space="preserve"> The AI Strategic Autonomy Framework and its business and national variants; eight shared pillars at different weights; AI-SAF-C adds a ninth (Culture).</w:t>
      </w:r>
    </w:p>
    <w:p w14:paraId="1E35527E" w14:textId="77777777" w:rsidR="008A25C9" w:rsidRDefault="00000000">
      <w:pPr>
        <w:pStyle w:val="BodyText"/>
      </w:pPr>
      <w:r>
        <w:rPr>
          <w:b/>
        </w:rPr>
        <w:t>Base model:</w:t>
      </w:r>
      <w:r>
        <w:t xml:space="preserve"> A large language model trained from scratch on trillions of tokens (GPT, Claude, Gemini, Gemma, Llama, DeepSeek, Qwen).</w:t>
      </w:r>
    </w:p>
    <w:p w14:paraId="7EAA7F77" w14:textId="77777777" w:rsidR="008A25C9" w:rsidRDefault="00000000">
      <w:pPr>
        <w:pStyle w:val="BodyText"/>
      </w:pPr>
      <w:r>
        <w:rPr>
          <w:b/>
        </w:rPr>
        <w:t>Branch-and-Merge:</w:t>
      </w:r>
      <w:r>
        <w:t xml:space="preserve"> INSAIT’s training method (EMNLP 2024) for adapting a model to a new language without catastrophic forgetting.</w:t>
      </w:r>
    </w:p>
    <w:p w14:paraId="6DE8F44F" w14:textId="77777777" w:rsidR="008A25C9" w:rsidRDefault="00000000">
      <w:pPr>
        <w:pStyle w:val="BodyText"/>
      </w:pPr>
      <w:r>
        <w:rPr>
          <w:b/>
        </w:rPr>
        <w:t>CADA / Cloud Sovereignty Framework:</w:t>
      </w:r>
      <w:r>
        <w:t xml:space="preserve"> The EU Cloud and AI Development Act (proposed 3 June 2026); its Cloud Sovereignty Framework grades cloud services on four assurance levels, from EU data location (L1) to full supply-chain control free of third-country interference (L4).</w:t>
      </w:r>
    </w:p>
    <w:p w14:paraId="1CF1731D" w14:textId="77777777" w:rsidR="008A25C9" w:rsidRDefault="00000000">
      <w:pPr>
        <w:pStyle w:val="BodyText"/>
      </w:pPr>
      <w:r>
        <w:rPr>
          <w:b/>
        </w:rPr>
        <w:t>Capability × commitment:</w:t>
      </w:r>
      <w:r>
        <w:t xml:space="preserve"> Splitting every sub-score into what is actually in place today versus what has been promised.</w:t>
      </w:r>
    </w:p>
    <w:p w14:paraId="75D9CF1D" w14:textId="77777777" w:rsidR="008A25C9" w:rsidRDefault="00000000">
      <w:pPr>
        <w:pStyle w:val="BodyText"/>
      </w:pPr>
      <w:r>
        <w:rPr>
          <w:b/>
        </w:rPr>
        <w:t>Chokepoint exposure:</w:t>
      </w:r>
      <w:r>
        <w:t xml:space="preserve"> Vulnerability at the make-or-break steps of the chip supply chain (EUV lithography, leading-edge logic, HBM, EDA software, key chemicals).</w:t>
      </w:r>
    </w:p>
    <w:p w14:paraId="3FEB727D" w14:textId="77777777" w:rsidR="008A25C9" w:rsidRDefault="00000000">
      <w:pPr>
        <w:pStyle w:val="BodyText"/>
      </w:pPr>
      <w:r>
        <w:rPr>
          <w:b/>
        </w:rPr>
        <w:t>CLOUD Act:</w:t>
      </w:r>
      <w:r>
        <w:t xml:space="preserve"> The US Clarifying Lawful Overseas Use of Data Act (2018), authorising federal access to data held abroad by US companies.</w:t>
      </w:r>
    </w:p>
    <w:p w14:paraId="4693EEEA" w14:textId="77777777" w:rsidR="008A25C9" w:rsidRDefault="00000000">
      <w:pPr>
        <w:pStyle w:val="BodyText"/>
      </w:pPr>
      <w:r>
        <w:rPr>
          <w:b/>
        </w:rPr>
        <w:t>CUDA:</w:t>
      </w:r>
      <w:r>
        <w:t xml:space="preserve"> NVIDIA’s software layer for its chips; the de facto standard for AI training and the main switching barrier away from NVIDIA.</w:t>
      </w:r>
    </w:p>
    <w:p w14:paraId="3441681E" w14:textId="77777777" w:rsidR="008A25C9" w:rsidRDefault="00000000">
      <w:pPr>
        <w:pStyle w:val="BodyText"/>
      </w:pPr>
      <w:r>
        <w:rPr>
          <w:b/>
        </w:rPr>
        <w:t>Data Act Chapter VII:</w:t>
      </w:r>
      <w:r>
        <w:t xml:space="preserve"> The EU Data Act provisions (fully applicable September 2025) aimed at third-country access.</w:t>
      </w:r>
    </w:p>
    <w:p w14:paraId="4C4409F5" w14:textId="77777777" w:rsidR="008A25C9" w:rsidRDefault="00000000">
      <w:pPr>
        <w:pStyle w:val="BodyText"/>
      </w:pPr>
      <w:r>
        <w:rPr>
          <w:b/>
        </w:rPr>
        <w:lastRenderedPageBreak/>
        <w:t>Data egress:</w:t>
      </w:r>
      <w:r>
        <w:t xml:space="preserve"> The flow of a subject’s own data out to a third-party model at inference time — prompts, retrieved context, tool calls, fine-tuning sets, logs.</w:t>
      </w:r>
    </w:p>
    <w:p w14:paraId="693EEBA5" w14:textId="77777777" w:rsidR="008A25C9" w:rsidRDefault="00000000">
      <w:pPr>
        <w:pStyle w:val="BodyText"/>
      </w:pPr>
      <w:r>
        <w:rPr>
          <w:b/>
        </w:rPr>
        <w:t>Digital Omnibus on AI:</w:t>
      </w:r>
      <w:r>
        <w:t xml:space="preserve"> The EU amending package (in force 27 July 2026) deferring the AI Act’s high-risk obligations to December 2027 / August 2028 while leaving GPAI enforcement on schedule.</w:t>
      </w:r>
    </w:p>
    <w:p w14:paraId="2DE30B82" w14:textId="77777777" w:rsidR="008A25C9" w:rsidRDefault="00000000">
      <w:pPr>
        <w:pStyle w:val="BodyText"/>
      </w:pPr>
      <w:r>
        <w:rPr>
          <w:b/>
        </w:rPr>
        <w:t>DORA:</w:t>
      </w:r>
      <w:r>
        <w:t xml:space="preserve"> The EU Digital Operational Resilience Act for the financial sector, applicable from January 2025.</w:t>
      </w:r>
    </w:p>
    <w:p w14:paraId="7A3D49A6" w14:textId="77777777" w:rsidR="008A25C9" w:rsidRDefault="00000000">
      <w:pPr>
        <w:pStyle w:val="BodyText"/>
      </w:pPr>
      <w:r>
        <w:rPr>
          <w:b/>
        </w:rPr>
        <w:t>FRIA:</w:t>
      </w:r>
      <w:r>
        <w:t xml:space="preserve"> Fundamental Rights Impact Assessment, AI Act Article 27.</w:t>
      </w:r>
    </w:p>
    <w:p w14:paraId="1C3F53D4" w14:textId="77777777" w:rsidR="008A25C9" w:rsidRDefault="00000000">
      <w:pPr>
        <w:pStyle w:val="BodyText"/>
      </w:pPr>
      <w:r>
        <w:rPr>
          <w:b/>
        </w:rPr>
        <w:t>GAIA-X:</w:t>
      </w:r>
      <w:r>
        <w:t xml:space="preserve"> European certification of cloud and data services against sovereignty criteria at three levels; L3 requires SecNumCloud-grade immunity from foreign-reach laws.</w:t>
      </w:r>
    </w:p>
    <w:p w14:paraId="447F9C7F" w14:textId="77777777" w:rsidR="008A25C9" w:rsidRDefault="00000000">
      <w:pPr>
        <w:pStyle w:val="BodyText"/>
      </w:pPr>
      <w:r>
        <w:rPr>
          <w:b/>
        </w:rPr>
        <w:t>ISA:</w:t>
      </w:r>
      <w:r>
        <w:t xml:space="preserve"> Instruction Set Architecture — the command set a processor understands (x86, ARM, RISC-V).</w:t>
      </w:r>
    </w:p>
    <w:p w14:paraId="6EA37B9E" w14:textId="77777777" w:rsidR="008A25C9" w:rsidRDefault="00000000">
      <w:pPr>
        <w:pStyle w:val="BodyText"/>
      </w:pPr>
      <w:r>
        <w:rPr>
          <w:b/>
        </w:rPr>
        <w:t>ISO/IEC 42001:</w:t>
      </w:r>
      <w:r>
        <w:t xml:space="preserve"> The certifiable international AI-management standard (December 2023); nine Annex A control groups; a stepping stone to AI Act Articles 53/55.</w:t>
      </w:r>
    </w:p>
    <w:p w14:paraId="10CA412E" w14:textId="77777777" w:rsidR="008A25C9" w:rsidRDefault="00000000">
      <w:pPr>
        <w:pStyle w:val="BodyText"/>
      </w:pPr>
      <w:r>
        <w:rPr>
          <w:b/>
        </w:rPr>
        <w:t>MoE:</w:t>
      </w:r>
      <w:r>
        <w:t xml:space="preserve"> Mixture of Experts — a model design activating different specialist sub-models per input.</w:t>
      </w:r>
    </w:p>
    <w:p w14:paraId="3A334107" w14:textId="77777777" w:rsidR="008A25C9" w:rsidRDefault="00000000">
      <w:pPr>
        <w:pStyle w:val="BodyText"/>
      </w:pPr>
      <w:r>
        <w:rPr>
          <w:b/>
        </w:rPr>
        <w:t>MRM / SR 11-7:</w:t>
      </w:r>
      <w:r>
        <w:t xml:space="preserve"> Model Risk Management; the US supervisory standard widely adopted in EU banking — challenger models, monitoring, model inventory, documentation.</w:t>
      </w:r>
    </w:p>
    <w:p w14:paraId="5B526FAD" w14:textId="77777777" w:rsidR="008A25C9" w:rsidRDefault="00000000">
      <w:pPr>
        <w:pStyle w:val="BodyText"/>
      </w:pPr>
      <w:r>
        <w:rPr>
          <w:b/>
        </w:rPr>
        <w:t>NIST AI RMF:</w:t>
      </w:r>
      <w:r>
        <w:t xml:space="preserve"> The US AI risk-management framework (Govern, Map, Measure, Manage); backbone of the AI-SAF-C crosswalk.</w:t>
      </w:r>
    </w:p>
    <w:p w14:paraId="04931A4A" w14:textId="77777777" w:rsidR="008A25C9" w:rsidRDefault="00000000">
      <w:pPr>
        <w:pStyle w:val="BodyText"/>
      </w:pPr>
      <w:r>
        <w:rPr>
          <w:b/>
        </w:rPr>
        <w:t>No-train clause:</w:t>
      </w:r>
      <w:r>
        <w:t xml:space="preserve"> A contract clause barring a model provider from using your inputs or outputs to train its models.</w:t>
      </w:r>
    </w:p>
    <w:p w14:paraId="1A644594" w14:textId="77777777" w:rsidR="008A25C9" w:rsidRDefault="00000000">
      <w:pPr>
        <w:pStyle w:val="BodyText"/>
      </w:pPr>
      <w:r>
        <w:rPr>
          <w:b/>
        </w:rPr>
        <w:t>Open-weights:</w:t>
      </w:r>
      <w:r>
        <w:t xml:space="preserve"> A model whose trained weights can be freely downloaded and run (Llama, Mistral, Gemma, Qwen, DeepSeek); not always fully open-source.</w:t>
      </w:r>
    </w:p>
    <w:p w14:paraId="13CDF731" w14:textId="77777777" w:rsidR="008A25C9" w:rsidRDefault="00000000">
      <w:pPr>
        <w:pStyle w:val="BodyText"/>
      </w:pPr>
      <w:r>
        <w:rPr>
          <w:b/>
        </w:rPr>
        <w:t>Restoration risk:</w:t>
      </w:r>
      <w:r>
        <w:t xml:space="preserve"> The error of reading a supplier-side reversal (a lifted directive, an extended support window) as evidence of the subject’s own recoverability. See Framework §3.5.</w:t>
      </w:r>
    </w:p>
    <w:p w14:paraId="5F90BDA8" w14:textId="77777777" w:rsidR="008A25C9" w:rsidRDefault="00000000">
      <w:pPr>
        <w:pStyle w:val="BodyText"/>
      </w:pPr>
      <w:r>
        <w:rPr>
          <w:b/>
        </w:rPr>
        <w:t>RISC-V:</w:t>
      </w:r>
      <w:r>
        <w:t xml:space="preserve"> An open, royalty-free ISA; the strategic alternative to x86 and ARM (Tenstorrent, EU DARE, Meta MTIA).</w:t>
      </w:r>
    </w:p>
    <w:p w14:paraId="4EC8D256" w14:textId="77777777" w:rsidR="008A25C9" w:rsidRDefault="00000000">
      <w:pPr>
        <w:pStyle w:val="BodyText"/>
      </w:pPr>
      <w:r>
        <w:rPr>
          <w:b/>
        </w:rPr>
        <w:t>SecNumCloud:</w:t>
      </w:r>
      <w:r>
        <w:t xml:space="preserve"> France’s ANSSI certification (v3.2) — the established scheme requiring a cloud service to be beyond the reach of foreign laws such as the CLOUD Act and FISA.</w:t>
      </w:r>
    </w:p>
    <w:p w14:paraId="093A1433" w14:textId="77777777" w:rsidR="008A25C9" w:rsidRDefault="00000000">
      <w:pPr>
        <w:pStyle w:val="BodyText"/>
      </w:pPr>
      <w:r>
        <w:rPr>
          <w:b/>
        </w:rPr>
        <w:t>Strategic interdependence:</w:t>
      </w:r>
      <w:r>
        <w:t xml:space="preserve"> Deliberately depending on several partners so no single one can dictate — the realistic alternative to autarky for small and mid-sized economies.</w:t>
      </w:r>
    </w:p>
    <w:p w14:paraId="14258BAC" w14:textId="77777777" w:rsidR="008A25C9" w:rsidRDefault="00000000">
      <w:pPr>
        <w:pStyle w:val="BodyText"/>
      </w:pPr>
      <w:r>
        <w:rPr>
          <w:b/>
        </w:rPr>
        <w:lastRenderedPageBreak/>
        <w:t>Synthetic collapse:</w:t>
      </w:r>
      <w:r>
        <w:t xml:space="preserve"> The effect shown by Shumailov et al. (Nature, 2024): repeatedly training on AI-generated data permanently strips away rare cases.</w:t>
      </w:r>
    </w:p>
    <w:p w14:paraId="7F6C003A" w14:textId="77777777" w:rsidR="008A25C9" w:rsidRDefault="00000000">
      <w:pPr>
        <w:pStyle w:val="BodyText"/>
      </w:pPr>
      <w:r>
        <w:rPr>
          <w:b/>
        </w:rPr>
        <w:t>TEE:</w:t>
      </w:r>
      <w:r>
        <w:t xml:space="preserve"> Trusted Execution Environment — hardware-isolated execution (Intel TDX, AMD SEV-SNP, NVIDIA Confidential Computing) enabling private inference on clouds you do not control.</w:t>
      </w:r>
    </w:p>
    <w:p w14:paraId="6D519A7E" w14:textId="77777777" w:rsidR="008A25C9" w:rsidRDefault="00000000">
      <w:pPr>
        <w:pStyle w:val="BodyText"/>
      </w:pPr>
      <w:r>
        <w:rPr>
          <w:b/>
        </w:rPr>
        <w:t>Version Deadlock:</w:t>
      </w:r>
      <w:r>
        <w:t xml:space="preserve"> The state in which a subject loses the capacity to evolve technologically because access to the next version of a key technology has been interrupted.</w:t>
      </w:r>
    </w:p>
    <w:p w14:paraId="6EA0C37D" w14:textId="77777777" w:rsidR="008A25C9" w:rsidRDefault="00000000">
      <w:pPr>
        <w:pStyle w:val="BodyText"/>
      </w:pPr>
      <w:r>
        <w:rPr>
          <w:b/>
        </w:rPr>
        <w:t>vLLM / SGLang / llama.cpp:</w:t>
      </w:r>
      <w:r>
        <w:t xml:space="preserve"> Open-source inference engines; alternatives to NVIDIA’s TensorRT-LLM that run models without CUDA dependence. # Document 2 · AI-SAF-C Field Guide — Business variant</w:t>
      </w:r>
    </w:p>
    <w:p w14:paraId="28788C05" w14:textId="77777777" w:rsidR="008A25C9" w:rsidRDefault="00000000">
      <w:pPr>
        <w:pStyle w:val="BodyText"/>
      </w:pPr>
      <w:r>
        <w:rPr>
          <w:i/>
        </w:rPr>
        <w:t>Assessment of corporate AI sovereignty. Version 0.7.1 · August 2026 · CC BY 4.0</w:t>
      </w:r>
    </w:p>
    <w:p w14:paraId="33A06E2A" w14:textId="77777777" w:rsidR="008A25C9" w:rsidRDefault="00000000">
      <w:pPr>
        <w:pStyle w:val="Heading2"/>
      </w:pPr>
      <w:bookmarkStart w:id="48" w:name="about-this-document"/>
      <w:bookmarkStart w:id="49" w:name="_Toc238848858"/>
      <w:r>
        <w:t>About this document</w:t>
      </w:r>
      <w:bookmarkEnd w:id="48"/>
      <w:bookmarkEnd w:id="49"/>
    </w:p>
    <w:p w14:paraId="2CAF0CA3" w14:textId="77777777" w:rsidR="008A25C9" w:rsidRDefault="00000000">
      <w:pPr>
        <w:pStyle w:val="FirstParagraph"/>
      </w:pPr>
      <w:r>
        <w:t>This field guide is the hands-on manual for AI-SAF-C, the business version of the AI Strategic Autonomy Framework, for a CTO’s office, a compliance team, or an AI director sizing up how self-reliant their company is and deciding what to fix first. For the concepts behind it — the two variants, capability × commitment, gap analysis, Version Deadlock — see Document 1; this guide assumes them. Dated market detail (which providers are certified, which chips ship) lives in Document 4, State of Play.</w:t>
      </w:r>
    </w:p>
    <w:p w14:paraId="528498B7" w14:textId="77777777" w:rsidR="008A25C9" w:rsidRDefault="00000000">
      <w:pPr>
        <w:pStyle w:val="BodyText"/>
      </w:pPr>
      <w:r>
        <w:rPr>
          <w:b/>
        </w:rPr>
        <w:t>How each pillar is presented.</w:t>
      </w:r>
      <w:r>
        <w:t xml:space="preserve"> Every pillar opens with what it measures and why, then a rubric table: sub-indicator, points, R/A tag, and the evidence expected. Score each sub-indicator as a whole number from 0 to its maximum; the pillar score is the sum. Report R and A subtotals with the headline (Framework §1.1).</w:t>
      </w:r>
    </w:p>
    <w:p w14:paraId="43E3739B" w14:textId="77777777" w:rsidR="008A25C9" w:rsidRDefault="00000000">
      <w:pPr>
        <w:pStyle w:val="BodyText"/>
      </w:pPr>
      <w:r>
        <w:t>Contents: Part I — the nine pillars. Part II — the ninth pillar in depth. Part III — scale discount. Part IV — worked example: BNP Paribas, with an ING calibration check. Part V — crosswalk to NIST AI RMF, ISO/IEC 42001, and GAIA-X.</w:t>
      </w:r>
    </w:p>
    <w:p w14:paraId="07D6D3F5" w14:textId="77777777" w:rsidR="008A25C9" w:rsidRDefault="00000000">
      <w:pPr>
        <w:pStyle w:val="Heading2"/>
      </w:pPr>
      <w:bookmarkStart w:id="50" w:name="part-i.-the-nine-pillars"/>
      <w:bookmarkStart w:id="51" w:name="_Toc238848859"/>
      <w:r>
        <w:t>Part I. The nine pillars</w:t>
      </w:r>
      <w:bookmarkEnd w:id="50"/>
      <w:bookmarkEnd w:id="51"/>
    </w:p>
    <w:tbl>
      <w:tblPr>
        <w:tblStyle w:val="Table"/>
        <w:tblW w:w="5000" w:type="pct"/>
        <w:tblLook w:val="07E0" w:firstRow="1" w:lastRow="1" w:firstColumn="1" w:lastColumn="1" w:noHBand="1" w:noVBand="1"/>
      </w:tblPr>
      <w:tblGrid>
        <w:gridCol w:w="360"/>
        <w:gridCol w:w="2460"/>
        <w:gridCol w:w="951"/>
        <w:gridCol w:w="5589"/>
      </w:tblGrid>
      <w:tr w:rsidR="008A25C9" w14:paraId="5BAFBF2A" w14:textId="77777777">
        <w:tc>
          <w:tcPr>
            <w:tcW w:w="0" w:type="auto"/>
            <w:tcBorders>
              <w:bottom w:val="single" w:sz="0" w:space="0" w:color="auto"/>
            </w:tcBorders>
            <w:vAlign w:val="bottom"/>
          </w:tcPr>
          <w:p w14:paraId="578E1EE4" w14:textId="77777777" w:rsidR="008A25C9" w:rsidRDefault="00000000">
            <w:pPr>
              <w:pStyle w:val="Compact"/>
            </w:pPr>
            <w:r>
              <w:t>#</w:t>
            </w:r>
          </w:p>
        </w:tc>
        <w:tc>
          <w:tcPr>
            <w:tcW w:w="0" w:type="auto"/>
            <w:tcBorders>
              <w:bottom w:val="single" w:sz="0" w:space="0" w:color="auto"/>
            </w:tcBorders>
            <w:vAlign w:val="bottom"/>
          </w:tcPr>
          <w:p w14:paraId="0243F636" w14:textId="77777777" w:rsidR="008A25C9" w:rsidRDefault="00000000">
            <w:pPr>
              <w:pStyle w:val="Compact"/>
            </w:pPr>
            <w:r>
              <w:t>Pillar</w:t>
            </w:r>
          </w:p>
        </w:tc>
        <w:tc>
          <w:tcPr>
            <w:tcW w:w="0" w:type="auto"/>
            <w:tcBorders>
              <w:bottom w:val="single" w:sz="0" w:space="0" w:color="auto"/>
            </w:tcBorders>
            <w:vAlign w:val="bottom"/>
          </w:tcPr>
          <w:p w14:paraId="04491FE1" w14:textId="77777777" w:rsidR="008A25C9" w:rsidRDefault="00000000">
            <w:pPr>
              <w:pStyle w:val="Compact"/>
            </w:pPr>
            <w:r>
              <w:t>Weight</w:t>
            </w:r>
          </w:p>
        </w:tc>
        <w:tc>
          <w:tcPr>
            <w:tcW w:w="0" w:type="auto"/>
            <w:tcBorders>
              <w:bottom w:val="single" w:sz="0" w:space="0" w:color="auto"/>
            </w:tcBorders>
            <w:vAlign w:val="bottom"/>
          </w:tcPr>
          <w:p w14:paraId="0458BF4E" w14:textId="77777777" w:rsidR="008A25C9" w:rsidRDefault="00000000">
            <w:pPr>
              <w:pStyle w:val="Compact"/>
            </w:pPr>
            <w:r>
              <w:t>Corporate focus</w:t>
            </w:r>
          </w:p>
        </w:tc>
      </w:tr>
      <w:tr w:rsidR="008A25C9" w14:paraId="41E8DEFF" w14:textId="77777777">
        <w:tc>
          <w:tcPr>
            <w:tcW w:w="0" w:type="auto"/>
          </w:tcPr>
          <w:p w14:paraId="00458A70" w14:textId="77777777" w:rsidR="008A25C9" w:rsidRDefault="00000000">
            <w:pPr>
              <w:pStyle w:val="Compact"/>
            </w:pPr>
            <w:r>
              <w:t>1</w:t>
            </w:r>
          </w:p>
        </w:tc>
        <w:tc>
          <w:tcPr>
            <w:tcW w:w="0" w:type="auto"/>
          </w:tcPr>
          <w:p w14:paraId="06DC9EB1" w14:textId="77777777" w:rsidR="008A25C9" w:rsidRDefault="00000000">
            <w:pPr>
              <w:pStyle w:val="Compact"/>
            </w:pPr>
            <w:r>
              <w:t>Data</w:t>
            </w:r>
          </w:p>
        </w:tc>
        <w:tc>
          <w:tcPr>
            <w:tcW w:w="0" w:type="auto"/>
          </w:tcPr>
          <w:p w14:paraId="58C0A206" w14:textId="77777777" w:rsidR="008A25C9" w:rsidRDefault="00000000">
            <w:pPr>
              <w:pStyle w:val="Compact"/>
            </w:pPr>
            <w:r>
              <w:t>14</w:t>
            </w:r>
          </w:p>
        </w:tc>
        <w:tc>
          <w:tcPr>
            <w:tcW w:w="0" w:type="auto"/>
          </w:tcPr>
          <w:p w14:paraId="7114B176" w14:textId="77777777" w:rsidR="008A25C9" w:rsidRDefault="00000000">
            <w:pPr>
              <w:pStyle w:val="Compact"/>
            </w:pPr>
            <w:r>
              <w:t>Own data, where it is stored, contractual and technical control of what leaves</w:t>
            </w:r>
          </w:p>
        </w:tc>
      </w:tr>
      <w:tr w:rsidR="008A25C9" w14:paraId="2D09F957" w14:textId="77777777">
        <w:tc>
          <w:tcPr>
            <w:tcW w:w="0" w:type="auto"/>
          </w:tcPr>
          <w:p w14:paraId="1DBFC277" w14:textId="77777777" w:rsidR="008A25C9" w:rsidRDefault="00000000">
            <w:pPr>
              <w:pStyle w:val="Compact"/>
            </w:pPr>
            <w:r>
              <w:t>2</w:t>
            </w:r>
          </w:p>
        </w:tc>
        <w:tc>
          <w:tcPr>
            <w:tcW w:w="0" w:type="auto"/>
          </w:tcPr>
          <w:p w14:paraId="6094234C" w14:textId="77777777" w:rsidR="008A25C9" w:rsidRDefault="00000000">
            <w:pPr>
              <w:pStyle w:val="Compact"/>
            </w:pPr>
            <w:r>
              <w:t>Models</w:t>
            </w:r>
          </w:p>
        </w:tc>
        <w:tc>
          <w:tcPr>
            <w:tcW w:w="0" w:type="auto"/>
          </w:tcPr>
          <w:p w14:paraId="2E1B132C" w14:textId="77777777" w:rsidR="008A25C9" w:rsidRDefault="00000000">
            <w:pPr>
              <w:pStyle w:val="Compact"/>
            </w:pPr>
            <w:r>
              <w:t>16</w:t>
            </w:r>
          </w:p>
        </w:tc>
        <w:tc>
          <w:tcPr>
            <w:tcW w:w="0" w:type="auto"/>
          </w:tcPr>
          <w:p w14:paraId="5FBB3C6D" w14:textId="77777777" w:rsidR="008A25C9" w:rsidRDefault="00000000">
            <w:pPr>
              <w:pStyle w:val="Compact"/>
            </w:pPr>
            <w:r>
              <w:t xml:space="preserve">Portfolio across providers </w:t>
            </w:r>
            <w:r>
              <w:rPr>
                <w:i/>
              </w:rPr>
              <w:t>and jurisdictions</w:t>
            </w:r>
            <w:r>
              <w:t>; fine-tune capability; self-run fallback</w:t>
            </w:r>
          </w:p>
        </w:tc>
      </w:tr>
      <w:tr w:rsidR="008A25C9" w14:paraId="3D771434" w14:textId="77777777">
        <w:tc>
          <w:tcPr>
            <w:tcW w:w="0" w:type="auto"/>
          </w:tcPr>
          <w:p w14:paraId="72AF4CFA" w14:textId="77777777" w:rsidR="008A25C9" w:rsidRDefault="00000000">
            <w:pPr>
              <w:pStyle w:val="Compact"/>
            </w:pPr>
            <w:r>
              <w:t>3</w:t>
            </w:r>
          </w:p>
        </w:tc>
        <w:tc>
          <w:tcPr>
            <w:tcW w:w="0" w:type="auto"/>
          </w:tcPr>
          <w:p w14:paraId="4A2912DF" w14:textId="77777777" w:rsidR="008A25C9" w:rsidRDefault="00000000">
            <w:pPr>
              <w:pStyle w:val="Compact"/>
            </w:pPr>
            <w:r>
              <w:t>Infrastructure</w:t>
            </w:r>
          </w:p>
        </w:tc>
        <w:tc>
          <w:tcPr>
            <w:tcW w:w="0" w:type="auto"/>
          </w:tcPr>
          <w:p w14:paraId="24C5DF30" w14:textId="77777777" w:rsidR="008A25C9" w:rsidRDefault="00000000">
            <w:pPr>
              <w:pStyle w:val="Compact"/>
            </w:pPr>
            <w:r>
              <w:t>14</w:t>
            </w:r>
          </w:p>
        </w:tc>
        <w:tc>
          <w:tcPr>
            <w:tcW w:w="0" w:type="auto"/>
          </w:tcPr>
          <w:p w14:paraId="560FF6AC" w14:textId="77777777" w:rsidR="008A25C9" w:rsidRDefault="00000000">
            <w:pPr>
              <w:pStyle w:val="Compact"/>
            </w:pPr>
            <w:r>
              <w:t>Cloud choice and jurisdiction, CLOUD Act exposure, own GPUs, confidential computing</w:t>
            </w:r>
          </w:p>
        </w:tc>
      </w:tr>
      <w:tr w:rsidR="008A25C9" w14:paraId="2B58AC87" w14:textId="77777777">
        <w:tc>
          <w:tcPr>
            <w:tcW w:w="0" w:type="auto"/>
          </w:tcPr>
          <w:p w14:paraId="1C4EE210" w14:textId="77777777" w:rsidR="008A25C9" w:rsidRDefault="00000000">
            <w:pPr>
              <w:pStyle w:val="Compact"/>
            </w:pPr>
            <w:r>
              <w:t>4</w:t>
            </w:r>
          </w:p>
        </w:tc>
        <w:tc>
          <w:tcPr>
            <w:tcW w:w="0" w:type="auto"/>
          </w:tcPr>
          <w:p w14:paraId="19434B1E" w14:textId="77777777" w:rsidR="008A25C9" w:rsidRDefault="00000000">
            <w:pPr>
              <w:pStyle w:val="Compact"/>
            </w:pPr>
            <w:r>
              <w:t>Hardware</w:t>
            </w:r>
          </w:p>
        </w:tc>
        <w:tc>
          <w:tcPr>
            <w:tcW w:w="0" w:type="auto"/>
          </w:tcPr>
          <w:p w14:paraId="45A5866E" w14:textId="77777777" w:rsidR="008A25C9" w:rsidRDefault="00000000">
            <w:pPr>
              <w:pStyle w:val="Compact"/>
            </w:pPr>
            <w:r>
              <w:t>10</w:t>
            </w:r>
          </w:p>
        </w:tc>
        <w:tc>
          <w:tcPr>
            <w:tcW w:w="0" w:type="auto"/>
          </w:tcPr>
          <w:p w14:paraId="7A22FD34" w14:textId="77777777" w:rsidR="008A25C9" w:rsidRDefault="00000000">
            <w:pPr>
              <w:pStyle w:val="Compact"/>
            </w:pPr>
            <w:r>
              <w:t>Reserved GPU capacity; vendor diversification; migration plan</w:t>
            </w:r>
          </w:p>
        </w:tc>
      </w:tr>
      <w:tr w:rsidR="008A25C9" w14:paraId="12B3E9AD" w14:textId="77777777">
        <w:tc>
          <w:tcPr>
            <w:tcW w:w="0" w:type="auto"/>
          </w:tcPr>
          <w:p w14:paraId="03DF7B75" w14:textId="77777777" w:rsidR="008A25C9" w:rsidRDefault="00000000">
            <w:pPr>
              <w:pStyle w:val="Compact"/>
            </w:pPr>
            <w:r>
              <w:t>5</w:t>
            </w:r>
          </w:p>
        </w:tc>
        <w:tc>
          <w:tcPr>
            <w:tcW w:w="0" w:type="auto"/>
          </w:tcPr>
          <w:p w14:paraId="2F8FE4C3" w14:textId="77777777" w:rsidR="008A25C9" w:rsidRDefault="00000000">
            <w:pPr>
              <w:pStyle w:val="Compact"/>
            </w:pPr>
            <w:r>
              <w:t>Manufacturing</w:t>
            </w:r>
          </w:p>
        </w:tc>
        <w:tc>
          <w:tcPr>
            <w:tcW w:w="0" w:type="auto"/>
          </w:tcPr>
          <w:p w14:paraId="3E47DB97" w14:textId="77777777" w:rsidR="008A25C9" w:rsidRDefault="00000000">
            <w:pPr>
              <w:pStyle w:val="Compact"/>
            </w:pPr>
            <w:r>
              <w:t>1</w:t>
            </w:r>
          </w:p>
        </w:tc>
        <w:tc>
          <w:tcPr>
            <w:tcW w:w="0" w:type="auto"/>
          </w:tcPr>
          <w:p w14:paraId="65C00605" w14:textId="77777777" w:rsidR="008A25C9" w:rsidRDefault="00000000">
            <w:pPr>
              <w:pStyle w:val="Compact"/>
            </w:pPr>
            <w:r>
              <w:t>Supply-chain awareness only</w:t>
            </w:r>
          </w:p>
        </w:tc>
      </w:tr>
      <w:tr w:rsidR="008A25C9" w14:paraId="75F5D322" w14:textId="77777777">
        <w:tc>
          <w:tcPr>
            <w:tcW w:w="0" w:type="auto"/>
          </w:tcPr>
          <w:p w14:paraId="1B184EFE" w14:textId="77777777" w:rsidR="008A25C9" w:rsidRDefault="00000000">
            <w:pPr>
              <w:pStyle w:val="Compact"/>
            </w:pPr>
            <w:r>
              <w:t>6</w:t>
            </w:r>
          </w:p>
        </w:tc>
        <w:tc>
          <w:tcPr>
            <w:tcW w:w="0" w:type="auto"/>
          </w:tcPr>
          <w:p w14:paraId="0E9B2225" w14:textId="77777777" w:rsidR="008A25C9" w:rsidRDefault="00000000">
            <w:pPr>
              <w:pStyle w:val="Compact"/>
            </w:pPr>
            <w:r>
              <w:t>Software</w:t>
            </w:r>
          </w:p>
        </w:tc>
        <w:tc>
          <w:tcPr>
            <w:tcW w:w="0" w:type="auto"/>
          </w:tcPr>
          <w:p w14:paraId="70799DEF" w14:textId="77777777" w:rsidR="008A25C9" w:rsidRDefault="00000000">
            <w:pPr>
              <w:pStyle w:val="Compact"/>
            </w:pPr>
            <w:r>
              <w:t>10</w:t>
            </w:r>
          </w:p>
        </w:tc>
        <w:tc>
          <w:tcPr>
            <w:tcW w:w="0" w:type="auto"/>
          </w:tcPr>
          <w:p w14:paraId="04ACD862" w14:textId="77777777" w:rsidR="008A25C9" w:rsidRDefault="00000000">
            <w:pPr>
              <w:pStyle w:val="Compact"/>
            </w:pPr>
            <w:r>
              <w:t>CUDA and tooling lock-in; open-source contribution</w:t>
            </w:r>
          </w:p>
        </w:tc>
      </w:tr>
      <w:tr w:rsidR="008A25C9" w14:paraId="0E612C55" w14:textId="77777777">
        <w:tc>
          <w:tcPr>
            <w:tcW w:w="0" w:type="auto"/>
          </w:tcPr>
          <w:p w14:paraId="72B1ADA5" w14:textId="77777777" w:rsidR="008A25C9" w:rsidRDefault="00000000">
            <w:pPr>
              <w:pStyle w:val="Compact"/>
            </w:pPr>
            <w:r>
              <w:lastRenderedPageBreak/>
              <w:t>7</w:t>
            </w:r>
          </w:p>
        </w:tc>
        <w:tc>
          <w:tcPr>
            <w:tcW w:w="0" w:type="auto"/>
          </w:tcPr>
          <w:p w14:paraId="255F7B2B" w14:textId="77777777" w:rsidR="008A25C9" w:rsidRDefault="00000000">
            <w:pPr>
              <w:pStyle w:val="Compact"/>
            </w:pPr>
            <w:r>
              <w:t>Human capital</w:t>
            </w:r>
          </w:p>
        </w:tc>
        <w:tc>
          <w:tcPr>
            <w:tcW w:w="0" w:type="auto"/>
          </w:tcPr>
          <w:p w14:paraId="5B04ED92" w14:textId="77777777" w:rsidR="008A25C9" w:rsidRDefault="00000000">
            <w:pPr>
              <w:pStyle w:val="Compact"/>
            </w:pPr>
            <w:r>
              <w:t>13</w:t>
            </w:r>
          </w:p>
        </w:tc>
        <w:tc>
          <w:tcPr>
            <w:tcW w:w="0" w:type="auto"/>
          </w:tcPr>
          <w:p w14:paraId="671AE8C8" w14:textId="77777777" w:rsidR="008A25C9" w:rsidRDefault="00000000">
            <w:pPr>
              <w:pStyle w:val="Compact"/>
            </w:pPr>
            <w:r>
              <w:t>AI-literate engineer share, retention, enablement programs</w:t>
            </w:r>
          </w:p>
        </w:tc>
      </w:tr>
      <w:tr w:rsidR="008A25C9" w14:paraId="0D1AF451" w14:textId="77777777">
        <w:tc>
          <w:tcPr>
            <w:tcW w:w="0" w:type="auto"/>
          </w:tcPr>
          <w:p w14:paraId="40EE6D07" w14:textId="77777777" w:rsidR="008A25C9" w:rsidRDefault="00000000">
            <w:pPr>
              <w:pStyle w:val="Compact"/>
            </w:pPr>
            <w:r>
              <w:t>8</w:t>
            </w:r>
          </w:p>
        </w:tc>
        <w:tc>
          <w:tcPr>
            <w:tcW w:w="0" w:type="auto"/>
          </w:tcPr>
          <w:p w14:paraId="15D98F92" w14:textId="77777777" w:rsidR="008A25C9" w:rsidRDefault="00000000">
            <w:pPr>
              <w:pStyle w:val="Compact"/>
            </w:pPr>
            <w:r>
              <w:t>Regulatory</w:t>
            </w:r>
          </w:p>
        </w:tc>
        <w:tc>
          <w:tcPr>
            <w:tcW w:w="0" w:type="auto"/>
          </w:tcPr>
          <w:p w14:paraId="56658857" w14:textId="77777777" w:rsidR="008A25C9" w:rsidRDefault="00000000">
            <w:pPr>
              <w:pStyle w:val="Compact"/>
            </w:pPr>
            <w:r>
              <w:t>12</w:t>
            </w:r>
          </w:p>
        </w:tc>
        <w:tc>
          <w:tcPr>
            <w:tcW w:w="0" w:type="auto"/>
          </w:tcPr>
          <w:p w14:paraId="102C4335" w14:textId="77777777" w:rsidR="008A25C9" w:rsidRDefault="00000000">
            <w:pPr>
              <w:pStyle w:val="Compact"/>
            </w:pPr>
            <w:r>
              <w:t>AI Act, DORA, GDPR, ISO 42001, model-risk management</w:t>
            </w:r>
          </w:p>
        </w:tc>
      </w:tr>
      <w:tr w:rsidR="008A25C9" w14:paraId="64C27563" w14:textId="77777777">
        <w:tc>
          <w:tcPr>
            <w:tcW w:w="0" w:type="auto"/>
          </w:tcPr>
          <w:p w14:paraId="5E1B7368" w14:textId="77777777" w:rsidR="008A25C9" w:rsidRDefault="00000000">
            <w:pPr>
              <w:pStyle w:val="Compact"/>
            </w:pPr>
            <w:r>
              <w:t>9</w:t>
            </w:r>
          </w:p>
        </w:tc>
        <w:tc>
          <w:tcPr>
            <w:tcW w:w="0" w:type="auto"/>
          </w:tcPr>
          <w:p w14:paraId="5E274E85" w14:textId="77777777" w:rsidR="008A25C9" w:rsidRDefault="00000000">
            <w:pPr>
              <w:pStyle w:val="Compact"/>
            </w:pPr>
            <w:r>
              <w:t>Culture and operating model</w:t>
            </w:r>
          </w:p>
        </w:tc>
        <w:tc>
          <w:tcPr>
            <w:tcW w:w="0" w:type="auto"/>
          </w:tcPr>
          <w:p w14:paraId="24FC3A2E" w14:textId="77777777" w:rsidR="008A25C9" w:rsidRDefault="00000000">
            <w:pPr>
              <w:pStyle w:val="Compact"/>
            </w:pPr>
            <w:r>
              <w:t>10</w:t>
            </w:r>
          </w:p>
        </w:tc>
        <w:tc>
          <w:tcPr>
            <w:tcW w:w="0" w:type="auto"/>
          </w:tcPr>
          <w:p w14:paraId="7B50C5D5" w14:textId="77777777" w:rsidR="008A25C9" w:rsidRDefault="00000000">
            <w:pPr>
              <w:pStyle w:val="Compact"/>
            </w:pPr>
            <w:r>
              <w:t>Board oversight, applied literacy, speed, change governance, experimentation</w:t>
            </w:r>
          </w:p>
        </w:tc>
      </w:tr>
      <w:tr w:rsidR="008A25C9" w14:paraId="5B74774C" w14:textId="77777777">
        <w:tc>
          <w:tcPr>
            <w:tcW w:w="0" w:type="auto"/>
          </w:tcPr>
          <w:p w14:paraId="131E3E4B" w14:textId="77777777" w:rsidR="008A25C9" w:rsidRDefault="008A25C9"/>
        </w:tc>
        <w:tc>
          <w:tcPr>
            <w:tcW w:w="0" w:type="auto"/>
          </w:tcPr>
          <w:p w14:paraId="0A48893C" w14:textId="77777777" w:rsidR="008A25C9" w:rsidRDefault="00000000">
            <w:pPr>
              <w:pStyle w:val="Compact"/>
            </w:pPr>
            <w:r>
              <w:rPr>
                <w:b/>
              </w:rPr>
              <w:t>Total</w:t>
            </w:r>
          </w:p>
        </w:tc>
        <w:tc>
          <w:tcPr>
            <w:tcW w:w="0" w:type="auto"/>
          </w:tcPr>
          <w:p w14:paraId="1BC568F0" w14:textId="77777777" w:rsidR="008A25C9" w:rsidRDefault="00000000">
            <w:pPr>
              <w:pStyle w:val="Compact"/>
            </w:pPr>
            <w:r>
              <w:rPr>
                <w:b/>
              </w:rPr>
              <w:t>100</w:t>
            </w:r>
          </w:p>
        </w:tc>
        <w:tc>
          <w:tcPr>
            <w:tcW w:w="0" w:type="auto"/>
          </w:tcPr>
          <w:p w14:paraId="7F57841E" w14:textId="77777777" w:rsidR="008A25C9" w:rsidRDefault="008A25C9"/>
        </w:tc>
      </w:tr>
    </w:tbl>
    <w:p w14:paraId="1E1176F4" w14:textId="77777777" w:rsidR="008A25C9" w:rsidRDefault="00000000">
      <w:pPr>
        <w:pStyle w:val="Heading3"/>
      </w:pPr>
      <w:bookmarkStart w:id="52" w:name="pillar-1.-data-14-points"/>
      <w:r>
        <w:t>Pillar 1. Data — 14 points</w:t>
      </w:r>
      <w:bookmarkEnd w:id="52"/>
    </w:p>
    <w:p w14:paraId="1F0D280A" w14:textId="77777777" w:rsidR="008A25C9" w:rsidRDefault="00000000">
      <w:pPr>
        <w:pStyle w:val="FirstParagraph"/>
      </w:pPr>
      <w:r>
        <w:t>Capable open-weights models have become cheap and widely available, so when everyone can get roughly the same models, your own private data — and the contracts and controls that protect it — becomes your strongest, hardest-to-copy advantage. The pillar scores four things: the corpus you hold, where it legally sits, what a provider may do with what you send, and what actually leaves your boundary at inference time.</w:t>
      </w:r>
    </w:p>
    <w:p w14:paraId="56C5C05A" w14:textId="77777777" w:rsidR="008A25C9" w:rsidRDefault="00000000">
      <w:pPr>
        <w:pStyle w:val="BodyText"/>
      </w:pPr>
      <w:r>
        <w:rPr>
          <w:b/>
        </w:rPr>
        <w:t>No-train and data-rights discipline.</w:t>
      </w:r>
      <w:r>
        <w:t xml:space="preserve"> The key contract terms: a clause barring the provider from using your inputs or outputs to train or tune models; retention limits (zero to 30 days); processing location (EU-only for sensitive data); named subprocessors; audit rights (at least annual SOC 2 Type II; on-site for regulated industries per DORA Article 30); ownership and deletion of fine-tune artifacts built from your data; and derived telemetry and embeddings under the same terms as the raw data.</w:t>
      </w:r>
    </w:p>
    <w:p w14:paraId="7B7129CA" w14:textId="77777777" w:rsidR="008A25C9" w:rsidRDefault="00000000">
      <w:pPr>
        <w:pStyle w:val="BodyText"/>
      </w:pPr>
      <w:r>
        <w:rPr>
          <w:b/>
        </w:rPr>
        <w:t>Data-egress boundary control.</w:t>
      </w:r>
      <w:r>
        <w:t xml:space="preserve"> Contracts govern what a provider may do; this governs whether data leaves at all — prompts, retrieved context (RAG), tool and agent calls, logs. </w:t>
      </w:r>
      <w:r>
        <w:rPr>
          <w:b/>
        </w:rPr>
        <w:t>IP and trade-secret exposure</w:t>
      </w:r>
      <w:r>
        <w:t xml:space="preserve"> is scored separately: whether high-sensitivity IP (source code, designs, unreleased financials, M&amp;A material) is kept out of, or isolated within, external model calls, with leakage monitoring. </w:t>
      </w:r>
      <w:r>
        <w:rPr>
          <w:b/>
        </w:rPr>
        <w:t>Synthetic data</w:t>
      </w:r>
      <w:r>
        <w:t xml:space="preserve"> plays a limited role: fine for padding and test cases, never the core of fine-tuning data (Shumailov et al., Nature 2024 — models trained mostly on model output degrade irreversibly). A </w:t>
      </w:r>
      <w:r>
        <w:rPr>
          <w:b/>
        </w:rPr>
        <w:t>sovereign-inference fallback</w:t>
      </w:r>
      <w:r>
        <w:t xml:space="preserve"> — what share of workloads could run in-house if egress had to stop tomorrow — is scored once, in the Models pillar, and credited here only by cross-reference.</w:t>
      </w:r>
    </w:p>
    <w:tbl>
      <w:tblPr>
        <w:tblStyle w:val="Table"/>
        <w:tblW w:w="5000" w:type="pct"/>
        <w:tblLook w:val="07E0" w:firstRow="1" w:lastRow="1" w:firstColumn="1" w:lastColumn="1" w:noHBand="1" w:noVBand="1"/>
      </w:tblPr>
      <w:tblGrid>
        <w:gridCol w:w="2329"/>
        <w:gridCol w:w="870"/>
        <w:gridCol w:w="585"/>
        <w:gridCol w:w="5576"/>
      </w:tblGrid>
      <w:tr w:rsidR="008A25C9" w14:paraId="7DADE8FE" w14:textId="77777777">
        <w:tc>
          <w:tcPr>
            <w:tcW w:w="0" w:type="auto"/>
            <w:tcBorders>
              <w:bottom w:val="single" w:sz="0" w:space="0" w:color="auto"/>
            </w:tcBorders>
            <w:vAlign w:val="bottom"/>
          </w:tcPr>
          <w:p w14:paraId="3F5D1634" w14:textId="77777777" w:rsidR="008A25C9" w:rsidRDefault="00000000">
            <w:pPr>
              <w:pStyle w:val="Compact"/>
            </w:pPr>
            <w:r>
              <w:t>Sub-indicator</w:t>
            </w:r>
          </w:p>
        </w:tc>
        <w:tc>
          <w:tcPr>
            <w:tcW w:w="0" w:type="auto"/>
            <w:tcBorders>
              <w:bottom w:val="single" w:sz="0" w:space="0" w:color="auto"/>
            </w:tcBorders>
            <w:vAlign w:val="bottom"/>
          </w:tcPr>
          <w:p w14:paraId="7129B16A" w14:textId="77777777" w:rsidR="008A25C9" w:rsidRDefault="00000000">
            <w:pPr>
              <w:pStyle w:val="Compact"/>
            </w:pPr>
            <w:r>
              <w:t>Points</w:t>
            </w:r>
          </w:p>
        </w:tc>
        <w:tc>
          <w:tcPr>
            <w:tcW w:w="0" w:type="auto"/>
            <w:tcBorders>
              <w:bottom w:val="single" w:sz="0" w:space="0" w:color="auto"/>
            </w:tcBorders>
            <w:vAlign w:val="bottom"/>
          </w:tcPr>
          <w:p w14:paraId="67881841" w14:textId="77777777" w:rsidR="008A25C9" w:rsidRDefault="00000000">
            <w:pPr>
              <w:pStyle w:val="Compact"/>
            </w:pPr>
            <w:r>
              <w:t>R/A</w:t>
            </w:r>
          </w:p>
        </w:tc>
        <w:tc>
          <w:tcPr>
            <w:tcW w:w="0" w:type="auto"/>
            <w:tcBorders>
              <w:bottom w:val="single" w:sz="0" w:space="0" w:color="auto"/>
            </w:tcBorders>
            <w:vAlign w:val="bottom"/>
          </w:tcPr>
          <w:p w14:paraId="6B177344" w14:textId="77777777" w:rsidR="008A25C9" w:rsidRDefault="00000000">
            <w:pPr>
              <w:pStyle w:val="Compact"/>
            </w:pPr>
            <w:r>
              <w:t>Evidence expected</w:t>
            </w:r>
          </w:p>
        </w:tc>
      </w:tr>
      <w:tr w:rsidR="008A25C9" w14:paraId="1CF7249C" w14:textId="77777777">
        <w:tc>
          <w:tcPr>
            <w:tcW w:w="0" w:type="auto"/>
          </w:tcPr>
          <w:p w14:paraId="13D04AB1" w14:textId="77777777" w:rsidR="008A25C9" w:rsidRDefault="00000000">
            <w:pPr>
              <w:pStyle w:val="Compact"/>
            </w:pPr>
            <w:r>
              <w:t>Own corpus and quality</w:t>
            </w:r>
          </w:p>
        </w:tc>
        <w:tc>
          <w:tcPr>
            <w:tcW w:w="0" w:type="auto"/>
          </w:tcPr>
          <w:p w14:paraId="38CE29DD" w14:textId="77777777" w:rsidR="008A25C9" w:rsidRDefault="00000000">
            <w:pPr>
              <w:pStyle w:val="Compact"/>
            </w:pPr>
            <w:r>
              <w:t>5</w:t>
            </w:r>
          </w:p>
        </w:tc>
        <w:tc>
          <w:tcPr>
            <w:tcW w:w="0" w:type="auto"/>
          </w:tcPr>
          <w:p w14:paraId="5828DAA7" w14:textId="77777777" w:rsidR="008A25C9" w:rsidRDefault="00000000">
            <w:pPr>
              <w:pStyle w:val="Compact"/>
            </w:pPr>
            <w:r>
              <w:t>A</w:t>
            </w:r>
          </w:p>
        </w:tc>
        <w:tc>
          <w:tcPr>
            <w:tcW w:w="0" w:type="auto"/>
          </w:tcPr>
          <w:p w14:paraId="32590A91" w14:textId="77777777" w:rsidR="008A25C9" w:rsidRDefault="00000000">
            <w:pPr>
              <w:pStyle w:val="Compact"/>
            </w:pPr>
            <w:r>
              <w:t>Volume and purity of fine-tuning data; domain coverage</w:t>
            </w:r>
          </w:p>
        </w:tc>
      </w:tr>
      <w:tr w:rsidR="008A25C9" w14:paraId="3481E692" w14:textId="77777777">
        <w:tc>
          <w:tcPr>
            <w:tcW w:w="0" w:type="auto"/>
          </w:tcPr>
          <w:p w14:paraId="50443688" w14:textId="77777777" w:rsidR="008A25C9" w:rsidRDefault="00000000">
            <w:pPr>
              <w:pStyle w:val="Compact"/>
            </w:pPr>
            <w:r>
              <w:t>Residency and legal regime</w:t>
            </w:r>
          </w:p>
        </w:tc>
        <w:tc>
          <w:tcPr>
            <w:tcW w:w="0" w:type="auto"/>
          </w:tcPr>
          <w:p w14:paraId="63ECF2A5" w14:textId="77777777" w:rsidR="008A25C9" w:rsidRDefault="00000000">
            <w:pPr>
              <w:pStyle w:val="Compact"/>
            </w:pPr>
            <w:r>
              <w:t>3</w:t>
            </w:r>
          </w:p>
        </w:tc>
        <w:tc>
          <w:tcPr>
            <w:tcW w:w="0" w:type="auto"/>
          </w:tcPr>
          <w:p w14:paraId="14258BB8" w14:textId="77777777" w:rsidR="008A25C9" w:rsidRDefault="00000000">
            <w:pPr>
              <w:pStyle w:val="Compact"/>
            </w:pPr>
            <w:r>
              <w:t>R</w:t>
            </w:r>
          </w:p>
        </w:tc>
        <w:tc>
          <w:tcPr>
            <w:tcW w:w="0" w:type="auto"/>
          </w:tcPr>
          <w:p w14:paraId="7F6DDB45" w14:textId="77777777" w:rsidR="008A25C9" w:rsidRDefault="00000000">
            <w:pPr>
              <w:pStyle w:val="Compact"/>
            </w:pPr>
            <w:r>
              <w:t>Jurisdiction of storage and processing; CLOUD Act exposure; SCCs</w:t>
            </w:r>
          </w:p>
        </w:tc>
      </w:tr>
      <w:tr w:rsidR="008A25C9" w14:paraId="0ED8B1E2" w14:textId="77777777">
        <w:tc>
          <w:tcPr>
            <w:tcW w:w="0" w:type="auto"/>
          </w:tcPr>
          <w:p w14:paraId="7677364B" w14:textId="77777777" w:rsidR="008A25C9" w:rsidRDefault="00000000">
            <w:pPr>
              <w:pStyle w:val="Compact"/>
            </w:pPr>
            <w:r>
              <w:t>Instruction and evaluation data</w:t>
            </w:r>
          </w:p>
        </w:tc>
        <w:tc>
          <w:tcPr>
            <w:tcW w:w="0" w:type="auto"/>
          </w:tcPr>
          <w:p w14:paraId="566AD17B" w14:textId="77777777" w:rsidR="008A25C9" w:rsidRDefault="00000000">
            <w:pPr>
              <w:pStyle w:val="Compact"/>
            </w:pPr>
            <w:r>
              <w:t>1</w:t>
            </w:r>
          </w:p>
        </w:tc>
        <w:tc>
          <w:tcPr>
            <w:tcW w:w="0" w:type="auto"/>
          </w:tcPr>
          <w:p w14:paraId="5AF34DA6" w14:textId="77777777" w:rsidR="008A25C9" w:rsidRDefault="00000000">
            <w:pPr>
              <w:pStyle w:val="Compact"/>
            </w:pPr>
            <w:r>
              <w:t>A</w:t>
            </w:r>
          </w:p>
        </w:tc>
        <w:tc>
          <w:tcPr>
            <w:tcW w:w="0" w:type="auto"/>
          </w:tcPr>
          <w:p w14:paraId="42F6BDB5" w14:textId="77777777" w:rsidR="008A25C9" w:rsidRDefault="00000000">
            <w:pPr>
              <w:pStyle w:val="Compact"/>
            </w:pPr>
            <w:r>
              <w:t>Own preference pairs; domain benchmarks</w:t>
            </w:r>
          </w:p>
        </w:tc>
      </w:tr>
      <w:tr w:rsidR="008A25C9" w14:paraId="001F6CA4" w14:textId="77777777">
        <w:tc>
          <w:tcPr>
            <w:tcW w:w="0" w:type="auto"/>
          </w:tcPr>
          <w:p w14:paraId="2A2CD883" w14:textId="77777777" w:rsidR="008A25C9" w:rsidRDefault="00000000">
            <w:pPr>
              <w:pStyle w:val="Compact"/>
            </w:pPr>
            <w:r>
              <w:t>No-train and data-rights discipline</w:t>
            </w:r>
          </w:p>
        </w:tc>
        <w:tc>
          <w:tcPr>
            <w:tcW w:w="0" w:type="auto"/>
          </w:tcPr>
          <w:p w14:paraId="157ACFEA" w14:textId="77777777" w:rsidR="008A25C9" w:rsidRDefault="00000000">
            <w:pPr>
              <w:pStyle w:val="Compact"/>
            </w:pPr>
            <w:r>
              <w:t>2</w:t>
            </w:r>
          </w:p>
        </w:tc>
        <w:tc>
          <w:tcPr>
            <w:tcW w:w="0" w:type="auto"/>
          </w:tcPr>
          <w:p w14:paraId="238711EF" w14:textId="77777777" w:rsidR="008A25C9" w:rsidRDefault="00000000">
            <w:pPr>
              <w:pStyle w:val="Compact"/>
            </w:pPr>
            <w:r>
              <w:t>R</w:t>
            </w:r>
          </w:p>
        </w:tc>
        <w:tc>
          <w:tcPr>
            <w:tcW w:w="0" w:type="auto"/>
          </w:tcPr>
          <w:p w14:paraId="0FC7D412" w14:textId="77777777" w:rsidR="008A25C9" w:rsidRDefault="00000000">
            <w:pPr>
              <w:pStyle w:val="Compact"/>
            </w:pPr>
            <w:r>
              <w:t>Clause quality; audit rights; retention; artifact ownership</w:t>
            </w:r>
          </w:p>
        </w:tc>
      </w:tr>
      <w:tr w:rsidR="008A25C9" w14:paraId="39CE9B71" w14:textId="77777777">
        <w:tc>
          <w:tcPr>
            <w:tcW w:w="0" w:type="auto"/>
          </w:tcPr>
          <w:p w14:paraId="50978899" w14:textId="77777777" w:rsidR="008A25C9" w:rsidRDefault="00000000">
            <w:pPr>
              <w:pStyle w:val="Compact"/>
            </w:pPr>
            <w:r>
              <w:t xml:space="preserve">Data-egress </w:t>
            </w:r>
            <w:r>
              <w:lastRenderedPageBreak/>
              <w:t>boundary control</w:t>
            </w:r>
          </w:p>
        </w:tc>
        <w:tc>
          <w:tcPr>
            <w:tcW w:w="0" w:type="auto"/>
          </w:tcPr>
          <w:p w14:paraId="60603830" w14:textId="77777777" w:rsidR="008A25C9" w:rsidRDefault="00000000">
            <w:pPr>
              <w:pStyle w:val="Compact"/>
            </w:pPr>
            <w:r>
              <w:lastRenderedPageBreak/>
              <w:t>2</w:t>
            </w:r>
          </w:p>
        </w:tc>
        <w:tc>
          <w:tcPr>
            <w:tcW w:w="0" w:type="auto"/>
          </w:tcPr>
          <w:p w14:paraId="66587329" w14:textId="77777777" w:rsidR="008A25C9" w:rsidRDefault="00000000">
            <w:pPr>
              <w:pStyle w:val="Compact"/>
            </w:pPr>
            <w:r>
              <w:t>R</w:t>
            </w:r>
          </w:p>
        </w:tc>
        <w:tc>
          <w:tcPr>
            <w:tcW w:w="0" w:type="auto"/>
          </w:tcPr>
          <w:p w14:paraId="6A46D10C" w14:textId="77777777" w:rsidR="008A25C9" w:rsidRDefault="00000000">
            <w:pPr>
              <w:pStyle w:val="Compact"/>
            </w:pPr>
            <w:r>
              <w:t xml:space="preserve">Classification policy; AI gateway with logging; </w:t>
            </w:r>
            <w:r>
              <w:lastRenderedPageBreak/>
              <w:t>redaction/DLP; private inference for the most sensitive classes</w:t>
            </w:r>
          </w:p>
        </w:tc>
      </w:tr>
      <w:tr w:rsidR="008A25C9" w14:paraId="314E6F01" w14:textId="77777777">
        <w:tc>
          <w:tcPr>
            <w:tcW w:w="0" w:type="auto"/>
          </w:tcPr>
          <w:p w14:paraId="462E0EF9" w14:textId="77777777" w:rsidR="008A25C9" w:rsidRDefault="00000000">
            <w:pPr>
              <w:pStyle w:val="Compact"/>
            </w:pPr>
            <w:r>
              <w:lastRenderedPageBreak/>
              <w:t>IP and trade-secret exposure</w:t>
            </w:r>
          </w:p>
        </w:tc>
        <w:tc>
          <w:tcPr>
            <w:tcW w:w="0" w:type="auto"/>
          </w:tcPr>
          <w:p w14:paraId="700146E3" w14:textId="77777777" w:rsidR="008A25C9" w:rsidRDefault="00000000">
            <w:pPr>
              <w:pStyle w:val="Compact"/>
            </w:pPr>
            <w:r>
              <w:t>1</w:t>
            </w:r>
          </w:p>
        </w:tc>
        <w:tc>
          <w:tcPr>
            <w:tcW w:w="0" w:type="auto"/>
          </w:tcPr>
          <w:p w14:paraId="7C0969E6" w14:textId="77777777" w:rsidR="008A25C9" w:rsidRDefault="00000000">
            <w:pPr>
              <w:pStyle w:val="Compact"/>
            </w:pPr>
            <w:r>
              <w:t>R</w:t>
            </w:r>
          </w:p>
        </w:tc>
        <w:tc>
          <w:tcPr>
            <w:tcW w:w="0" w:type="auto"/>
          </w:tcPr>
          <w:p w14:paraId="10308AED" w14:textId="77777777" w:rsidR="008A25C9" w:rsidRDefault="00000000">
            <w:pPr>
              <w:pStyle w:val="Compact"/>
            </w:pPr>
            <w:r>
              <w:t>Sensitive-IP classes blocked or isolated; leakage monitoring</w:t>
            </w:r>
          </w:p>
        </w:tc>
      </w:tr>
    </w:tbl>
    <w:p w14:paraId="29054917" w14:textId="77777777" w:rsidR="008A25C9" w:rsidRDefault="00000000">
      <w:pPr>
        <w:pStyle w:val="Heading3"/>
      </w:pPr>
      <w:bookmarkStart w:id="53" w:name="pillar-2.-models-16-points"/>
      <w:r>
        <w:t>Pillar 2. Models — 16 points</w:t>
      </w:r>
      <w:bookmarkEnd w:id="53"/>
    </w:p>
    <w:p w14:paraId="4AD1B505" w14:textId="77777777" w:rsidR="008A25C9" w:rsidRDefault="00000000">
      <w:pPr>
        <w:pStyle w:val="FirstParagraph"/>
      </w:pPr>
      <w:r>
        <w:t>Three questions: do you spread your bets across models, providers, and jurisdictions; can you fine-tune on your own data; and do you have a model you can run yourself if a Version Deadlock hits.</w:t>
      </w:r>
    </w:p>
    <w:p w14:paraId="6A1A6D76" w14:textId="77777777" w:rsidR="008A25C9" w:rsidRDefault="00000000">
      <w:pPr>
        <w:pStyle w:val="BodyText"/>
      </w:pPr>
      <w:r>
        <w:rPr>
          <w:b/>
        </w:rPr>
        <w:t>The five-level ladder, applied corporately</w:t>
      </w:r>
      <w:r>
        <w:t xml:space="preserve"> (anchors L0–L4 = 0/4/11/13/16):</w:t>
      </w:r>
    </w:p>
    <w:tbl>
      <w:tblPr>
        <w:tblStyle w:val="Table"/>
        <w:tblW w:w="5000" w:type="pct"/>
        <w:tblLook w:val="07E0" w:firstRow="1" w:lastRow="1" w:firstColumn="1" w:lastColumn="1" w:noHBand="1" w:noVBand="1"/>
      </w:tblPr>
      <w:tblGrid>
        <w:gridCol w:w="755"/>
        <w:gridCol w:w="870"/>
        <w:gridCol w:w="4091"/>
        <w:gridCol w:w="3644"/>
      </w:tblGrid>
      <w:tr w:rsidR="008A25C9" w14:paraId="34C8DC0E" w14:textId="77777777">
        <w:tc>
          <w:tcPr>
            <w:tcW w:w="0" w:type="auto"/>
            <w:tcBorders>
              <w:bottom w:val="single" w:sz="0" w:space="0" w:color="auto"/>
            </w:tcBorders>
            <w:vAlign w:val="bottom"/>
          </w:tcPr>
          <w:p w14:paraId="12E6303F" w14:textId="77777777" w:rsidR="008A25C9" w:rsidRDefault="00000000">
            <w:pPr>
              <w:pStyle w:val="Compact"/>
            </w:pPr>
            <w:r>
              <w:t>Level</w:t>
            </w:r>
          </w:p>
        </w:tc>
        <w:tc>
          <w:tcPr>
            <w:tcW w:w="0" w:type="auto"/>
            <w:tcBorders>
              <w:bottom w:val="single" w:sz="0" w:space="0" w:color="auto"/>
            </w:tcBorders>
            <w:vAlign w:val="bottom"/>
          </w:tcPr>
          <w:p w14:paraId="23D59557" w14:textId="77777777" w:rsidR="008A25C9" w:rsidRDefault="00000000">
            <w:pPr>
              <w:pStyle w:val="Compact"/>
            </w:pPr>
            <w:r>
              <w:t>Points</w:t>
            </w:r>
          </w:p>
        </w:tc>
        <w:tc>
          <w:tcPr>
            <w:tcW w:w="0" w:type="auto"/>
            <w:tcBorders>
              <w:bottom w:val="single" w:sz="0" w:space="0" w:color="auto"/>
            </w:tcBorders>
            <w:vAlign w:val="bottom"/>
          </w:tcPr>
          <w:p w14:paraId="53CEE3C6" w14:textId="77777777" w:rsidR="008A25C9" w:rsidRDefault="00000000">
            <w:pPr>
              <w:pStyle w:val="Compact"/>
            </w:pPr>
            <w:r>
              <w:t>Corporate profile</w:t>
            </w:r>
          </w:p>
        </w:tc>
        <w:tc>
          <w:tcPr>
            <w:tcW w:w="0" w:type="auto"/>
            <w:tcBorders>
              <w:bottom w:val="single" w:sz="0" w:space="0" w:color="auto"/>
            </w:tcBorders>
            <w:vAlign w:val="bottom"/>
          </w:tcPr>
          <w:p w14:paraId="43051379" w14:textId="77777777" w:rsidR="008A25C9" w:rsidRDefault="00000000">
            <w:pPr>
              <w:pStyle w:val="Compact"/>
            </w:pPr>
            <w:r>
              <w:t>Note</w:t>
            </w:r>
          </w:p>
        </w:tc>
      </w:tr>
      <w:tr w:rsidR="008A25C9" w14:paraId="40983649" w14:textId="77777777">
        <w:tc>
          <w:tcPr>
            <w:tcW w:w="0" w:type="auto"/>
          </w:tcPr>
          <w:p w14:paraId="18AEC96C" w14:textId="77777777" w:rsidR="008A25C9" w:rsidRDefault="00000000">
            <w:pPr>
              <w:pStyle w:val="Compact"/>
            </w:pPr>
            <w:r>
              <w:t>L0</w:t>
            </w:r>
          </w:p>
        </w:tc>
        <w:tc>
          <w:tcPr>
            <w:tcW w:w="0" w:type="auto"/>
          </w:tcPr>
          <w:p w14:paraId="047200E4" w14:textId="77777777" w:rsidR="008A25C9" w:rsidRDefault="00000000">
            <w:pPr>
              <w:pStyle w:val="Compact"/>
            </w:pPr>
            <w:r>
              <w:t>0</w:t>
            </w:r>
          </w:p>
        </w:tc>
        <w:tc>
          <w:tcPr>
            <w:tcW w:w="0" w:type="auto"/>
          </w:tcPr>
          <w:p w14:paraId="2498D756" w14:textId="77777777" w:rsidR="008A25C9" w:rsidRDefault="00000000">
            <w:pPr>
              <w:pStyle w:val="Compact"/>
            </w:pPr>
            <w:r>
              <w:t>Entirely on frontier APIs with no fallback</w:t>
            </w:r>
          </w:p>
        </w:tc>
        <w:tc>
          <w:tcPr>
            <w:tcW w:w="0" w:type="auto"/>
          </w:tcPr>
          <w:p w14:paraId="1689D40A" w14:textId="77777777" w:rsidR="008A25C9" w:rsidRDefault="00000000">
            <w:pPr>
              <w:pStyle w:val="Compact"/>
            </w:pPr>
            <w:r>
              <w:t>CLOUD Act + Version Deadlock exposure</w:t>
            </w:r>
          </w:p>
        </w:tc>
      </w:tr>
      <w:tr w:rsidR="008A25C9" w14:paraId="6762A9F4" w14:textId="77777777">
        <w:tc>
          <w:tcPr>
            <w:tcW w:w="0" w:type="auto"/>
          </w:tcPr>
          <w:p w14:paraId="2A676045" w14:textId="77777777" w:rsidR="008A25C9" w:rsidRDefault="00000000">
            <w:pPr>
              <w:pStyle w:val="Compact"/>
            </w:pPr>
            <w:r>
              <w:t>L1</w:t>
            </w:r>
          </w:p>
        </w:tc>
        <w:tc>
          <w:tcPr>
            <w:tcW w:w="0" w:type="auto"/>
          </w:tcPr>
          <w:p w14:paraId="5AE4F10F" w14:textId="77777777" w:rsidR="008A25C9" w:rsidRDefault="00000000">
            <w:pPr>
              <w:pStyle w:val="Compact"/>
            </w:pPr>
            <w:r>
              <w:t>4</w:t>
            </w:r>
          </w:p>
        </w:tc>
        <w:tc>
          <w:tcPr>
            <w:tcW w:w="0" w:type="auto"/>
          </w:tcPr>
          <w:p w14:paraId="1C00BCEB" w14:textId="77777777" w:rsidR="008A25C9" w:rsidRDefault="00000000">
            <w:pPr>
              <w:pStyle w:val="Compact"/>
            </w:pPr>
            <w:r>
              <w:t>On-prem open-weights fallback, no fine-tune</w:t>
            </w:r>
          </w:p>
        </w:tc>
        <w:tc>
          <w:tcPr>
            <w:tcW w:w="0" w:type="auto"/>
          </w:tcPr>
          <w:p w14:paraId="635C4F7F" w14:textId="77777777" w:rsidR="008A25C9" w:rsidRDefault="00000000">
            <w:pPr>
              <w:pStyle w:val="Compact"/>
            </w:pPr>
            <w:r>
              <w:t>Physical control only</w:t>
            </w:r>
          </w:p>
        </w:tc>
      </w:tr>
      <w:tr w:rsidR="008A25C9" w14:paraId="64CCA654" w14:textId="77777777">
        <w:tc>
          <w:tcPr>
            <w:tcW w:w="0" w:type="auto"/>
          </w:tcPr>
          <w:p w14:paraId="4F1EE848" w14:textId="77777777" w:rsidR="008A25C9" w:rsidRDefault="00000000">
            <w:pPr>
              <w:pStyle w:val="Compact"/>
            </w:pPr>
            <w:r>
              <w:t>L2</w:t>
            </w:r>
          </w:p>
        </w:tc>
        <w:tc>
          <w:tcPr>
            <w:tcW w:w="0" w:type="auto"/>
          </w:tcPr>
          <w:p w14:paraId="6FC1E88C" w14:textId="77777777" w:rsidR="008A25C9" w:rsidRDefault="00000000">
            <w:pPr>
              <w:pStyle w:val="Compact"/>
            </w:pPr>
            <w:r>
              <w:t>11</w:t>
            </w:r>
          </w:p>
        </w:tc>
        <w:tc>
          <w:tcPr>
            <w:tcW w:w="0" w:type="auto"/>
          </w:tcPr>
          <w:p w14:paraId="7D032D41" w14:textId="77777777" w:rsidR="008A25C9" w:rsidRDefault="00000000">
            <w:pPr>
              <w:pStyle w:val="Compact"/>
            </w:pPr>
            <w:r>
              <w:t>Product-level fine-tune on open weights</w:t>
            </w:r>
          </w:p>
        </w:tc>
        <w:tc>
          <w:tcPr>
            <w:tcW w:w="0" w:type="auto"/>
          </w:tcPr>
          <w:p w14:paraId="7DEC141D" w14:textId="77777777" w:rsidR="008A25C9" w:rsidRDefault="00000000">
            <w:pPr>
              <w:pStyle w:val="Compact"/>
            </w:pPr>
            <w:r>
              <w:t>Fine-tune capability; open fallback</w:t>
            </w:r>
          </w:p>
        </w:tc>
      </w:tr>
      <w:tr w:rsidR="008A25C9" w14:paraId="311C275F" w14:textId="77777777">
        <w:tc>
          <w:tcPr>
            <w:tcW w:w="0" w:type="auto"/>
          </w:tcPr>
          <w:p w14:paraId="1A15BFDB" w14:textId="77777777" w:rsidR="008A25C9" w:rsidRDefault="00000000">
            <w:pPr>
              <w:pStyle w:val="Compact"/>
            </w:pPr>
            <w:r>
              <w:t>L3</w:t>
            </w:r>
          </w:p>
        </w:tc>
        <w:tc>
          <w:tcPr>
            <w:tcW w:w="0" w:type="auto"/>
          </w:tcPr>
          <w:p w14:paraId="4F6DF825" w14:textId="77777777" w:rsidR="008A25C9" w:rsidRDefault="00000000">
            <w:pPr>
              <w:pStyle w:val="Compact"/>
            </w:pPr>
            <w:r>
              <w:t>13</w:t>
            </w:r>
          </w:p>
        </w:tc>
        <w:tc>
          <w:tcPr>
            <w:tcW w:w="0" w:type="auto"/>
          </w:tcPr>
          <w:p w14:paraId="48D57723" w14:textId="77777777" w:rsidR="008A25C9" w:rsidRDefault="00000000">
            <w:pPr>
              <w:pStyle w:val="Compact"/>
            </w:pPr>
            <w:r>
              <w:t>Domain-specific from-scratch models</w:t>
            </w:r>
          </w:p>
        </w:tc>
        <w:tc>
          <w:tcPr>
            <w:tcW w:w="0" w:type="auto"/>
          </w:tcPr>
          <w:p w14:paraId="40484F6F" w14:textId="77777777" w:rsidR="008A25C9" w:rsidRDefault="00000000">
            <w:pPr>
              <w:pStyle w:val="Compact"/>
            </w:pPr>
            <w:r>
              <w:t>Rare; only for very specialised needs</w:t>
            </w:r>
          </w:p>
        </w:tc>
      </w:tr>
      <w:tr w:rsidR="008A25C9" w14:paraId="5617489E" w14:textId="77777777">
        <w:tc>
          <w:tcPr>
            <w:tcW w:w="0" w:type="auto"/>
          </w:tcPr>
          <w:p w14:paraId="201F3D62" w14:textId="77777777" w:rsidR="008A25C9" w:rsidRDefault="00000000">
            <w:pPr>
              <w:pStyle w:val="Compact"/>
            </w:pPr>
            <w:r>
              <w:t>L4</w:t>
            </w:r>
          </w:p>
        </w:tc>
        <w:tc>
          <w:tcPr>
            <w:tcW w:w="0" w:type="auto"/>
          </w:tcPr>
          <w:p w14:paraId="69829238" w14:textId="77777777" w:rsidR="008A25C9" w:rsidRDefault="00000000">
            <w:pPr>
              <w:pStyle w:val="Compact"/>
            </w:pPr>
            <w:r>
              <w:t>16</w:t>
            </w:r>
          </w:p>
        </w:tc>
        <w:tc>
          <w:tcPr>
            <w:tcW w:w="0" w:type="auto"/>
          </w:tcPr>
          <w:p w14:paraId="51306255" w14:textId="77777777" w:rsidR="008A25C9" w:rsidRDefault="00000000">
            <w:pPr>
              <w:pStyle w:val="Compact"/>
            </w:pPr>
            <w:r>
              <w:t>Foundation-model companies</w:t>
            </w:r>
          </w:p>
        </w:tc>
        <w:tc>
          <w:tcPr>
            <w:tcW w:w="0" w:type="auto"/>
          </w:tcPr>
          <w:p w14:paraId="4839379C" w14:textId="77777777" w:rsidR="008A25C9" w:rsidRDefault="00000000">
            <w:pPr>
              <w:pStyle w:val="Compact"/>
            </w:pPr>
            <w:r>
              <w:t>Not themselves assessed on AI-SAF-C</w:t>
            </w:r>
          </w:p>
        </w:tc>
      </w:tr>
    </w:tbl>
    <w:p w14:paraId="5649B348" w14:textId="77777777" w:rsidR="008A25C9" w:rsidRDefault="00000000">
      <w:pPr>
        <w:pStyle w:val="BodyText"/>
      </w:pPr>
      <w:r>
        <w:t>Most companies should aim for L2. The ladder anchors the level; points are earned through the sub-indicators, which sum to 16, with the anchor as reference.</w:t>
      </w:r>
    </w:p>
    <w:p w14:paraId="646FC1D9" w14:textId="77777777" w:rsidR="008A25C9" w:rsidRDefault="00000000">
      <w:pPr>
        <w:pStyle w:val="BodyText"/>
      </w:pPr>
      <w:r>
        <w:rPr>
          <w:b/>
        </w:rPr>
        <w:t>Portfolio and jurisdiction diversification.</w:t>
      </w:r>
      <w:r>
        <w:t xml:space="preserve"> The June 2026 Fable 5 / Mythos 5 suspension changed what diversification means. A portfolio of two or three providers all under the same jurisdiction is not diversified against the risk that actually materialised: a directive that in principle reached every customer of every US frontier vendor at once. The sub-indicator therefore scores </w:t>
      </w:r>
      <w:r>
        <w:rPr>
          <w:i/>
        </w:rPr>
        <w:t>legal regimes</w:t>
      </w:r>
      <w:r>
        <w:t>, not logos: US-jurisdiction frontier APIs, EU-jurisdiction providers, and self-hosted open weights (which carry no provider jurisdiction at inference) count as distinct classes. A portfolio of three US providers scores at most 2 of 5; provider count within a class adds at most 1 further point. A well-built portfolio runs three layers: a primary frontier service for the highest-quality work; a second provider — ideally in a different jurisdiction — shadow-tested quarterly; and a self-run open-weights model, fine-tuned to your domain, carrying real traffic daily rather than sitting idle. Real resilience degrades gradually rather than stopping dead.</w:t>
      </w:r>
    </w:p>
    <w:tbl>
      <w:tblPr>
        <w:tblStyle w:val="Table"/>
        <w:tblW w:w="5000" w:type="pct"/>
        <w:tblLook w:val="07E0" w:firstRow="1" w:lastRow="1" w:firstColumn="1" w:lastColumn="1" w:noHBand="1" w:noVBand="1"/>
      </w:tblPr>
      <w:tblGrid>
        <w:gridCol w:w="2849"/>
        <w:gridCol w:w="870"/>
        <w:gridCol w:w="585"/>
        <w:gridCol w:w="5056"/>
      </w:tblGrid>
      <w:tr w:rsidR="008A25C9" w14:paraId="14783D8C" w14:textId="77777777">
        <w:tc>
          <w:tcPr>
            <w:tcW w:w="0" w:type="auto"/>
            <w:tcBorders>
              <w:bottom w:val="single" w:sz="0" w:space="0" w:color="auto"/>
            </w:tcBorders>
            <w:vAlign w:val="bottom"/>
          </w:tcPr>
          <w:p w14:paraId="2E6C82DE" w14:textId="77777777" w:rsidR="008A25C9" w:rsidRDefault="00000000">
            <w:pPr>
              <w:pStyle w:val="Compact"/>
            </w:pPr>
            <w:r>
              <w:t>Sub-indicator</w:t>
            </w:r>
          </w:p>
        </w:tc>
        <w:tc>
          <w:tcPr>
            <w:tcW w:w="0" w:type="auto"/>
            <w:tcBorders>
              <w:bottom w:val="single" w:sz="0" w:space="0" w:color="auto"/>
            </w:tcBorders>
            <w:vAlign w:val="bottom"/>
          </w:tcPr>
          <w:p w14:paraId="13E53ABE" w14:textId="77777777" w:rsidR="008A25C9" w:rsidRDefault="00000000">
            <w:pPr>
              <w:pStyle w:val="Compact"/>
            </w:pPr>
            <w:r>
              <w:t>Points</w:t>
            </w:r>
          </w:p>
        </w:tc>
        <w:tc>
          <w:tcPr>
            <w:tcW w:w="0" w:type="auto"/>
            <w:tcBorders>
              <w:bottom w:val="single" w:sz="0" w:space="0" w:color="auto"/>
            </w:tcBorders>
            <w:vAlign w:val="bottom"/>
          </w:tcPr>
          <w:p w14:paraId="5C0B586C" w14:textId="77777777" w:rsidR="008A25C9" w:rsidRDefault="00000000">
            <w:pPr>
              <w:pStyle w:val="Compact"/>
            </w:pPr>
            <w:r>
              <w:t>R/A</w:t>
            </w:r>
          </w:p>
        </w:tc>
        <w:tc>
          <w:tcPr>
            <w:tcW w:w="0" w:type="auto"/>
            <w:tcBorders>
              <w:bottom w:val="single" w:sz="0" w:space="0" w:color="auto"/>
            </w:tcBorders>
            <w:vAlign w:val="bottom"/>
          </w:tcPr>
          <w:p w14:paraId="3A4C196D" w14:textId="77777777" w:rsidR="008A25C9" w:rsidRDefault="00000000">
            <w:pPr>
              <w:pStyle w:val="Compact"/>
            </w:pPr>
            <w:r>
              <w:t>Evidence expected</w:t>
            </w:r>
          </w:p>
        </w:tc>
      </w:tr>
      <w:tr w:rsidR="008A25C9" w14:paraId="1255854D" w14:textId="77777777">
        <w:tc>
          <w:tcPr>
            <w:tcW w:w="0" w:type="auto"/>
          </w:tcPr>
          <w:p w14:paraId="63DDDA41" w14:textId="77777777" w:rsidR="008A25C9" w:rsidRDefault="00000000">
            <w:pPr>
              <w:pStyle w:val="Compact"/>
            </w:pPr>
            <w:r>
              <w:t>Portfolio and jurisdiction diversification</w:t>
            </w:r>
          </w:p>
        </w:tc>
        <w:tc>
          <w:tcPr>
            <w:tcW w:w="0" w:type="auto"/>
          </w:tcPr>
          <w:p w14:paraId="510AEADF" w14:textId="77777777" w:rsidR="008A25C9" w:rsidRDefault="00000000">
            <w:pPr>
              <w:pStyle w:val="Compact"/>
            </w:pPr>
            <w:r>
              <w:t>5</w:t>
            </w:r>
          </w:p>
        </w:tc>
        <w:tc>
          <w:tcPr>
            <w:tcW w:w="0" w:type="auto"/>
          </w:tcPr>
          <w:p w14:paraId="2AE13F22" w14:textId="77777777" w:rsidR="008A25C9" w:rsidRDefault="00000000">
            <w:pPr>
              <w:pStyle w:val="Compact"/>
            </w:pPr>
            <w:r>
              <w:t>R</w:t>
            </w:r>
          </w:p>
        </w:tc>
        <w:tc>
          <w:tcPr>
            <w:tcW w:w="0" w:type="auto"/>
          </w:tcPr>
          <w:p w14:paraId="1E3FD831" w14:textId="77777777" w:rsidR="008A25C9" w:rsidRDefault="00000000">
            <w:pPr>
              <w:pStyle w:val="Compact"/>
            </w:pPr>
            <w:r>
              <w:t>Distinct legal regimes in live use; active traffic split; ≤2 of 5 for single-jurisdiction portfolios</w:t>
            </w:r>
          </w:p>
        </w:tc>
      </w:tr>
      <w:tr w:rsidR="008A25C9" w14:paraId="06F9B036" w14:textId="77777777">
        <w:tc>
          <w:tcPr>
            <w:tcW w:w="0" w:type="auto"/>
          </w:tcPr>
          <w:p w14:paraId="75E7A8F8" w14:textId="77777777" w:rsidR="008A25C9" w:rsidRDefault="00000000">
            <w:pPr>
              <w:pStyle w:val="Compact"/>
            </w:pPr>
            <w:r>
              <w:lastRenderedPageBreak/>
              <w:t>Fine-tune capability</w:t>
            </w:r>
          </w:p>
        </w:tc>
        <w:tc>
          <w:tcPr>
            <w:tcW w:w="0" w:type="auto"/>
          </w:tcPr>
          <w:p w14:paraId="534A35AB" w14:textId="77777777" w:rsidR="008A25C9" w:rsidRDefault="00000000">
            <w:pPr>
              <w:pStyle w:val="Compact"/>
            </w:pPr>
            <w:r>
              <w:t>5</w:t>
            </w:r>
          </w:p>
        </w:tc>
        <w:tc>
          <w:tcPr>
            <w:tcW w:w="0" w:type="auto"/>
          </w:tcPr>
          <w:p w14:paraId="60F9B976" w14:textId="77777777" w:rsidR="008A25C9" w:rsidRDefault="00000000">
            <w:pPr>
              <w:pStyle w:val="Compact"/>
            </w:pPr>
            <w:r>
              <w:t>A</w:t>
            </w:r>
          </w:p>
        </w:tc>
        <w:tc>
          <w:tcPr>
            <w:tcW w:w="0" w:type="auto"/>
          </w:tcPr>
          <w:p w14:paraId="674CC3A0" w14:textId="77777777" w:rsidR="008A25C9" w:rsidRDefault="00000000">
            <w:pPr>
              <w:pStyle w:val="Compact"/>
            </w:pPr>
            <w:r>
              <w:t>L2 capability; fine-tuned models in production</w:t>
            </w:r>
          </w:p>
        </w:tc>
      </w:tr>
      <w:tr w:rsidR="008A25C9" w14:paraId="62E4EB32" w14:textId="77777777">
        <w:tc>
          <w:tcPr>
            <w:tcW w:w="0" w:type="auto"/>
          </w:tcPr>
          <w:p w14:paraId="33E9CE5A" w14:textId="77777777" w:rsidR="008A25C9" w:rsidRDefault="00000000">
            <w:pPr>
              <w:pStyle w:val="Compact"/>
            </w:pPr>
            <w:r>
              <w:t>Open-weights fallback</w:t>
            </w:r>
          </w:p>
        </w:tc>
        <w:tc>
          <w:tcPr>
            <w:tcW w:w="0" w:type="auto"/>
          </w:tcPr>
          <w:p w14:paraId="2B9E1828" w14:textId="77777777" w:rsidR="008A25C9" w:rsidRDefault="00000000">
            <w:pPr>
              <w:pStyle w:val="Compact"/>
            </w:pPr>
            <w:r>
              <w:t>4</w:t>
            </w:r>
          </w:p>
        </w:tc>
        <w:tc>
          <w:tcPr>
            <w:tcW w:w="0" w:type="auto"/>
          </w:tcPr>
          <w:p w14:paraId="6B11789E" w14:textId="77777777" w:rsidR="008A25C9" w:rsidRDefault="00000000">
            <w:pPr>
              <w:pStyle w:val="Compact"/>
            </w:pPr>
            <w:r>
              <w:t>R</w:t>
            </w:r>
          </w:p>
        </w:tc>
        <w:tc>
          <w:tcPr>
            <w:tcW w:w="0" w:type="auto"/>
          </w:tcPr>
          <w:p w14:paraId="184D272F" w14:textId="77777777" w:rsidR="008A25C9" w:rsidRDefault="00000000">
            <w:pPr>
              <w:pStyle w:val="Compact"/>
            </w:pPr>
            <w:r>
              <w:t>Actively operated on-prem/VPC instance; RTO &lt; 72h; carries live traffic</w:t>
            </w:r>
          </w:p>
        </w:tc>
      </w:tr>
      <w:tr w:rsidR="008A25C9" w14:paraId="4DDB10FB" w14:textId="77777777">
        <w:tc>
          <w:tcPr>
            <w:tcW w:w="0" w:type="auto"/>
          </w:tcPr>
          <w:p w14:paraId="031FD50E" w14:textId="77777777" w:rsidR="008A25C9" w:rsidRDefault="00000000">
            <w:pPr>
              <w:pStyle w:val="Compact"/>
            </w:pPr>
            <w:r>
              <w:t>Reasoning usage</w:t>
            </w:r>
          </w:p>
        </w:tc>
        <w:tc>
          <w:tcPr>
            <w:tcW w:w="0" w:type="auto"/>
          </w:tcPr>
          <w:p w14:paraId="773D1F2C" w14:textId="77777777" w:rsidR="008A25C9" w:rsidRDefault="00000000">
            <w:pPr>
              <w:pStyle w:val="Compact"/>
            </w:pPr>
            <w:r>
              <w:t>2</w:t>
            </w:r>
          </w:p>
        </w:tc>
        <w:tc>
          <w:tcPr>
            <w:tcW w:w="0" w:type="auto"/>
          </w:tcPr>
          <w:p w14:paraId="7EE1D7D0" w14:textId="77777777" w:rsidR="008A25C9" w:rsidRDefault="00000000">
            <w:pPr>
              <w:pStyle w:val="Compact"/>
            </w:pPr>
            <w:r>
              <w:t>A</w:t>
            </w:r>
          </w:p>
        </w:tc>
        <w:tc>
          <w:tcPr>
            <w:tcW w:w="0" w:type="auto"/>
          </w:tcPr>
          <w:p w14:paraId="39214EDC" w14:textId="77777777" w:rsidR="008A25C9" w:rsidRDefault="00000000">
            <w:pPr>
              <w:pStyle w:val="Compact"/>
            </w:pPr>
            <w:r>
              <w:t>Reasoning-class models integrated where they fit</w:t>
            </w:r>
          </w:p>
        </w:tc>
      </w:tr>
    </w:tbl>
    <w:p w14:paraId="68275CD3" w14:textId="77777777" w:rsidR="008A25C9" w:rsidRDefault="00000000">
      <w:pPr>
        <w:pStyle w:val="Heading3"/>
      </w:pPr>
      <w:bookmarkStart w:id="54" w:name="X627a4108e747b66f3b7a7ab60b597c73eb12b1c"/>
      <w:r>
        <w:t>Pillar 3. Infrastructure and energy — 14 points</w:t>
      </w:r>
      <w:bookmarkEnd w:id="54"/>
    </w:p>
    <w:p w14:paraId="4920FD38" w14:textId="77777777" w:rsidR="008A25C9" w:rsidRDefault="00000000">
      <w:pPr>
        <w:pStyle w:val="FirstParagraph"/>
      </w:pPr>
      <w:r>
        <w:t>Four questions: which cloud and whose law; CLOUD Act exposure and mitigation; own GPU capacity; confidential-computing readiness.</w:t>
      </w:r>
    </w:p>
    <w:p w14:paraId="119F1CC5" w14:textId="77777777" w:rsidR="008A25C9" w:rsidRDefault="00000000">
      <w:pPr>
        <w:pStyle w:val="BodyText"/>
      </w:pPr>
      <w:r>
        <w:t xml:space="preserve">The jurisdictional ladder for cloud choice runs, from strongest protection down: SecNumCloud 3.2 providers (immune to foreign-reach laws; required for French state clients); the CADA Cloud Sovereignty Framework levels as they are finalised (see Framework Part V); EU-operated subsidiaries of US providers (AWS European Sovereign Cloud — EU-run but still US-owned, so CLOUD Act exposure arguably remains); contractual EU boundaries (Azure EU Data Boundary — Microsoft’s own French Senate testimony conceded CLOUD Act protection cannot be guaranteed); and unmitigated US-jurisdiction cloud. </w:t>
      </w:r>
      <w:r>
        <w:rPr>
          <w:b/>
        </w:rPr>
        <w:t>Confidential computing</w:t>
      </w:r>
      <w:r>
        <w:t xml:space="preserve"> (TEEs: Intel TDX, AMD SEV-SNP, NVIDIA Confidential Computing) lets a regulated EU company run on a US cloud with weights and inputs encrypted in use — credited as genuine mitigation. Current certified providers and capacity figures: Document 4.</w:t>
      </w:r>
    </w:p>
    <w:tbl>
      <w:tblPr>
        <w:tblStyle w:val="Table"/>
        <w:tblW w:w="5000" w:type="pct"/>
        <w:tblLook w:val="07E0" w:firstRow="1" w:lastRow="1" w:firstColumn="1" w:lastColumn="1" w:noHBand="1" w:noVBand="1"/>
      </w:tblPr>
      <w:tblGrid>
        <w:gridCol w:w="2926"/>
        <w:gridCol w:w="870"/>
        <w:gridCol w:w="585"/>
        <w:gridCol w:w="4979"/>
      </w:tblGrid>
      <w:tr w:rsidR="008A25C9" w14:paraId="4FE84B64" w14:textId="77777777">
        <w:tc>
          <w:tcPr>
            <w:tcW w:w="0" w:type="auto"/>
            <w:tcBorders>
              <w:bottom w:val="single" w:sz="0" w:space="0" w:color="auto"/>
            </w:tcBorders>
            <w:vAlign w:val="bottom"/>
          </w:tcPr>
          <w:p w14:paraId="201F79BA" w14:textId="77777777" w:rsidR="008A25C9" w:rsidRDefault="00000000">
            <w:pPr>
              <w:pStyle w:val="Compact"/>
            </w:pPr>
            <w:r>
              <w:t>Sub-indicator</w:t>
            </w:r>
          </w:p>
        </w:tc>
        <w:tc>
          <w:tcPr>
            <w:tcW w:w="0" w:type="auto"/>
            <w:tcBorders>
              <w:bottom w:val="single" w:sz="0" w:space="0" w:color="auto"/>
            </w:tcBorders>
            <w:vAlign w:val="bottom"/>
          </w:tcPr>
          <w:p w14:paraId="728D84F9" w14:textId="77777777" w:rsidR="008A25C9" w:rsidRDefault="00000000">
            <w:pPr>
              <w:pStyle w:val="Compact"/>
            </w:pPr>
            <w:r>
              <w:t>Points</w:t>
            </w:r>
          </w:p>
        </w:tc>
        <w:tc>
          <w:tcPr>
            <w:tcW w:w="0" w:type="auto"/>
            <w:tcBorders>
              <w:bottom w:val="single" w:sz="0" w:space="0" w:color="auto"/>
            </w:tcBorders>
            <w:vAlign w:val="bottom"/>
          </w:tcPr>
          <w:p w14:paraId="3A332B56" w14:textId="77777777" w:rsidR="008A25C9" w:rsidRDefault="00000000">
            <w:pPr>
              <w:pStyle w:val="Compact"/>
            </w:pPr>
            <w:r>
              <w:t>R/A</w:t>
            </w:r>
          </w:p>
        </w:tc>
        <w:tc>
          <w:tcPr>
            <w:tcW w:w="0" w:type="auto"/>
            <w:tcBorders>
              <w:bottom w:val="single" w:sz="0" w:space="0" w:color="auto"/>
            </w:tcBorders>
            <w:vAlign w:val="bottom"/>
          </w:tcPr>
          <w:p w14:paraId="581244DA" w14:textId="77777777" w:rsidR="008A25C9" w:rsidRDefault="00000000">
            <w:pPr>
              <w:pStyle w:val="Compact"/>
            </w:pPr>
            <w:r>
              <w:t>Evidence expected</w:t>
            </w:r>
          </w:p>
        </w:tc>
      </w:tr>
      <w:tr w:rsidR="008A25C9" w14:paraId="3837666A" w14:textId="77777777">
        <w:tc>
          <w:tcPr>
            <w:tcW w:w="0" w:type="auto"/>
          </w:tcPr>
          <w:p w14:paraId="1DA12042" w14:textId="77777777" w:rsidR="008A25C9" w:rsidRDefault="00000000">
            <w:pPr>
              <w:pStyle w:val="Compact"/>
            </w:pPr>
            <w:r>
              <w:t>Cloud choice and jurisdiction</w:t>
            </w:r>
          </w:p>
        </w:tc>
        <w:tc>
          <w:tcPr>
            <w:tcW w:w="0" w:type="auto"/>
          </w:tcPr>
          <w:p w14:paraId="495F5127" w14:textId="77777777" w:rsidR="008A25C9" w:rsidRDefault="00000000">
            <w:pPr>
              <w:pStyle w:val="Compact"/>
            </w:pPr>
            <w:r>
              <w:t>5</w:t>
            </w:r>
          </w:p>
        </w:tc>
        <w:tc>
          <w:tcPr>
            <w:tcW w:w="0" w:type="auto"/>
          </w:tcPr>
          <w:p w14:paraId="68B92274" w14:textId="77777777" w:rsidR="008A25C9" w:rsidRDefault="00000000">
            <w:pPr>
              <w:pStyle w:val="Compact"/>
            </w:pPr>
            <w:r>
              <w:t>R</w:t>
            </w:r>
          </w:p>
        </w:tc>
        <w:tc>
          <w:tcPr>
            <w:tcW w:w="0" w:type="auto"/>
          </w:tcPr>
          <w:p w14:paraId="216B9B74" w14:textId="77777777" w:rsidR="008A25C9" w:rsidRDefault="00000000">
            <w:pPr>
              <w:pStyle w:val="Compact"/>
            </w:pPr>
            <w:r>
              <w:t>Certified-sovereign, EU-subsidiary, or documented mitigation strategy</w:t>
            </w:r>
          </w:p>
        </w:tc>
      </w:tr>
      <w:tr w:rsidR="008A25C9" w14:paraId="61826908" w14:textId="77777777">
        <w:tc>
          <w:tcPr>
            <w:tcW w:w="0" w:type="auto"/>
          </w:tcPr>
          <w:p w14:paraId="4060CFF7" w14:textId="77777777" w:rsidR="008A25C9" w:rsidRDefault="00000000">
            <w:pPr>
              <w:pStyle w:val="Compact"/>
            </w:pPr>
            <w:r>
              <w:t>On-prem / in-VPC GPU</w:t>
            </w:r>
          </w:p>
        </w:tc>
        <w:tc>
          <w:tcPr>
            <w:tcW w:w="0" w:type="auto"/>
          </w:tcPr>
          <w:p w14:paraId="5D17204E" w14:textId="77777777" w:rsidR="008A25C9" w:rsidRDefault="00000000">
            <w:pPr>
              <w:pStyle w:val="Compact"/>
            </w:pPr>
            <w:r>
              <w:t>4</w:t>
            </w:r>
          </w:p>
        </w:tc>
        <w:tc>
          <w:tcPr>
            <w:tcW w:w="0" w:type="auto"/>
          </w:tcPr>
          <w:p w14:paraId="5B3F278D" w14:textId="77777777" w:rsidR="008A25C9" w:rsidRDefault="00000000">
            <w:pPr>
              <w:pStyle w:val="Compact"/>
            </w:pPr>
            <w:r>
              <w:t>R</w:t>
            </w:r>
          </w:p>
        </w:tc>
        <w:tc>
          <w:tcPr>
            <w:tcW w:w="0" w:type="auto"/>
          </w:tcPr>
          <w:p w14:paraId="20DD368C" w14:textId="77777777" w:rsidR="008A25C9" w:rsidRDefault="00000000">
            <w:pPr>
              <w:pStyle w:val="Compact"/>
            </w:pPr>
            <w:r>
              <w:t>Own or reserved capacity in H100-equivalents</w:t>
            </w:r>
          </w:p>
        </w:tc>
      </w:tr>
      <w:tr w:rsidR="008A25C9" w14:paraId="5C7DE1CA" w14:textId="77777777">
        <w:tc>
          <w:tcPr>
            <w:tcW w:w="0" w:type="auto"/>
          </w:tcPr>
          <w:p w14:paraId="63043F61" w14:textId="77777777" w:rsidR="008A25C9" w:rsidRDefault="00000000">
            <w:pPr>
              <w:pStyle w:val="Compact"/>
            </w:pPr>
            <w:r>
              <w:t>Network and backup independence</w:t>
            </w:r>
          </w:p>
        </w:tc>
        <w:tc>
          <w:tcPr>
            <w:tcW w:w="0" w:type="auto"/>
          </w:tcPr>
          <w:p w14:paraId="35006686" w14:textId="77777777" w:rsidR="008A25C9" w:rsidRDefault="00000000">
            <w:pPr>
              <w:pStyle w:val="Compact"/>
            </w:pPr>
            <w:r>
              <w:t>2</w:t>
            </w:r>
          </w:p>
        </w:tc>
        <w:tc>
          <w:tcPr>
            <w:tcW w:w="0" w:type="auto"/>
          </w:tcPr>
          <w:p w14:paraId="6B69E6F0" w14:textId="77777777" w:rsidR="008A25C9" w:rsidRDefault="00000000">
            <w:pPr>
              <w:pStyle w:val="Compact"/>
            </w:pPr>
            <w:r>
              <w:t>R</w:t>
            </w:r>
          </w:p>
        </w:tc>
        <w:tc>
          <w:tcPr>
            <w:tcW w:w="0" w:type="auto"/>
          </w:tcPr>
          <w:p w14:paraId="58CD713C" w14:textId="77777777" w:rsidR="008A25C9" w:rsidRDefault="00000000">
            <w:pPr>
              <w:pStyle w:val="Compact"/>
            </w:pPr>
            <w:r>
              <w:t>Multi-region, multi-vendor; tested DR runbooks</w:t>
            </w:r>
          </w:p>
        </w:tc>
      </w:tr>
      <w:tr w:rsidR="008A25C9" w14:paraId="7C6C6575" w14:textId="77777777">
        <w:tc>
          <w:tcPr>
            <w:tcW w:w="0" w:type="auto"/>
          </w:tcPr>
          <w:p w14:paraId="644BD7CD" w14:textId="77777777" w:rsidR="008A25C9" w:rsidRDefault="00000000">
            <w:pPr>
              <w:pStyle w:val="Compact"/>
            </w:pPr>
            <w:r>
              <w:t>Confidential-computing readiness</w:t>
            </w:r>
          </w:p>
        </w:tc>
        <w:tc>
          <w:tcPr>
            <w:tcW w:w="0" w:type="auto"/>
          </w:tcPr>
          <w:p w14:paraId="4CA2B002" w14:textId="77777777" w:rsidR="008A25C9" w:rsidRDefault="00000000">
            <w:pPr>
              <w:pStyle w:val="Compact"/>
            </w:pPr>
            <w:r>
              <w:t>3</w:t>
            </w:r>
          </w:p>
        </w:tc>
        <w:tc>
          <w:tcPr>
            <w:tcW w:w="0" w:type="auto"/>
          </w:tcPr>
          <w:p w14:paraId="18472315" w14:textId="77777777" w:rsidR="008A25C9" w:rsidRDefault="00000000">
            <w:pPr>
              <w:pStyle w:val="Compact"/>
            </w:pPr>
            <w:r>
              <w:t>R</w:t>
            </w:r>
          </w:p>
        </w:tc>
        <w:tc>
          <w:tcPr>
            <w:tcW w:w="0" w:type="auto"/>
          </w:tcPr>
          <w:p w14:paraId="7C1994BF" w14:textId="77777777" w:rsidR="008A25C9" w:rsidRDefault="00000000">
            <w:pPr>
              <w:pStyle w:val="Compact"/>
            </w:pPr>
            <w:r>
              <w:t>TEE patterns on regulated workloads; attestation; HSM integration</w:t>
            </w:r>
          </w:p>
        </w:tc>
      </w:tr>
    </w:tbl>
    <w:p w14:paraId="657D464B" w14:textId="77777777" w:rsidR="008A25C9" w:rsidRDefault="00000000">
      <w:pPr>
        <w:pStyle w:val="Heading3"/>
      </w:pPr>
      <w:bookmarkStart w:id="55" w:name="X942bed87964f707f12ca95b675b56d9b3f84090"/>
      <w:r>
        <w:t>Pillar 4. Hardware architecture — 10 points</w:t>
      </w:r>
      <w:bookmarkEnd w:id="55"/>
    </w:p>
    <w:p w14:paraId="11FE90C7" w14:textId="77777777" w:rsidR="008A25C9" w:rsidRDefault="00000000">
      <w:pPr>
        <w:pStyle w:val="FirstParagraph"/>
      </w:pPr>
      <w:r>
        <w:t>Three questions: how much guaranteed GPU capacity is locked in for a crunch; how reliant on one supplier; is there a tested plan to switch. NVIDIA still dominates, but AMD is a believable second source and cloud ASICs (TPU, Trainium) a third class; details in Document 4.</w:t>
      </w:r>
    </w:p>
    <w:tbl>
      <w:tblPr>
        <w:tblStyle w:val="Table"/>
        <w:tblW w:w="5000" w:type="pct"/>
        <w:tblLook w:val="07E0" w:firstRow="1" w:lastRow="1" w:firstColumn="1" w:lastColumn="1" w:noHBand="1" w:noVBand="1"/>
      </w:tblPr>
      <w:tblGrid>
        <w:gridCol w:w="3244"/>
        <w:gridCol w:w="870"/>
        <w:gridCol w:w="585"/>
        <w:gridCol w:w="4661"/>
      </w:tblGrid>
      <w:tr w:rsidR="008A25C9" w14:paraId="074481AC" w14:textId="77777777">
        <w:tc>
          <w:tcPr>
            <w:tcW w:w="0" w:type="auto"/>
            <w:tcBorders>
              <w:bottom w:val="single" w:sz="0" w:space="0" w:color="auto"/>
            </w:tcBorders>
            <w:vAlign w:val="bottom"/>
          </w:tcPr>
          <w:p w14:paraId="6E04DA7D" w14:textId="77777777" w:rsidR="008A25C9" w:rsidRDefault="00000000">
            <w:pPr>
              <w:pStyle w:val="Compact"/>
            </w:pPr>
            <w:r>
              <w:t>Sub-indicator</w:t>
            </w:r>
          </w:p>
        </w:tc>
        <w:tc>
          <w:tcPr>
            <w:tcW w:w="0" w:type="auto"/>
            <w:tcBorders>
              <w:bottom w:val="single" w:sz="0" w:space="0" w:color="auto"/>
            </w:tcBorders>
            <w:vAlign w:val="bottom"/>
          </w:tcPr>
          <w:p w14:paraId="4B3ED017" w14:textId="77777777" w:rsidR="008A25C9" w:rsidRDefault="00000000">
            <w:pPr>
              <w:pStyle w:val="Compact"/>
            </w:pPr>
            <w:r>
              <w:t>Points</w:t>
            </w:r>
          </w:p>
        </w:tc>
        <w:tc>
          <w:tcPr>
            <w:tcW w:w="0" w:type="auto"/>
            <w:tcBorders>
              <w:bottom w:val="single" w:sz="0" w:space="0" w:color="auto"/>
            </w:tcBorders>
            <w:vAlign w:val="bottom"/>
          </w:tcPr>
          <w:p w14:paraId="43C1E4BD" w14:textId="77777777" w:rsidR="008A25C9" w:rsidRDefault="00000000">
            <w:pPr>
              <w:pStyle w:val="Compact"/>
            </w:pPr>
            <w:r>
              <w:t>R/A</w:t>
            </w:r>
          </w:p>
        </w:tc>
        <w:tc>
          <w:tcPr>
            <w:tcW w:w="0" w:type="auto"/>
            <w:tcBorders>
              <w:bottom w:val="single" w:sz="0" w:space="0" w:color="auto"/>
            </w:tcBorders>
            <w:vAlign w:val="bottom"/>
          </w:tcPr>
          <w:p w14:paraId="0070ED19" w14:textId="77777777" w:rsidR="008A25C9" w:rsidRDefault="00000000">
            <w:pPr>
              <w:pStyle w:val="Compact"/>
            </w:pPr>
            <w:r>
              <w:t>Evidence expected</w:t>
            </w:r>
          </w:p>
        </w:tc>
      </w:tr>
      <w:tr w:rsidR="008A25C9" w14:paraId="352AF8D0" w14:textId="77777777">
        <w:tc>
          <w:tcPr>
            <w:tcW w:w="0" w:type="auto"/>
          </w:tcPr>
          <w:p w14:paraId="6A2F4FB1" w14:textId="77777777" w:rsidR="008A25C9" w:rsidRDefault="00000000">
            <w:pPr>
              <w:pStyle w:val="Compact"/>
            </w:pPr>
            <w:r>
              <w:t>Reserved GPU capacity</w:t>
            </w:r>
          </w:p>
        </w:tc>
        <w:tc>
          <w:tcPr>
            <w:tcW w:w="0" w:type="auto"/>
          </w:tcPr>
          <w:p w14:paraId="34112516" w14:textId="77777777" w:rsidR="008A25C9" w:rsidRDefault="00000000">
            <w:pPr>
              <w:pStyle w:val="Compact"/>
            </w:pPr>
            <w:r>
              <w:t>4</w:t>
            </w:r>
          </w:p>
        </w:tc>
        <w:tc>
          <w:tcPr>
            <w:tcW w:w="0" w:type="auto"/>
          </w:tcPr>
          <w:p w14:paraId="10C88ED1" w14:textId="77777777" w:rsidR="008A25C9" w:rsidRDefault="00000000">
            <w:pPr>
              <w:pStyle w:val="Compact"/>
            </w:pPr>
            <w:r>
              <w:t>R</w:t>
            </w:r>
          </w:p>
        </w:tc>
        <w:tc>
          <w:tcPr>
            <w:tcW w:w="0" w:type="auto"/>
          </w:tcPr>
          <w:p w14:paraId="791BA8E3" w14:textId="77777777" w:rsidR="008A25C9" w:rsidRDefault="00000000">
            <w:pPr>
              <w:pStyle w:val="Compact"/>
            </w:pPr>
            <w:r>
              <w:t>Multi-year reservations in H100-equivalents; T+3 projection</w:t>
            </w:r>
          </w:p>
        </w:tc>
      </w:tr>
      <w:tr w:rsidR="008A25C9" w14:paraId="48E30C9C" w14:textId="77777777">
        <w:tc>
          <w:tcPr>
            <w:tcW w:w="0" w:type="auto"/>
          </w:tcPr>
          <w:p w14:paraId="4C981010" w14:textId="77777777" w:rsidR="008A25C9" w:rsidRDefault="00000000">
            <w:pPr>
              <w:pStyle w:val="Compact"/>
            </w:pPr>
            <w:r>
              <w:t>Vendor diversification</w:t>
            </w:r>
          </w:p>
        </w:tc>
        <w:tc>
          <w:tcPr>
            <w:tcW w:w="0" w:type="auto"/>
          </w:tcPr>
          <w:p w14:paraId="00AD211D" w14:textId="77777777" w:rsidR="008A25C9" w:rsidRDefault="00000000">
            <w:pPr>
              <w:pStyle w:val="Compact"/>
            </w:pPr>
            <w:r>
              <w:t>4</w:t>
            </w:r>
          </w:p>
        </w:tc>
        <w:tc>
          <w:tcPr>
            <w:tcW w:w="0" w:type="auto"/>
          </w:tcPr>
          <w:p w14:paraId="0CDC0D36" w14:textId="77777777" w:rsidR="008A25C9" w:rsidRDefault="00000000">
            <w:pPr>
              <w:pStyle w:val="Compact"/>
            </w:pPr>
            <w:r>
              <w:t>R</w:t>
            </w:r>
          </w:p>
        </w:tc>
        <w:tc>
          <w:tcPr>
            <w:tcW w:w="0" w:type="auto"/>
          </w:tcPr>
          <w:p w14:paraId="70F38285" w14:textId="77777777" w:rsidR="008A25C9" w:rsidRDefault="00000000">
            <w:pPr>
              <w:pStyle w:val="Compact"/>
            </w:pPr>
            <w:r>
              <w:t>Production traffic on at least two accelerator vendors</w:t>
            </w:r>
          </w:p>
        </w:tc>
      </w:tr>
      <w:tr w:rsidR="008A25C9" w14:paraId="1CB35DCD" w14:textId="77777777">
        <w:tc>
          <w:tcPr>
            <w:tcW w:w="0" w:type="auto"/>
          </w:tcPr>
          <w:p w14:paraId="49678820" w14:textId="77777777" w:rsidR="008A25C9" w:rsidRDefault="00000000">
            <w:pPr>
              <w:pStyle w:val="Compact"/>
            </w:pPr>
            <w:r>
              <w:lastRenderedPageBreak/>
              <w:t>Migration plan under Version Deadlock</w:t>
            </w:r>
          </w:p>
        </w:tc>
        <w:tc>
          <w:tcPr>
            <w:tcW w:w="0" w:type="auto"/>
          </w:tcPr>
          <w:p w14:paraId="23DE0A18" w14:textId="77777777" w:rsidR="008A25C9" w:rsidRDefault="00000000">
            <w:pPr>
              <w:pStyle w:val="Compact"/>
            </w:pPr>
            <w:r>
              <w:t>2</w:t>
            </w:r>
          </w:p>
        </w:tc>
        <w:tc>
          <w:tcPr>
            <w:tcW w:w="0" w:type="auto"/>
          </w:tcPr>
          <w:p w14:paraId="183605BA" w14:textId="77777777" w:rsidR="008A25C9" w:rsidRDefault="00000000">
            <w:pPr>
              <w:pStyle w:val="Compact"/>
            </w:pPr>
            <w:r>
              <w:t>R</w:t>
            </w:r>
          </w:p>
        </w:tc>
        <w:tc>
          <w:tcPr>
            <w:tcW w:w="0" w:type="auto"/>
          </w:tcPr>
          <w:p w14:paraId="6B865D3A" w14:textId="77777777" w:rsidR="008A25C9" w:rsidRDefault="00000000">
            <w:pPr>
              <w:pStyle w:val="Compact"/>
            </w:pPr>
            <w:r>
              <w:t>Documented, tested fallback under export-control scenarios</w:t>
            </w:r>
          </w:p>
        </w:tc>
      </w:tr>
    </w:tbl>
    <w:p w14:paraId="28225252" w14:textId="77777777" w:rsidR="008A25C9" w:rsidRDefault="00000000">
      <w:pPr>
        <w:pStyle w:val="Heading3"/>
      </w:pPr>
      <w:bookmarkStart w:id="56" w:name="pillar-5.-manufacturing-1-point"/>
      <w:r>
        <w:t>Pillar 5. Manufacturing — 1 point</w:t>
      </w:r>
      <w:bookmarkEnd w:id="56"/>
    </w:p>
    <w:p w14:paraId="47BCED41" w14:textId="77777777" w:rsidR="008A25C9" w:rsidRDefault="00000000">
      <w:pPr>
        <w:pStyle w:val="FirstParagraph"/>
      </w:pPr>
      <w:r>
        <w:t>A company that does not build foundation models cannot meaningfully score here. One point [R] is given for demonstrated supply-chain awareness — knowing where the packaging and memory bottlenecks are and feeding that into buying decisions. The single point is kept as a separate pillar so the eight shared pillars stay one-to-one with the national variant.</w:t>
      </w:r>
    </w:p>
    <w:p w14:paraId="35E6ABCF" w14:textId="77777777" w:rsidR="008A25C9" w:rsidRDefault="00000000">
      <w:pPr>
        <w:pStyle w:val="Heading3"/>
      </w:pPr>
      <w:bookmarkStart w:id="57" w:name="pillar-6.-software-stack-10-points"/>
      <w:r>
        <w:t>Pillar 6. Software stack — 10 points</w:t>
      </w:r>
      <w:bookmarkEnd w:id="57"/>
    </w:p>
    <w:p w14:paraId="6D59EBD4" w14:textId="77777777" w:rsidR="008A25C9" w:rsidRDefault="00000000">
      <w:pPr>
        <w:pStyle w:val="FirstParagraph"/>
      </w:pPr>
      <w:r>
        <w:t>Worth two points more than in the national variant because companies feel lock-in in everyday work: CUDA exposure, AI-ops tooling, and inference-runtime choice each directly affect Version Deadlock risk. The runtime landscape and CUDA-alternative status: Document 4.</w:t>
      </w:r>
    </w:p>
    <w:tbl>
      <w:tblPr>
        <w:tblStyle w:val="Table"/>
        <w:tblW w:w="5000" w:type="pct"/>
        <w:tblLook w:val="07E0" w:firstRow="1" w:lastRow="1" w:firstColumn="1" w:lastColumn="1" w:noHBand="1" w:noVBand="1"/>
      </w:tblPr>
      <w:tblGrid>
        <w:gridCol w:w="3117"/>
        <w:gridCol w:w="870"/>
        <w:gridCol w:w="585"/>
        <w:gridCol w:w="4788"/>
      </w:tblGrid>
      <w:tr w:rsidR="008A25C9" w14:paraId="2F424A34" w14:textId="77777777">
        <w:tc>
          <w:tcPr>
            <w:tcW w:w="0" w:type="auto"/>
            <w:tcBorders>
              <w:bottom w:val="single" w:sz="0" w:space="0" w:color="auto"/>
            </w:tcBorders>
            <w:vAlign w:val="bottom"/>
          </w:tcPr>
          <w:p w14:paraId="2DB916BB" w14:textId="77777777" w:rsidR="008A25C9" w:rsidRDefault="00000000">
            <w:pPr>
              <w:pStyle w:val="Compact"/>
            </w:pPr>
            <w:r>
              <w:t>Sub-indicator</w:t>
            </w:r>
          </w:p>
        </w:tc>
        <w:tc>
          <w:tcPr>
            <w:tcW w:w="0" w:type="auto"/>
            <w:tcBorders>
              <w:bottom w:val="single" w:sz="0" w:space="0" w:color="auto"/>
            </w:tcBorders>
            <w:vAlign w:val="bottom"/>
          </w:tcPr>
          <w:p w14:paraId="30A9E15F" w14:textId="77777777" w:rsidR="008A25C9" w:rsidRDefault="00000000">
            <w:pPr>
              <w:pStyle w:val="Compact"/>
            </w:pPr>
            <w:r>
              <w:t>Points</w:t>
            </w:r>
          </w:p>
        </w:tc>
        <w:tc>
          <w:tcPr>
            <w:tcW w:w="0" w:type="auto"/>
            <w:tcBorders>
              <w:bottom w:val="single" w:sz="0" w:space="0" w:color="auto"/>
            </w:tcBorders>
            <w:vAlign w:val="bottom"/>
          </w:tcPr>
          <w:p w14:paraId="0037C066" w14:textId="77777777" w:rsidR="008A25C9" w:rsidRDefault="00000000">
            <w:pPr>
              <w:pStyle w:val="Compact"/>
            </w:pPr>
            <w:r>
              <w:t>R/A</w:t>
            </w:r>
          </w:p>
        </w:tc>
        <w:tc>
          <w:tcPr>
            <w:tcW w:w="0" w:type="auto"/>
            <w:tcBorders>
              <w:bottom w:val="single" w:sz="0" w:space="0" w:color="auto"/>
            </w:tcBorders>
            <w:vAlign w:val="bottom"/>
          </w:tcPr>
          <w:p w14:paraId="75DCB615" w14:textId="77777777" w:rsidR="008A25C9" w:rsidRDefault="00000000">
            <w:pPr>
              <w:pStyle w:val="Compact"/>
            </w:pPr>
            <w:r>
              <w:t>Evidence expected</w:t>
            </w:r>
          </w:p>
        </w:tc>
      </w:tr>
      <w:tr w:rsidR="008A25C9" w14:paraId="79E0EB16" w14:textId="77777777">
        <w:tc>
          <w:tcPr>
            <w:tcW w:w="0" w:type="auto"/>
          </w:tcPr>
          <w:p w14:paraId="1D257772" w14:textId="77777777" w:rsidR="008A25C9" w:rsidRDefault="00000000">
            <w:pPr>
              <w:pStyle w:val="Compact"/>
            </w:pPr>
            <w:r>
              <w:t>CUDA exposure</w:t>
            </w:r>
          </w:p>
        </w:tc>
        <w:tc>
          <w:tcPr>
            <w:tcW w:w="0" w:type="auto"/>
          </w:tcPr>
          <w:p w14:paraId="41641FFD" w14:textId="77777777" w:rsidR="008A25C9" w:rsidRDefault="00000000">
            <w:pPr>
              <w:pStyle w:val="Compact"/>
            </w:pPr>
            <w:r>
              <w:t>3</w:t>
            </w:r>
          </w:p>
        </w:tc>
        <w:tc>
          <w:tcPr>
            <w:tcW w:w="0" w:type="auto"/>
          </w:tcPr>
          <w:p w14:paraId="392C0301" w14:textId="77777777" w:rsidR="008A25C9" w:rsidRDefault="00000000">
            <w:pPr>
              <w:pStyle w:val="Compact"/>
            </w:pPr>
            <w:r>
              <w:t>R</w:t>
            </w:r>
          </w:p>
        </w:tc>
        <w:tc>
          <w:tcPr>
            <w:tcW w:w="0" w:type="auto"/>
          </w:tcPr>
          <w:p w14:paraId="687C0BE3" w14:textId="77777777" w:rsidR="008A25C9" w:rsidRDefault="00000000">
            <w:pPr>
              <w:pStyle w:val="Compact"/>
            </w:pPr>
            <w:r>
              <w:t>Share of production workloads dependent on CUDA alone</w:t>
            </w:r>
          </w:p>
        </w:tc>
      </w:tr>
      <w:tr w:rsidR="008A25C9" w14:paraId="17923501" w14:textId="77777777">
        <w:tc>
          <w:tcPr>
            <w:tcW w:w="0" w:type="auto"/>
          </w:tcPr>
          <w:p w14:paraId="44A7B336" w14:textId="77777777" w:rsidR="008A25C9" w:rsidRDefault="00000000">
            <w:pPr>
              <w:pStyle w:val="Compact"/>
            </w:pPr>
            <w:r>
              <w:t>Training-framework diversification</w:t>
            </w:r>
          </w:p>
        </w:tc>
        <w:tc>
          <w:tcPr>
            <w:tcW w:w="0" w:type="auto"/>
          </w:tcPr>
          <w:p w14:paraId="709300FF" w14:textId="77777777" w:rsidR="008A25C9" w:rsidRDefault="00000000">
            <w:pPr>
              <w:pStyle w:val="Compact"/>
            </w:pPr>
            <w:r>
              <w:t>2</w:t>
            </w:r>
          </w:p>
        </w:tc>
        <w:tc>
          <w:tcPr>
            <w:tcW w:w="0" w:type="auto"/>
          </w:tcPr>
          <w:p w14:paraId="529A236F" w14:textId="77777777" w:rsidR="008A25C9" w:rsidRDefault="00000000">
            <w:pPr>
              <w:pStyle w:val="Compact"/>
            </w:pPr>
            <w:r>
              <w:t>R</w:t>
            </w:r>
          </w:p>
        </w:tc>
        <w:tc>
          <w:tcPr>
            <w:tcW w:w="0" w:type="auto"/>
          </w:tcPr>
          <w:p w14:paraId="7E4E2945" w14:textId="77777777" w:rsidR="008A25C9" w:rsidRDefault="00000000">
            <w:pPr>
              <w:pStyle w:val="Compact"/>
            </w:pPr>
            <w:r>
              <w:t>PyTorch + JAX or alternatives; reproducibility discipline</w:t>
            </w:r>
          </w:p>
        </w:tc>
      </w:tr>
      <w:tr w:rsidR="008A25C9" w14:paraId="212712F6" w14:textId="77777777">
        <w:tc>
          <w:tcPr>
            <w:tcW w:w="0" w:type="auto"/>
          </w:tcPr>
          <w:p w14:paraId="5F082148" w14:textId="77777777" w:rsidR="008A25C9" w:rsidRDefault="00000000">
            <w:pPr>
              <w:pStyle w:val="Compact"/>
            </w:pPr>
            <w:r>
              <w:t>Inference-runtime diversification</w:t>
            </w:r>
          </w:p>
        </w:tc>
        <w:tc>
          <w:tcPr>
            <w:tcW w:w="0" w:type="auto"/>
          </w:tcPr>
          <w:p w14:paraId="55F1B0A7" w14:textId="77777777" w:rsidR="008A25C9" w:rsidRDefault="00000000">
            <w:pPr>
              <w:pStyle w:val="Compact"/>
            </w:pPr>
            <w:r>
              <w:t>2</w:t>
            </w:r>
          </w:p>
        </w:tc>
        <w:tc>
          <w:tcPr>
            <w:tcW w:w="0" w:type="auto"/>
          </w:tcPr>
          <w:p w14:paraId="3412ED48" w14:textId="77777777" w:rsidR="008A25C9" w:rsidRDefault="00000000">
            <w:pPr>
              <w:pStyle w:val="Compact"/>
            </w:pPr>
            <w:r>
              <w:t>R</w:t>
            </w:r>
          </w:p>
        </w:tc>
        <w:tc>
          <w:tcPr>
            <w:tcW w:w="0" w:type="auto"/>
          </w:tcPr>
          <w:p w14:paraId="5525AB3C" w14:textId="77777777" w:rsidR="008A25C9" w:rsidRDefault="00000000">
            <w:pPr>
              <w:pStyle w:val="Compact"/>
            </w:pPr>
            <w:r>
              <w:t>vLLM / SGLang / llama.cpp alongside or instead of TensorRT</w:t>
            </w:r>
          </w:p>
        </w:tc>
      </w:tr>
      <w:tr w:rsidR="008A25C9" w14:paraId="069D3270" w14:textId="77777777">
        <w:tc>
          <w:tcPr>
            <w:tcW w:w="0" w:type="auto"/>
          </w:tcPr>
          <w:p w14:paraId="730F2C00" w14:textId="77777777" w:rsidR="008A25C9" w:rsidRDefault="00000000">
            <w:pPr>
              <w:pStyle w:val="Compact"/>
            </w:pPr>
            <w:r>
              <w:t>MLOps lock-in</w:t>
            </w:r>
          </w:p>
        </w:tc>
        <w:tc>
          <w:tcPr>
            <w:tcW w:w="0" w:type="auto"/>
          </w:tcPr>
          <w:p w14:paraId="2817E487" w14:textId="77777777" w:rsidR="008A25C9" w:rsidRDefault="00000000">
            <w:pPr>
              <w:pStyle w:val="Compact"/>
            </w:pPr>
            <w:r>
              <w:t>2</w:t>
            </w:r>
          </w:p>
        </w:tc>
        <w:tc>
          <w:tcPr>
            <w:tcW w:w="0" w:type="auto"/>
          </w:tcPr>
          <w:p w14:paraId="37A6D181" w14:textId="77777777" w:rsidR="008A25C9" w:rsidRDefault="00000000">
            <w:pPr>
              <w:pStyle w:val="Compact"/>
            </w:pPr>
            <w:r>
              <w:t>R</w:t>
            </w:r>
          </w:p>
        </w:tc>
        <w:tc>
          <w:tcPr>
            <w:tcW w:w="0" w:type="auto"/>
          </w:tcPr>
          <w:p w14:paraId="15C02020" w14:textId="77777777" w:rsidR="008A25C9" w:rsidRDefault="00000000">
            <w:pPr>
              <w:pStyle w:val="Compact"/>
            </w:pPr>
            <w:r>
              <w:t>Vendor-agnostic deployment; portability demonstrated</w:t>
            </w:r>
          </w:p>
        </w:tc>
      </w:tr>
      <w:tr w:rsidR="008A25C9" w14:paraId="146445F1" w14:textId="77777777">
        <w:tc>
          <w:tcPr>
            <w:tcW w:w="0" w:type="auto"/>
          </w:tcPr>
          <w:p w14:paraId="57A498C0" w14:textId="77777777" w:rsidR="008A25C9" w:rsidRDefault="00000000">
            <w:pPr>
              <w:pStyle w:val="Compact"/>
            </w:pPr>
            <w:r>
              <w:t>Open-source contribution</w:t>
            </w:r>
          </w:p>
        </w:tc>
        <w:tc>
          <w:tcPr>
            <w:tcW w:w="0" w:type="auto"/>
          </w:tcPr>
          <w:p w14:paraId="6084E214" w14:textId="77777777" w:rsidR="008A25C9" w:rsidRDefault="00000000">
            <w:pPr>
              <w:pStyle w:val="Compact"/>
            </w:pPr>
            <w:r>
              <w:t>1</w:t>
            </w:r>
          </w:p>
        </w:tc>
        <w:tc>
          <w:tcPr>
            <w:tcW w:w="0" w:type="auto"/>
          </w:tcPr>
          <w:p w14:paraId="64E1FB6B" w14:textId="77777777" w:rsidR="008A25C9" w:rsidRDefault="00000000">
            <w:pPr>
              <w:pStyle w:val="Compact"/>
            </w:pPr>
            <w:r>
              <w:t>A</w:t>
            </w:r>
          </w:p>
        </w:tc>
        <w:tc>
          <w:tcPr>
            <w:tcW w:w="0" w:type="auto"/>
          </w:tcPr>
          <w:p w14:paraId="4C773620" w14:textId="77777777" w:rsidR="008A25C9" w:rsidRDefault="00000000">
            <w:pPr>
              <w:pStyle w:val="Compact"/>
            </w:pPr>
            <w:r>
              <w:t>Upstream commits, not merely consumption</w:t>
            </w:r>
          </w:p>
        </w:tc>
      </w:tr>
    </w:tbl>
    <w:p w14:paraId="65DBD9A2" w14:textId="77777777" w:rsidR="008A25C9" w:rsidRDefault="00000000">
      <w:pPr>
        <w:pStyle w:val="Heading3"/>
      </w:pPr>
      <w:bookmarkStart w:id="58" w:name="pillar-7.-human-capital-13-points"/>
      <w:r>
        <w:t>Pillar 7. Human capital — 13 points</w:t>
      </w:r>
      <w:bookmarkEnd w:id="58"/>
    </w:p>
    <w:p w14:paraId="3E3906B3" w14:textId="77777777" w:rsidR="008A25C9" w:rsidRDefault="00000000">
      <w:pPr>
        <w:pStyle w:val="FirstParagraph"/>
      </w:pPr>
      <w:r>
        <w:t>The pillar with the biggest knock-on effect: gains here improve the payoff from every other investment. BCG’s survey work suggests employee training is the single best predictor of AI-program success (strong-results share rising from 12% to 28%).</w:t>
      </w:r>
    </w:p>
    <w:tbl>
      <w:tblPr>
        <w:tblStyle w:val="Table"/>
        <w:tblW w:w="5000" w:type="pct"/>
        <w:tblLook w:val="07E0" w:firstRow="1" w:lastRow="1" w:firstColumn="1" w:lastColumn="1" w:noHBand="1" w:noVBand="1"/>
      </w:tblPr>
      <w:tblGrid>
        <w:gridCol w:w="3192"/>
        <w:gridCol w:w="870"/>
        <w:gridCol w:w="585"/>
        <w:gridCol w:w="4713"/>
      </w:tblGrid>
      <w:tr w:rsidR="008A25C9" w14:paraId="6E80B9A1" w14:textId="77777777">
        <w:tc>
          <w:tcPr>
            <w:tcW w:w="0" w:type="auto"/>
            <w:tcBorders>
              <w:bottom w:val="single" w:sz="0" w:space="0" w:color="auto"/>
            </w:tcBorders>
            <w:vAlign w:val="bottom"/>
          </w:tcPr>
          <w:p w14:paraId="2CC2DB9E" w14:textId="77777777" w:rsidR="008A25C9" w:rsidRDefault="00000000">
            <w:pPr>
              <w:pStyle w:val="Compact"/>
            </w:pPr>
            <w:r>
              <w:t>Sub-indicator</w:t>
            </w:r>
          </w:p>
        </w:tc>
        <w:tc>
          <w:tcPr>
            <w:tcW w:w="0" w:type="auto"/>
            <w:tcBorders>
              <w:bottom w:val="single" w:sz="0" w:space="0" w:color="auto"/>
            </w:tcBorders>
            <w:vAlign w:val="bottom"/>
          </w:tcPr>
          <w:p w14:paraId="4A700707" w14:textId="77777777" w:rsidR="008A25C9" w:rsidRDefault="00000000">
            <w:pPr>
              <w:pStyle w:val="Compact"/>
            </w:pPr>
            <w:r>
              <w:t>Points</w:t>
            </w:r>
          </w:p>
        </w:tc>
        <w:tc>
          <w:tcPr>
            <w:tcW w:w="0" w:type="auto"/>
            <w:tcBorders>
              <w:bottom w:val="single" w:sz="0" w:space="0" w:color="auto"/>
            </w:tcBorders>
            <w:vAlign w:val="bottom"/>
          </w:tcPr>
          <w:p w14:paraId="46CA6E16" w14:textId="77777777" w:rsidR="008A25C9" w:rsidRDefault="00000000">
            <w:pPr>
              <w:pStyle w:val="Compact"/>
            </w:pPr>
            <w:r>
              <w:t>R/A</w:t>
            </w:r>
          </w:p>
        </w:tc>
        <w:tc>
          <w:tcPr>
            <w:tcW w:w="0" w:type="auto"/>
            <w:tcBorders>
              <w:bottom w:val="single" w:sz="0" w:space="0" w:color="auto"/>
            </w:tcBorders>
            <w:vAlign w:val="bottom"/>
          </w:tcPr>
          <w:p w14:paraId="5EEE13F6" w14:textId="77777777" w:rsidR="008A25C9" w:rsidRDefault="00000000">
            <w:pPr>
              <w:pStyle w:val="Compact"/>
            </w:pPr>
            <w:r>
              <w:t>Evidence expected</w:t>
            </w:r>
          </w:p>
        </w:tc>
      </w:tr>
      <w:tr w:rsidR="008A25C9" w14:paraId="1DD6FFD5" w14:textId="77777777">
        <w:tc>
          <w:tcPr>
            <w:tcW w:w="0" w:type="auto"/>
          </w:tcPr>
          <w:p w14:paraId="5B5E3997" w14:textId="77777777" w:rsidR="008A25C9" w:rsidRDefault="00000000">
            <w:pPr>
              <w:pStyle w:val="Compact"/>
            </w:pPr>
            <w:r>
              <w:t>AI-literate engineer ratio</w:t>
            </w:r>
          </w:p>
        </w:tc>
        <w:tc>
          <w:tcPr>
            <w:tcW w:w="0" w:type="auto"/>
          </w:tcPr>
          <w:p w14:paraId="48D44978" w14:textId="77777777" w:rsidR="008A25C9" w:rsidRDefault="00000000">
            <w:pPr>
              <w:pStyle w:val="Compact"/>
            </w:pPr>
            <w:r>
              <w:t>4</w:t>
            </w:r>
          </w:p>
        </w:tc>
        <w:tc>
          <w:tcPr>
            <w:tcW w:w="0" w:type="auto"/>
          </w:tcPr>
          <w:p w14:paraId="131364DA" w14:textId="77777777" w:rsidR="008A25C9" w:rsidRDefault="00000000">
            <w:pPr>
              <w:pStyle w:val="Compact"/>
            </w:pPr>
            <w:r>
              <w:t>A</w:t>
            </w:r>
          </w:p>
        </w:tc>
        <w:tc>
          <w:tcPr>
            <w:tcW w:w="0" w:type="auto"/>
          </w:tcPr>
          <w:p w14:paraId="6A10B404" w14:textId="77777777" w:rsidR="008A25C9" w:rsidRDefault="00000000">
            <w:pPr>
              <w:pStyle w:val="Compact"/>
            </w:pPr>
            <w:r>
              <w:t>Share of engineers actively working with AI tooling</w:t>
            </w:r>
          </w:p>
        </w:tc>
      </w:tr>
      <w:tr w:rsidR="008A25C9" w14:paraId="2371D4D4" w14:textId="77777777">
        <w:tc>
          <w:tcPr>
            <w:tcW w:w="0" w:type="auto"/>
          </w:tcPr>
          <w:p w14:paraId="5C2143F4" w14:textId="77777777" w:rsidR="008A25C9" w:rsidRDefault="00000000">
            <w:pPr>
              <w:pStyle w:val="Compact"/>
            </w:pPr>
            <w:r>
              <w:t>ML/AI specialists</w:t>
            </w:r>
          </w:p>
        </w:tc>
        <w:tc>
          <w:tcPr>
            <w:tcW w:w="0" w:type="auto"/>
          </w:tcPr>
          <w:p w14:paraId="0338BC9D" w14:textId="77777777" w:rsidR="008A25C9" w:rsidRDefault="00000000">
            <w:pPr>
              <w:pStyle w:val="Compact"/>
            </w:pPr>
            <w:r>
              <w:t>3</w:t>
            </w:r>
          </w:p>
        </w:tc>
        <w:tc>
          <w:tcPr>
            <w:tcW w:w="0" w:type="auto"/>
          </w:tcPr>
          <w:p w14:paraId="32A885C3" w14:textId="77777777" w:rsidR="008A25C9" w:rsidRDefault="00000000">
            <w:pPr>
              <w:pStyle w:val="Compact"/>
            </w:pPr>
            <w:r>
              <w:t>A</w:t>
            </w:r>
          </w:p>
        </w:tc>
        <w:tc>
          <w:tcPr>
            <w:tcW w:w="0" w:type="auto"/>
          </w:tcPr>
          <w:p w14:paraId="06206290" w14:textId="77777777" w:rsidR="008A25C9" w:rsidRDefault="00000000">
            <w:pPr>
              <w:pStyle w:val="Compact"/>
            </w:pPr>
            <w:r>
              <w:t>Senior ML engineers and researchers on staff</w:t>
            </w:r>
          </w:p>
        </w:tc>
      </w:tr>
      <w:tr w:rsidR="008A25C9" w14:paraId="23CB1E33" w14:textId="77777777">
        <w:tc>
          <w:tcPr>
            <w:tcW w:w="0" w:type="auto"/>
          </w:tcPr>
          <w:p w14:paraId="60FE8A6D" w14:textId="77777777" w:rsidR="008A25C9" w:rsidRDefault="00000000">
            <w:pPr>
              <w:pStyle w:val="Compact"/>
            </w:pPr>
            <w:r>
              <w:t>AI Champions / enablement program</w:t>
            </w:r>
          </w:p>
        </w:tc>
        <w:tc>
          <w:tcPr>
            <w:tcW w:w="0" w:type="auto"/>
          </w:tcPr>
          <w:p w14:paraId="20116765" w14:textId="77777777" w:rsidR="008A25C9" w:rsidRDefault="00000000">
            <w:pPr>
              <w:pStyle w:val="Compact"/>
            </w:pPr>
            <w:r>
              <w:t>3</w:t>
            </w:r>
          </w:p>
        </w:tc>
        <w:tc>
          <w:tcPr>
            <w:tcW w:w="0" w:type="auto"/>
          </w:tcPr>
          <w:p w14:paraId="56B84177" w14:textId="77777777" w:rsidR="008A25C9" w:rsidRDefault="00000000">
            <w:pPr>
              <w:pStyle w:val="Compact"/>
            </w:pPr>
            <w:r>
              <w:t>A</w:t>
            </w:r>
          </w:p>
        </w:tc>
        <w:tc>
          <w:tcPr>
            <w:tcW w:w="0" w:type="auto"/>
          </w:tcPr>
          <w:p w14:paraId="75B45FC6" w14:textId="77777777" w:rsidR="008A25C9" w:rsidRDefault="00000000">
            <w:pPr>
              <w:pStyle w:val="Compact"/>
            </w:pPr>
            <w:r>
              <w:t>Formal cross-functional program (the AI Factory pattern)</w:t>
            </w:r>
          </w:p>
        </w:tc>
      </w:tr>
      <w:tr w:rsidR="008A25C9" w14:paraId="7E8C35DD" w14:textId="77777777">
        <w:tc>
          <w:tcPr>
            <w:tcW w:w="0" w:type="auto"/>
          </w:tcPr>
          <w:p w14:paraId="42525A53" w14:textId="77777777" w:rsidR="008A25C9" w:rsidRDefault="00000000">
            <w:pPr>
              <w:pStyle w:val="Compact"/>
            </w:pPr>
            <w:r>
              <w:t>Retention against brain drain</w:t>
            </w:r>
          </w:p>
        </w:tc>
        <w:tc>
          <w:tcPr>
            <w:tcW w:w="0" w:type="auto"/>
          </w:tcPr>
          <w:p w14:paraId="6C600D26" w14:textId="77777777" w:rsidR="008A25C9" w:rsidRDefault="00000000">
            <w:pPr>
              <w:pStyle w:val="Compact"/>
            </w:pPr>
            <w:r>
              <w:t>2</w:t>
            </w:r>
          </w:p>
        </w:tc>
        <w:tc>
          <w:tcPr>
            <w:tcW w:w="0" w:type="auto"/>
          </w:tcPr>
          <w:p w14:paraId="3BE55355" w14:textId="77777777" w:rsidR="008A25C9" w:rsidRDefault="00000000">
            <w:pPr>
              <w:pStyle w:val="Compact"/>
            </w:pPr>
            <w:r>
              <w:t>R</w:t>
            </w:r>
          </w:p>
        </w:tc>
        <w:tc>
          <w:tcPr>
            <w:tcW w:w="0" w:type="auto"/>
          </w:tcPr>
          <w:p w14:paraId="67BAA657" w14:textId="77777777" w:rsidR="008A25C9" w:rsidRDefault="00000000">
            <w:pPr>
              <w:pStyle w:val="Compact"/>
            </w:pPr>
            <w:r>
              <w:t>AI-staff retention metrics; competitive compensation</w:t>
            </w:r>
          </w:p>
        </w:tc>
      </w:tr>
      <w:tr w:rsidR="008A25C9" w14:paraId="39CF2F3A" w14:textId="77777777">
        <w:tc>
          <w:tcPr>
            <w:tcW w:w="0" w:type="auto"/>
          </w:tcPr>
          <w:p w14:paraId="63FB4C74" w14:textId="77777777" w:rsidR="008A25C9" w:rsidRDefault="00000000">
            <w:pPr>
              <w:pStyle w:val="Compact"/>
            </w:pPr>
            <w:r>
              <w:lastRenderedPageBreak/>
              <w:t>AI literacy in non-tech staff</w:t>
            </w:r>
          </w:p>
        </w:tc>
        <w:tc>
          <w:tcPr>
            <w:tcW w:w="0" w:type="auto"/>
          </w:tcPr>
          <w:p w14:paraId="3AB0F102" w14:textId="77777777" w:rsidR="008A25C9" w:rsidRDefault="00000000">
            <w:pPr>
              <w:pStyle w:val="Compact"/>
            </w:pPr>
            <w:r>
              <w:t>1</w:t>
            </w:r>
          </w:p>
        </w:tc>
        <w:tc>
          <w:tcPr>
            <w:tcW w:w="0" w:type="auto"/>
          </w:tcPr>
          <w:p w14:paraId="311A9EA9" w14:textId="77777777" w:rsidR="008A25C9" w:rsidRDefault="00000000">
            <w:pPr>
              <w:pStyle w:val="Compact"/>
            </w:pPr>
            <w:r>
              <w:t>A</w:t>
            </w:r>
          </w:p>
        </w:tc>
        <w:tc>
          <w:tcPr>
            <w:tcW w:w="0" w:type="auto"/>
          </w:tcPr>
          <w:p w14:paraId="6545976D" w14:textId="77777777" w:rsidR="008A25C9" w:rsidRDefault="00000000">
            <w:pPr>
              <w:pStyle w:val="Compact"/>
            </w:pPr>
            <w:r>
              <w:t>Formal training coverage; internal-assistant adoption</w:t>
            </w:r>
          </w:p>
        </w:tc>
      </w:tr>
    </w:tbl>
    <w:p w14:paraId="5C539CDC" w14:textId="77777777" w:rsidR="008A25C9" w:rsidRDefault="00000000">
      <w:pPr>
        <w:pStyle w:val="Heading3"/>
      </w:pPr>
      <w:bookmarkStart w:id="59" w:name="X69fa9c4c7a85b78159a14ca9a67927f8716f9e3"/>
      <w:r>
        <w:t>Pillar 8. Regulatory (compliance) — 12 points</w:t>
      </w:r>
      <w:bookmarkEnd w:id="59"/>
    </w:p>
    <w:p w14:paraId="0EB58721" w14:textId="77777777" w:rsidR="008A25C9" w:rsidRDefault="00000000">
      <w:pPr>
        <w:pStyle w:val="FirstParagraph"/>
      </w:pPr>
      <w:r>
        <w:t>For businesses this pillar measures how thoroughly you follow the rules — the mirror image of the national variant (Framework §1.2). The reference obligations: the EU AI Act (GPAI obligations and Article 50 transparency enforceable since 2 August 2026; high-risk obligations deferred by the Digital Omnibus to December 2027 for Annex III systems and August 2028 for Annex I products — deadlines that feed the commitment projection, not an excuse to stop preparing); DORA (January 2025) for financial firms; GDPR plus Data Act Chapter VII (September 2025) for residency and CLOUD Act shielding; SR 11-7-style model-risk management; and ISO/IEC 42001 certification, credited as proof of disciplined procedure.</w:t>
      </w:r>
    </w:p>
    <w:tbl>
      <w:tblPr>
        <w:tblStyle w:val="Table"/>
        <w:tblW w:w="5000" w:type="pct"/>
        <w:tblLook w:val="07E0" w:firstRow="1" w:lastRow="1" w:firstColumn="1" w:lastColumn="1" w:noHBand="1" w:noVBand="1"/>
      </w:tblPr>
      <w:tblGrid>
        <w:gridCol w:w="2822"/>
        <w:gridCol w:w="870"/>
        <w:gridCol w:w="585"/>
        <w:gridCol w:w="5083"/>
      </w:tblGrid>
      <w:tr w:rsidR="008A25C9" w14:paraId="1B3541D7" w14:textId="77777777">
        <w:tc>
          <w:tcPr>
            <w:tcW w:w="0" w:type="auto"/>
            <w:tcBorders>
              <w:bottom w:val="single" w:sz="0" w:space="0" w:color="auto"/>
            </w:tcBorders>
            <w:vAlign w:val="bottom"/>
          </w:tcPr>
          <w:p w14:paraId="650DC358" w14:textId="77777777" w:rsidR="008A25C9" w:rsidRDefault="00000000">
            <w:pPr>
              <w:pStyle w:val="Compact"/>
            </w:pPr>
            <w:r>
              <w:t>Sub-indicator</w:t>
            </w:r>
          </w:p>
        </w:tc>
        <w:tc>
          <w:tcPr>
            <w:tcW w:w="0" w:type="auto"/>
            <w:tcBorders>
              <w:bottom w:val="single" w:sz="0" w:space="0" w:color="auto"/>
            </w:tcBorders>
            <w:vAlign w:val="bottom"/>
          </w:tcPr>
          <w:p w14:paraId="5C0BF650" w14:textId="77777777" w:rsidR="008A25C9" w:rsidRDefault="00000000">
            <w:pPr>
              <w:pStyle w:val="Compact"/>
            </w:pPr>
            <w:r>
              <w:t>Points</w:t>
            </w:r>
          </w:p>
        </w:tc>
        <w:tc>
          <w:tcPr>
            <w:tcW w:w="0" w:type="auto"/>
            <w:tcBorders>
              <w:bottom w:val="single" w:sz="0" w:space="0" w:color="auto"/>
            </w:tcBorders>
            <w:vAlign w:val="bottom"/>
          </w:tcPr>
          <w:p w14:paraId="51F531C1" w14:textId="77777777" w:rsidR="008A25C9" w:rsidRDefault="00000000">
            <w:pPr>
              <w:pStyle w:val="Compact"/>
            </w:pPr>
            <w:r>
              <w:t>R/A</w:t>
            </w:r>
          </w:p>
        </w:tc>
        <w:tc>
          <w:tcPr>
            <w:tcW w:w="0" w:type="auto"/>
            <w:tcBorders>
              <w:bottom w:val="single" w:sz="0" w:space="0" w:color="auto"/>
            </w:tcBorders>
            <w:vAlign w:val="bottom"/>
          </w:tcPr>
          <w:p w14:paraId="46829905" w14:textId="77777777" w:rsidR="008A25C9" w:rsidRDefault="00000000">
            <w:pPr>
              <w:pStyle w:val="Compact"/>
            </w:pPr>
            <w:r>
              <w:t>Evidence expected</w:t>
            </w:r>
          </w:p>
        </w:tc>
      </w:tr>
      <w:tr w:rsidR="008A25C9" w14:paraId="604E6E95" w14:textId="77777777">
        <w:tc>
          <w:tcPr>
            <w:tcW w:w="0" w:type="auto"/>
          </w:tcPr>
          <w:p w14:paraId="652B9398" w14:textId="77777777" w:rsidR="008A25C9" w:rsidRDefault="00000000">
            <w:pPr>
              <w:pStyle w:val="Compact"/>
            </w:pPr>
            <w:r>
              <w:t>AI Act conformity posture</w:t>
            </w:r>
          </w:p>
        </w:tc>
        <w:tc>
          <w:tcPr>
            <w:tcW w:w="0" w:type="auto"/>
          </w:tcPr>
          <w:p w14:paraId="53CA1ACA" w14:textId="77777777" w:rsidR="008A25C9" w:rsidRDefault="00000000">
            <w:pPr>
              <w:pStyle w:val="Compact"/>
            </w:pPr>
            <w:r>
              <w:t>4</w:t>
            </w:r>
          </w:p>
        </w:tc>
        <w:tc>
          <w:tcPr>
            <w:tcW w:w="0" w:type="auto"/>
          </w:tcPr>
          <w:p w14:paraId="0B7298CB" w14:textId="77777777" w:rsidR="008A25C9" w:rsidRDefault="00000000">
            <w:pPr>
              <w:pStyle w:val="Compact"/>
            </w:pPr>
            <w:r>
              <w:t>A</w:t>
            </w:r>
          </w:p>
        </w:tc>
        <w:tc>
          <w:tcPr>
            <w:tcW w:w="0" w:type="auto"/>
          </w:tcPr>
          <w:p w14:paraId="465C5C51" w14:textId="77777777" w:rsidR="008A25C9" w:rsidRDefault="00000000">
            <w:pPr>
              <w:pStyle w:val="Compact"/>
            </w:pPr>
            <w:r>
              <w:t>Risk classification complete; technical documentation; FRIA; registration</w:t>
            </w:r>
          </w:p>
        </w:tc>
      </w:tr>
      <w:tr w:rsidR="008A25C9" w14:paraId="7FD5E750" w14:textId="77777777">
        <w:tc>
          <w:tcPr>
            <w:tcW w:w="0" w:type="auto"/>
          </w:tcPr>
          <w:p w14:paraId="3BF53E32" w14:textId="77777777" w:rsidR="008A25C9" w:rsidRDefault="00000000">
            <w:pPr>
              <w:pStyle w:val="Compact"/>
            </w:pPr>
            <w:r>
              <w:t>DPIA + GDPR + Data Act compliance</w:t>
            </w:r>
          </w:p>
        </w:tc>
        <w:tc>
          <w:tcPr>
            <w:tcW w:w="0" w:type="auto"/>
          </w:tcPr>
          <w:p w14:paraId="4A5FC580" w14:textId="77777777" w:rsidR="008A25C9" w:rsidRDefault="00000000">
            <w:pPr>
              <w:pStyle w:val="Compact"/>
            </w:pPr>
            <w:r>
              <w:t>2</w:t>
            </w:r>
          </w:p>
        </w:tc>
        <w:tc>
          <w:tcPr>
            <w:tcW w:w="0" w:type="auto"/>
          </w:tcPr>
          <w:p w14:paraId="5728A853" w14:textId="77777777" w:rsidR="008A25C9" w:rsidRDefault="00000000">
            <w:pPr>
              <w:pStyle w:val="Compact"/>
            </w:pPr>
            <w:r>
              <w:t>A</w:t>
            </w:r>
          </w:p>
        </w:tc>
        <w:tc>
          <w:tcPr>
            <w:tcW w:w="0" w:type="auto"/>
          </w:tcPr>
          <w:p w14:paraId="4DCE5669" w14:textId="77777777" w:rsidR="008A25C9" w:rsidRDefault="00000000">
            <w:pPr>
              <w:pStyle w:val="Compact"/>
            </w:pPr>
            <w:r>
              <w:t>DPIA completeness; lawful basis; SCCs; Chapter VII compatibility</w:t>
            </w:r>
          </w:p>
        </w:tc>
      </w:tr>
      <w:tr w:rsidR="008A25C9" w14:paraId="4655B32A" w14:textId="77777777">
        <w:tc>
          <w:tcPr>
            <w:tcW w:w="0" w:type="auto"/>
          </w:tcPr>
          <w:p w14:paraId="4C17DADA" w14:textId="77777777" w:rsidR="008A25C9" w:rsidRDefault="00000000">
            <w:pPr>
              <w:pStyle w:val="Compact"/>
            </w:pPr>
            <w:r>
              <w:t>MRM (SR 11-7 equivalent)</w:t>
            </w:r>
          </w:p>
        </w:tc>
        <w:tc>
          <w:tcPr>
            <w:tcW w:w="0" w:type="auto"/>
          </w:tcPr>
          <w:p w14:paraId="4A33C186" w14:textId="77777777" w:rsidR="008A25C9" w:rsidRDefault="00000000">
            <w:pPr>
              <w:pStyle w:val="Compact"/>
            </w:pPr>
            <w:r>
              <w:t>3</w:t>
            </w:r>
          </w:p>
        </w:tc>
        <w:tc>
          <w:tcPr>
            <w:tcW w:w="0" w:type="auto"/>
          </w:tcPr>
          <w:p w14:paraId="3E9413D6" w14:textId="77777777" w:rsidR="008A25C9" w:rsidRDefault="00000000">
            <w:pPr>
              <w:pStyle w:val="Compact"/>
            </w:pPr>
            <w:r>
              <w:t>R</w:t>
            </w:r>
          </w:p>
        </w:tc>
        <w:tc>
          <w:tcPr>
            <w:tcW w:w="0" w:type="auto"/>
          </w:tcPr>
          <w:p w14:paraId="51C9D0A2" w14:textId="77777777" w:rsidR="008A25C9" w:rsidRDefault="00000000">
            <w:pPr>
              <w:pStyle w:val="Compact"/>
            </w:pPr>
            <w:r>
              <w:t>Model inventory; challenger models; monitoring; independent validation</w:t>
            </w:r>
          </w:p>
        </w:tc>
      </w:tr>
      <w:tr w:rsidR="008A25C9" w14:paraId="46EF24C8" w14:textId="77777777">
        <w:tc>
          <w:tcPr>
            <w:tcW w:w="0" w:type="auto"/>
          </w:tcPr>
          <w:p w14:paraId="60C723B4" w14:textId="77777777" w:rsidR="008A25C9" w:rsidRDefault="00000000">
            <w:pPr>
              <w:pStyle w:val="Compact"/>
            </w:pPr>
            <w:r>
              <w:t>ISO 42001 certification</w:t>
            </w:r>
          </w:p>
        </w:tc>
        <w:tc>
          <w:tcPr>
            <w:tcW w:w="0" w:type="auto"/>
          </w:tcPr>
          <w:p w14:paraId="52B19B3D" w14:textId="77777777" w:rsidR="008A25C9" w:rsidRDefault="00000000">
            <w:pPr>
              <w:pStyle w:val="Compact"/>
            </w:pPr>
            <w:r>
              <w:t>2</w:t>
            </w:r>
          </w:p>
        </w:tc>
        <w:tc>
          <w:tcPr>
            <w:tcW w:w="0" w:type="auto"/>
          </w:tcPr>
          <w:p w14:paraId="029D4DC1" w14:textId="77777777" w:rsidR="008A25C9" w:rsidRDefault="00000000">
            <w:pPr>
              <w:pStyle w:val="Compact"/>
            </w:pPr>
            <w:r>
              <w:t>A</w:t>
            </w:r>
          </w:p>
        </w:tc>
        <w:tc>
          <w:tcPr>
            <w:tcW w:w="0" w:type="auto"/>
          </w:tcPr>
          <w:p w14:paraId="67BC8960" w14:textId="77777777" w:rsidR="008A25C9" w:rsidRDefault="00000000">
            <w:pPr>
              <w:pStyle w:val="Compact"/>
            </w:pPr>
            <w:r>
              <w:t>Active certification; SoA completeness; audit evidence</w:t>
            </w:r>
          </w:p>
        </w:tc>
      </w:tr>
      <w:tr w:rsidR="008A25C9" w14:paraId="7D1C65C9" w14:textId="77777777">
        <w:tc>
          <w:tcPr>
            <w:tcW w:w="0" w:type="auto"/>
          </w:tcPr>
          <w:p w14:paraId="5F62F5A1" w14:textId="77777777" w:rsidR="008A25C9" w:rsidRDefault="00000000">
            <w:pPr>
              <w:pStyle w:val="Compact"/>
            </w:pPr>
            <w:r>
              <w:t>DORA readiness (financial)</w:t>
            </w:r>
          </w:p>
        </w:tc>
        <w:tc>
          <w:tcPr>
            <w:tcW w:w="0" w:type="auto"/>
          </w:tcPr>
          <w:p w14:paraId="72760DAF" w14:textId="77777777" w:rsidR="008A25C9" w:rsidRDefault="00000000">
            <w:pPr>
              <w:pStyle w:val="Compact"/>
            </w:pPr>
            <w:r>
              <w:t>1</w:t>
            </w:r>
          </w:p>
        </w:tc>
        <w:tc>
          <w:tcPr>
            <w:tcW w:w="0" w:type="auto"/>
          </w:tcPr>
          <w:p w14:paraId="35F7D781" w14:textId="77777777" w:rsidR="008A25C9" w:rsidRDefault="00000000">
            <w:pPr>
              <w:pStyle w:val="Compact"/>
            </w:pPr>
            <w:r>
              <w:t>R</w:t>
            </w:r>
          </w:p>
        </w:tc>
        <w:tc>
          <w:tcPr>
            <w:tcW w:w="0" w:type="auto"/>
          </w:tcPr>
          <w:p w14:paraId="00133D1E" w14:textId="77777777" w:rsidR="008A25C9" w:rsidRDefault="00000000">
            <w:pPr>
              <w:pStyle w:val="Compact"/>
            </w:pPr>
            <w:r>
              <w:t>ICT risk management; third-party register; incident reporting</w:t>
            </w:r>
          </w:p>
        </w:tc>
      </w:tr>
    </w:tbl>
    <w:p w14:paraId="4579D192" w14:textId="77777777" w:rsidR="008A25C9" w:rsidRDefault="00000000">
      <w:pPr>
        <w:pStyle w:val="Heading2"/>
      </w:pPr>
      <w:bookmarkStart w:id="60" w:name="X77ee2af2519b368b0f8062fa9426944dd05ea2d"/>
      <w:bookmarkStart w:id="61" w:name="_Toc238848860"/>
      <w:r>
        <w:t>Part II. The ninth pillar — Culture and Operating Model</w:t>
      </w:r>
      <w:bookmarkEnd w:id="60"/>
      <w:bookmarkEnd w:id="61"/>
    </w:p>
    <w:p w14:paraId="6D69B7C3" w14:textId="77777777" w:rsidR="008A25C9" w:rsidRDefault="00000000">
      <w:pPr>
        <w:pStyle w:val="FirstParagraph"/>
      </w:pPr>
      <w:r>
        <w:t>Getting AI right in a company is not just technology and rule-following. The CrowdStrike incident (July 2024) was the clearest recent test of operational maturity: whether recovery took hours or days came down to playbooks and response teams, not cloud choice. Every major business AI-maturity framework (McKinsey, BCG, Gartner, Deloitte, MIT CISR) treats culture as its own dimension, and for the same reason AI-SAF-C gives it a 10-point pillar. “Culture” here means how the company actually operates — measured by what people visibly do (real AI use in everyday work, deployment speed, escalation, behaviour change after incidents), not by mission statements or survey answers.</w:t>
      </w:r>
    </w:p>
    <w:p w14:paraId="0BBB98FF" w14:textId="77777777" w:rsidR="008A25C9" w:rsidRDefault="00000000">
      <w:pPr>
        <w:pStyle w:val="BodyText"/>
      </w:pPr>
      <w:r>
        <w:t>The ten points split evenly — five for governance, five for practice — on purpose. Governance without practice produces polished policies that people route around; practice without governance produces companies that ship fast and discover accountability only when something breaks.</w:t>
      </w:r>
    </w:p>
    <w:p w14:paraId="36E92A5B" w14:textId="77777777" w:rsidR="008A25C9" w:rsidRDefault="00000000">
      <w:pPr>
        <w:pStyle w:val="BodyText"/>
      </w:pPr>
      <w:r>
        <w:rPr>
          <w:b/>
        </w:rPr>
        <w:t>Governance side (5):</w:t>
      </w:r>
    </w:p>
    <w:tbl>
      <w:tblPr>
        <w:tblStyle w:val="Table"/>
        <w:tblW w:w="5000" w:type="pct"/>
        <w:tblLook w:val="07E0" w:firstRow="1" w:lastRow="1" w:firstColumn="1" w:lastColumn="1" w:noHBand="1" w:noVBand="1"/>
      </w:tblPr>
      <w:tblGrid>
        <w:gridCol w:w="2336"/>
        <w:gridCol w:w="870"/>
        <w:gridCol w:w="585"/>
        <w:gridCol w:w="5569"/>
      </w:tblGrid>
      <w:tr w:rsidR="008A25C9" w14:paraId="10E495A4" w14:textId="77777777">
        <w:tc>
          <w:tcPr>
            <w:tcW w:w="0" w:type="auto"/>
            <w:tcBorders>
              <w:bottom w:val="single" w:sz="0" w:space="0" w:color="auto"/>
            </w:tcBorders>
            <w:vAlign w:val="bottom"/>
          </w:tcPr>
          <w:p w14:paraId="2A0AB5FC" w14:textId="77777777" w:rsidR="008A25C9" w:rsidRDefault="00000000">
            <w:pPr>
              <w:pStyle w:val="Compact"/>
            </w:pPr>
            <w:r>
              <w:lastRenderedPageBreak/>
              <w:t>Sub-indicator</w:t>
            </w:r>
          </w:p>
        </w:tc>
        <w:tc>
          <w:tcPr>
            <w:tcW w:w="0" w:type="auto"/>
            <w:tcBorders>
              <w:bottom w:val="single" w:sz="0" w:space="0" w:color="auto"/>
            </w:tcBorders>
            <w:vAlign w:val="bottom"/>
          </w:tcPr>
          <w:p w14:paraId="77F43E9D" w14:textId="77777777" w:rsidR="008A25C9" w:rsidRDefault="00000000">
            <w:pPr>
              <w:pStyle w:val="Compact"/>
            </w:pPr>
            <w:r>
              <w:t>Points</w:t>
            </w:r>
          </w:p>
        </w:tc>
        <w:tc>
          <w:tcPr>
            <w:tcW w:w="0" w:type="auto"/>
            <w:tcBorders>
              <w:bottom w:val="single" w:sz="0" w:space="0" w:color="auto"/>
            </w:tcBorders>
            <w:vAlign w:val="bottom"/>
          </w:tcPr>
          <w:p w14:paraId="70130478" w14:textId="77777777" w:rsidR="008A25C9" w:rsidRDefault="00000000">
            <w:pPr>
              <w:pStyle w:val="Compact"/>
            </w:pPr>
            <w:r>
              <w:t>R/A</w:t>
            </w:r>
          </w:p>
        </w:tc>
        <w:tc>
          <w:tcPr>
            <w:tcW w:w="0" w:type="auto"/>
            <w:tcBorders>
              <w:bottom w:val="single" w:sz="0" w:space="0" w:color="auto"/>
            </w:tcBorders>
            <w:vAlign w:val="bottom"/>
          </w:tcPr>
          <w:p w14:paraId="249F5DF7" w14:textId="77777777" w:rsidR="008A25C9" w:rsidRDefault="00000000">
            <w:pPr>
              <w:pStyle w:val="Compact"/>
            </w:pPr>
            <w:r>
              <w:t>Scoring anchors</w:t>
            </w:r>
          </w:p>
        </w:tc>
      </w:tr>
      <w:tr w:rsidR="008A25C9" w14:paraId="4A525150" w14:textId="77777777">
        <w:tc>
          <w:tcPr>
            <w:tcW w:w="0" w:type="auto"/>
          </w:tcPr>
          <w:p w14:paraId="2C4D5DF1" w14:textId="77777777" w:rsidR="008A25C9" w:rsidRDefault="00000000">
            <w:pPr>
              <w:pStyle w:val="Compact"/>
            </w:pPr>
            <w:r>
              <w:t>AI ethics / model-risk committee</w:t>
            </w:r>
          </w:p>
        </w:tc>
        <w:tc>
          <w:tcPr>
            <w:tcW w:w="0" w:type="auto"/>
          </w:tcPr>
          <w:p w14:paraId="2F19A438" w14:textId="77777777" w:rsidR="008A25C9" w:rsidRDefault="00000000">
            <w:pPr>
              <w:pStyle w:val="Compact"/>
            </w:pPr>
            <w:r>
              <w:t>3</w:t>
            </w:r>
          </w:p>
        </w:tc>
        <w:tc>
          <w:tcPr>
            <w:tcW w:w="0" w:type="auto"/>
          </w:tcPr>
          <w:p w14:paraId="05BDBEA1" w14:textId="77777777" w:rsidR="008A25C9" w:rsidRDefault="00000000">
            <w:pPr>
              <w:pStyle w:val="Compact"/>
            </w:pPr>
            <w:r>
              <w:t>A</w:t>
            </w:r>
          </w:p>
        </w:tc>
        <w:tc>
          <w:tcPr>
            <w:tcW w:w="0" w:type="auto"/>
          </w:tcPr>
          <w:p w14:paraId="5B46E880" w14:textId="77777777" w:rsidR="008A25C9" w:rsidRDefault="00000000">
            <w:pPr>
              <w:pStyle w:val="Compact"/>
            </w:pPr>
            <w:r>
              <w:t>0 = none → 3 = board-level chair; monthly or on-demand; tied into risk and audit; full risk-ranked model inventory</w:t>
            </w:r>
          </w:p>
        </w:tc>
      </w:tr>
      <w:tr w:rsidR="008A25C9" w14:paraId="7DE39F54" w14:textId="77777777">
        <w:tc>
          <w:tcPr>
            <w:tcW w:w="0" w:type="auto"/>
          </w:tcPr>
          <w:p w14:paraId="53064998" w14:textId="77777777" w:rsidR="008A25C9" w:rsidRDefault="00000000">
            <w:pPr>
              <w:pStyle w:val="Compact"/>
            </w:pPr>
            <w:r>
              <w:t>Written model-risk management</w:t>
            </w:r>
          </w:p>
        </w:tc>
        <w:tc>
          <w:tcPr>
            <w:tcW w:w="0" w:type="auto"/>
          </w:tcPr>
          <w:p w14:paraId="33423CC3" w14:textId="77777777" w:rsidR="008A25C9" w:rsidRDefault="00000000">
            <w:pPr>
              <w:pStyle w:val="Compact"/>
            </w:pPr>
            <w:r>
              <w:t>2</w:t>
            </w:r>
          </w:p>
        </w:tc>
        <w:tc>
          <w:tcPr>
            <w:tcW w:w="0" w:type="auto"/>
          </w:tcPr>
          <w:p w14:paraId="0F21D7F0" w14:textId="77777777" w:rsidR="008A25C9" w:rsidRDefault="00000000">
            <w:pPr>
              <w:pStyle w:val="Compact"/>
            </w:pPr>
            <w:r>
              <w:t>A</w:t>
            </w:r>
          </w:p>
        </w:tc>
        <w:tc>
          <w:tcPr>
            <w:tcW w:w="0" w:type="auto"/>
          </w:tcPr>
          <w:p w14:paraId="2065D686" w14:textId="77777777" w:rsidR="008A25C9" w:rsidRDefault="00000000">
            <w:pPr>
              <w:pStyle w:val="Compact"/>
            </w:pPr>
            <w:r>
              <w:t>0 = no policy → 2 = documented checks per live model, monitoring, retirement schedule, staffed independent validation</w:t>
            </w:r>
          </w:p>
        </w:tc>
      </w:tr>
    </w:tbl>
    <w:p w14:paraId="206452C0" w14:textId="77777777" w:rsidR="008A25C9" w:rsidRDefault="00000000">
      <w:pPr>
        <w:pStyle w:val="BodyText"/>
      </w:pPr>
      <w:r>
        <w:rPr>
          <w:b/>
        </w:rPr>
        <w:t>Practice side (5):</w:t>
      </w:r>
    </w:p>
    <w:tbl>
      <w:tblPr>
        <w:tblStyle w:val="Table"/>
        <w:tblW w:w="5000" w:type="pct"/>
        <w:tblLook w:val="07E0" w:firstRow="1" w:lastRow="1" w:firstColumn="1" w:lastColumn="1" w:noHBand="1" w:noVBand="1"/>
      </w:tblPr>
      <w:tblGrid>
        <w:gridCol w:w="2217"/>
        <w:gridCol w:w="870"/>
        <w:gridCol w:w="585"/>
        <w:gridCol w:w="5688"/>
      </w:tblGrid>
      <w:tr w:rsidR="008A25C9" w14:paraId="720FD60C" w14:textId="77777777">
        <w:tc>
          <w:tcPr>
            <w:tcW w:w="0" w:type="auto"/>
            <w:tcBorders>
              <w:bottom w:val="single" w:sz="0" w:space="0" w:color="auto"/>
            </w:tcBorders>
            <w:vAlign w:val="bottom"/>
          </w:tcPr>
          <w:p w14:paraId="43C7658B" w14:textId="77777777" w:rsidR="008A25C9" w:rsidRDefault="00000000">
            <w:pPr>
              <w:pStyle w:val="Compact"/>
            </w:pPr>
            <w:r>
              <w:t>Sub-indicator</w:t>
            </w:r>
          </w:p>
        </w:tc>
        <w:tc>
          <w:tcPr>
            <w:tcW w:w="0" w:type="auto"/>
            <w:tcBorders>
              <w:bottom w:val="single" w:sz="0" w:space="0" w:color="auto"/>
            </w:tcBorders>
            <w:vAlign w:val="bottom"/>
          </w:tcPr>
          <w:p w14:paraId="538F5E83" w14:textId="77777777" w:rsidR="008A25C9" w:rsidRDefault="00000000">
            <w:pPr>
              <w:pStyle w:val="Compact"/>
            </w:pPr>
            <w:r>
              <w:t>Points</w:t>
            </w:r>
          </w:p>
        </w:tc>
        <w:tc>
          <w:tcPr>
            <w:tcW w:w="0" w:type="auto"/>
            <w:tcBorders>
              <w:bottom w:val="single" w:sz="0" w:space="0" w:color="auto"/>
            </w:tcBorders>
            <w:vAlign w:val="bottom"/>
          </w:tcPr>
          <w:p w14:paraId="3E299956" w14:textId="77777777" w:rsidR="008A25C9" w:rsidRDefault="00000000">
            <w:pPr>
              <w:pStyle w:val="Compact"/>
            </w:pPr>
            <w:r>
              <w:t>R/A</w:t>
            </w:r>
          </w:p>
        </w:tc>
        <w:tc>
          <w:tcPr>
            <w:tcW w:w="0" w:type="auto"/>
            <w:tcBorders>
              <w:bottom w:val="single" w:sz="0" w:space="0" w:color="auto"/>
            </w:tcBorders>
            <w:vAlign w:val="bottom"/>
          </w:tcPr>
          <w:p w14:paraId="5CEC5899" w14:textId="77777777" w:rsidR="008A25C9" w:rsidRDefault="00000000">
            <w:pPr>
              <w:pStyle w:val="Compact"/>
            </w:pPr>
            <w:r>
              <w:t>Scoring anchors</w:t>
            </w:r>
          </w:p>
        </w:tc>
      </w:tr>
      <w:tr w:rsidR="008A25C9" w14:paraId="768E69BB" w14:textId="77777777">
        <w:tc>
          <w:tcPr>
            <w:tcW w:w="0" w:type="auto"/>
          </w:tcPr>
          <w:p w14:paraId="64937CD9" w14:textId="77777777" w:rsidR="008A25C9" w:rsidRDefault="00000000">
            <w:pPr>
              <w:pStyle w:val="Compact"/>
            </w:pPr>
            <w:r>
              <w:t>Incident handling</w:t>
            </w:r>
          </w:p>
        </w:tc>
        <w:tc>
          <w:tcPr>
            <w:tcW w:w="0" w:type="auto"/>
          </w:tcPr>
          <w:p w14:paraId="09297FA8" w14:textId="77777777" w:rsidR="008A25C9" w:rsidRDefault="00000000">
            <w:pPr>
              <w:pStyle w:val="Compact"/>
            </w:pPr>
            <w:r>
              <w:t>2</w:t>
            </w:r>
          </w:p>
        </w:tc>
        <w:tc>
          <w:tcPr>
            <w:tcW w:w="0" w:type="auto"/>
          </w:tcPr>
          <w:p w14:paraId="1812F5F3" w14:textId="77777777" w:rsidR="008A25C9" w:rsidRDefault="00000000">
            <w:pPr>
              <w:pStyle w:val="Compact"/>
            </w:pPr>
            <w:r>
              <w:t>R</w:t>
            </w:r>
          </w:p>
        </w:tc>
        <w:tc>
          <w:tcPr>
            <w:tcW w:w="0" w:type="auto"/>
          </w:tcPr>
          <w:p w14:paraId="2A721B4F" w14:textId="77777777" w:rsidR="008A25C9" w:rsidRDefault="00000000">
            <w:pPr>
              <w:pStyle w:val="Compact"/>
            </w:pPr>
            <w:r>
              <w:t>0 = no AI-specific process → 2 = rehearsed response with drills, tested rollback, routine near-miss reporting</w:t>
            </w:r>
          </w:p>
        </w:tc>
      </w:tr>
      <w:tr w:rsidR="008A25C9" w14:paraId="35CBA231" w14:textId="77777777">
        <w:tc>
          <w:tcPr>
            <w:tcW w:w="0" w:type="auto"/>
          </w:tcPr>
          <w:p w14:paraId="507B2870" w14:textId="77777777" w:rsidR="008A25C9" w:rsidRDefault="00000000">
            <w:pPr>
              <w:pStyle w:val="Compact"/>
            </w:pPr>
            <w:r>
              <w:t>Rollout speed</w:t>
            </w:r>
          </w:p>
        </w:tc>
        <w:tc>
          <w:tcPr>
            <w:tcW w:w="0" w:type="auto"/>
          </w:tcPr>
          <w:p w14:paraId="1FCB341F" w14:textId="77777777" w:rsidR="008A25C9" w:rsidRDefault="00000000">
            <w:pPr>
              <w:pStyle w:val="Compact"/>
            </w:pPr>
            <w:r>
              <w:t>1</w:t>
            </w:r>
          </w:p>
        </w:tc>
        <w:tc>
          <w:tcPr>
            <w:tcW w:w="0" w:type="auto"/>
          </w:tcPr>
          <w:p w14:paraId="519B3E29" w14:textId="77777777" w:rsidR="008A25C9" w:rsidRDefault="00000000">
            <w:pPr>
              <w:pStyle w:val="Compact"/>
            </w:pPr>
            <w:r>
              <w:t>R</w:t>
            </w:r>
          </w:p>
        </w:tc>
        <w:tc>
          <w:tcPr>
            <w:tcW w:w="0" w:type="auto"/>
          </w:tcPr>
          <w:p w14:paraId="4BAC8DE0" w14:textId="77777777" w:rsidR="008A25C9" w:rsidRDefault="00000000">
            <w:pPr>
              <w:pStyle w:val="Compact"/>
            </w:pPr>
            <w:r>
              <w:t>0 = &gt;6 months or untracked → 1 = ≤3 months, tracked against a target</w:t>
            </w:r>
          </w:p>
        </w:tc>
      </w:tr>
      <w:tr w:rsidR="008A25C9" w14:paraId="29145173" w14:textId="77777777">
        <w:tc>
          <w:tcPr>
            <w:tcW w:w="0" w:type="auto"/>
          </w:tcPr>
          <w:p w14:paraId="601A0724" w14:textId="77777777" w:rsidR="008A25C9" w:rsidRDefault="00000000">
            <w:pPr>
              <w:pStyle w:val="Compact"/>
            </w:pPr>
            <w:r>
              <w:t>Disciplined experimenting</w:t>
            </w:r>
          </w:p>
        </w:tc>
        <w:tc>
          <w:tcPr>
            <w:tcW w:w="0" w:type="auto"/>
          </w:tcPr>
          <w:p w14:paraId="6190EC02" w14:textId="77777777" w:rsidR="008A25C9" w:rsidRDefault="00000000">
            <w:pPr>
              <w:pStyle w:val="Compact"/>
            </w:pPr>
            <w:r>
              <w:t>2</w:t>
            </w:r>
          </w:p>
        </w:tc>
        <w:tc>
          <w:tcPr>
            <w:tcW w:w="0" w:type="auto"/>
          </w:tcPr>
          <w:p w14:paraId="0FBAF334" w14:textId="77777777" w:rsidR="008A25C9" w:rsidRDefault="00000000">
            <w:pPr>
              <w:pStyle w:val="Compact"/>
            </w:pPr>
            <w:r>
              <w:t>A</w:t>
            </w:r>
          </w:p>
        </w:tc>
        <w:tc>
          <w:tcPr>
            <w:tcW w:w="0" w:type="auto"/>
          </w:tcPr>
          <w:p w14:paraId="1210C9A4" w14:textId="77777777" w:rsidR="008A25C9" w:rsidRDefault="00000000">
            <w:pPr>
              <w:pStyle w:val="Compact"/>
            </w:pPr>
            <w:r>
              <w:t>0 = no systematic testing → 2 = own-domain benchmarks; A/B tooling wired into rollout; results gate go-live</w:t>
            </w:r>
          </w:p>
        </w:tc>
      </w:tr>
    </w:tbl>
    <w:p w14:paraId="0B857D73" w14:textId="77777777" w:rsidR="008A25C9" w:rsidRDefault="00000000">
      <w:pPr>
        <w:pStyle w:val="BodyText"/>
      </w:pPr>
      <w:r>
        <w:t>Calibration: a long-established, heavily regulated firm with strong governance but regulation-limited speed scores around 8; a mature AI-first scaleup with strong practice but lighter governance around 7; an early-stage firm with neither, 1–2. The even split keeps either type from winning the pillar on company type alone.</w:t>
      </w:r>
    </w:p>
    <w:p w14:paraId="1B2A61FF" w14:textId="77777777" w:rsidR="008A25C9" w:rsidRDefault="00000000">
      <w:pPr>
        <w:pStyle w:val="Heading2"/>
      </w:pPr>
      <w:bookmarkStart w:id="62" w:name="part-iii.-scale-discount"/>
      <w:bookmarkStart w:id="63" w:name="_Toc238848861"/>
      <w:r>
        <w:t>Part III. Scale discount</w:t>
      </w:r>
      <w:bookmarkEnd w:id="62"/>
      <w:bookmarkEnd w:id="63"/>
    </w:p>
    <w:p w14:paraId="43FE3679" w14:textId="77777777" w:rsidR="008A25C9" w:rsidRDefault="00000000">
      <w:pPr>
        <w:pStyle w:val="FirstParagraph"/>
      </w:pPr>
      <w:r>
        <w:t>Size affects how realistically some scores can be reached. For enterprises under 500 employees, the Data, Human Capital, and Culture raw scores are multiplied by 0.85; from 500 to 2,000 employees, by 0.92; above 2,000, no discount. The other six pillars are not adjusted — they depend on architectural and contractual choices, not headcount. A 30-person startup cannot build a bank-sized fine-tuning corpus however well it manages data, and formal governance comes more easily at scale; but a small firm can reach L2 on Models, run on certified sovereign infrastructure, hold ISO 42001, and diversify hardware — none of that needs a thousand people.</w:t>
      </w:r>
    </w:p>
    <w:p w14:paraId="0A7C9AB3" w14:textId="77777777" w:rsidR="008A25C9" w:rsidRDefault="00000000">
      <w:pPr>
        <w:pStyle w:val="Heading2"/>
      </w:pPr>
      <w:bookmarkStart w:id="64" w:name="part-iv.-worked-example-bnp-paribas"/>
      <w:bookmarkStart w:id="65" w:name="_Toc238848862"/>
      <w:r>
        <w:t>Part IV. Worked example: BNP Paribas</w:t>
      </w:r>
      <w:bookmarkEnd w:id="64"/>
      <w:bookmarkEnd w:id="65"/>
    </w:p>
    <w:p w14:paraId="6947773A" w14:textId="77777777" w:rsidR="008A25C9" w:rsidRDefault="00000000">
      <w:pPr>
        <w:pStyle w:val="FirstParagraph"/>
      </w:pPr>
      <w:r>
        <w:t>The strongest example of a European bank doing AI well: a multi-year Mistral partnership since February 2024; an in-house “LLM as a service” platform on BNP’s own GPUs in its own data centres; disciplined governance. (Both profiles below are the authors’ estimates from public information — see the Evidence Base’s verification note.)</w:t>
      </w:r>
    </w:p>
    <w:p w14:paraId="75B5E0BB" w14:textId="77777777" w:rsidR="008A25C9" w:rsidRDefault="00000000">
      <w:pPr>
        <w:pStyle w:val="Heading3"/>
      </w:pPr>
      <w:bookmarkStart w:id="66" w:name="base-profile"/>
      <w:r>
        <w:t>4.1 Base profile</w:t>
      </w:r>
      <w:bookmarkEnd w:id="66"/>
    </w:p>
    <w:tbl>
      <w:tblPr>
        <w:tblStyle w:val="Table"/>
        <w:tblW w:w="5000" w:type="pct"/>
        <w:tblLook w:val="07E0" w:firstRow="1" w:lastRow="1" w:firstColumn="1" w:lastColumn="1" w:noHBand="1" w:noVBand="1"/>
      </w:tblPr>
      <w:tblGrid>
        <w:gridCol w:w="1736"/>
        <w:gridCol w:w="951"/>
        <w:gridCol w:w="690"/>
        <w:gridCol w:w="820"/>
        <w:gridCol w:w="5163"/>
      </w:tblGrid>
      <w:tr w:rsidR="008A25C9" w14:paraId="7872634B" w14:textId="77777777">
        <w:tc>
          <w:tcPr>
            <w:tcW w:w="0" w:type="auto"/>
            <w:tcBorders>
              <w:bottom w:val="single" w:sz="0" w:space="0" w:color="auto"/>
            </w:tcBorders>
            <w:vAlign w:val="bottom"/>
          </w:tcPr>
          <w:p w14:paraId="5D7B5F04" w14:textId="77777777" w:rsidR="008A25C9" w:rsidRDefault="00000000">
            <w:pPr>
              <w:pStyle w:val="Compact"/>
            </w:pPr>
            <w:r>
              <w:t>Pillar</w:t>
            </w:r>
          </w:p>
        </w:tc>
        <w:tc>
          <w:tcPr>
            <w:tcW w:w="0" w:type="auto"/>
            <w:tcBorders>
              <w:bottom w:val="single" w:sz="0" w:space="0" w:color="auto"/>
            </w:tcBorders>
            <w:vAlign w:val="bottom"/>
          </w:tcPr>
          <w:p w14:paraId="60F90AAC" w14:textId="77777777" w:rsidR="008A25C9" w:rsidRDefault="00000000">
            <w:pPr>
              <w:pStyle w:val="Compact"/>
            </w:pPr>
            <w:r>
              <w:t>Weight</w:t>
            </w:r>
          </w:p>
        </w:tc>
        <w:tc>
          <w:tcPr>
            <w:tcW w:w="0" w:type="auto"/>
            <w:tcBorders>
              <w:bottom w:val="single" w:sz="0" w:space="0" w:color="auto"/>
            </w:tcBorders>
            <w:vAlign w:val="bottom"/>
          </w:tcPr>
          <w:p w14:paraId="4D1B49BE" w14:textId="77777777" w:rsidR="008A25C9" w:rsidRDefault="00000000">
            <w:pPr>
              <w:pStyle w:val="Compact"/>
            </w:pPr>
            <w:r>
              <w:t>Raw</w:t>
            </w:r>
          </w:p>
        </w:tc>
        <w:tc>
          <w:tcPr>
            <w:tcW w:w="0" w:type="auto"/>
            <w:tcBorders>
              <w:bottom w:val="single" w:sz="0" w:space="0" w:color="auto"/>
            </w:tcBorders>
            <w:vAlign w:val="bottom"/>
          </w:tcPr>
          <w:p w14:paraId="2AE8CF06" w14:textId="77777777" w:rsidR="008A25C9" w:rsidRDefault="00000000">
            <w:pPr>
              <w:pStyle w:val="Compact"/>
            </w:pPr>
            <w:r>
              <w:t>Score</w:t>
            </w:r>
          </w:p>
        </w:tc>
        <w:tc>
          <w:tcPr>
            <w:tcW w:w="0" w:type="auto"/>
            <w:tcBorders>
              <w:bottom w:val="single" w:sz="0" w:space="0" w:color="auto"/>
            </w:tcBorders>
            <w:vAlign w:val="bottom"/>
          </w:tcPr>
          <w:p w14:paraId="405ADA38" w14:textId="77777777" w:rsidR="008A25C9" w:rsidRDefault="00000000">
            <w:pPr>
              <w:pStyle w:val="Compact"/>
            </w:pPr>
            <w:r>
              <w:t>Note</w:t>
            </w:r>
          </w:p>
        </w:tc>
      </w:tr>
      <w:tr w:rsidR="008A25C9" w14:paraId="74A01244" w14:textId="77777777">
        <w:tc>
          <w:tcPr>
            <w:tcW w:w="0" w:type="auto"/>
          </w:tcPr>
          <w:p w14:paraId="575822FD" w14:textId="77777777" w:rsidR="008A25C9" w:rsidRDefault="00000000">
            <w:pPr>
              <w:pStyle w:val="Compact"/>
            </w:pPr>
            <w:r>
              <w:t>Data</w:t>
            </w:r>
          </w:p>
        </w:tc>
        <w:tc>
          <w:tcPr>
            <w:tcW w:w="0" w:type="auto"/>
          </w:tcPr>
          <w:p w14:paraId="6B432F94" w14:textId="77777777" w:rsidR="008A25C9" w:rsidRDefault="00000000">
            <w:pPr>
              <w:pStyle w:val="Compact"/>
            </w:pPr>
            <w:r>
              <w:t>14</w:t>
            </w:r>
          </w:p>
        </w:tc>
        <w:tc>
          <w:tcPr>
            <w:tcW w:w="0" w:type="auto"/>
          </w:tcPr>
          <w:p w14:paraId="0B8541A5" w14:textId="77777777" w:rsidR="008A25C9" w:rsidRDefault="00000000">
            <w:pPr>
              <w:pStyle w:val="Compact"/>
            </w:pPr>
            <w:r>
              <w:t>0.70</w:t>
            </w:r>
          </w:p>
        </w:tc>
        <w:tc>
          <w:tcPr>
            <w:tcW w:w="0" w:type="auto"/>
          </w:tcPr>
          <w:p w14:paraId="12341A9B" w14:textId="77777777" w:rsidR="008A25C9" w:rsidRDefault="00000000">
            <w:pPr>
              <w:pStyle w:val="Compact"/>
            </w:pPr>
            <w:r>
              <w:t>9.8</w:t>
            </w:r>
          </w:p>
        </w:tc>
        <w:tc>
          <w:tcPr>
            <w:tcW w:w="0" w:type="auto"/>
          </w:tcPr>
          <w:p w14:paraId="73ED609B" w14:textId="77777777" w:rsidR="008A25C9" w:rsidRDefault="00000000">
            <w:pPr>
              <w:pStyle w:val="Compact"/>
            </w:pPr>
            <w:r>
              <w:t>Large proprietary financial datasets; strict no-</w:t>
            </w:r>
            <w:r>
              <w:lastRenderedPageBreak/>
              <w:t>train contracts</w:t>
            </w:r>
          </w:p>
        </w:tc>
      </w:tr>
      <w:tr w:rsidR="008A25C9" w14:paraId="3B2B9853" w14:textId="77777777">
        <w:tc>
          <w:tcPr>
            <w:tcW w:w="0" w:type="auto"/>
          </w:tcPr>
          <w:p w14:paraId="3BE9B390" w14:textId="77777777" w:rsidR="008A25C9" w:rsidRDefault="00000000">
            <w:pPr>
              <w:pStyle w:val="Compact"/>
            </w:pPr>
            <w:r>
              <w:lastRenderedPageBreak/>
              <w:t>Models</w:t>
            </w:r>
          </w:p>
        </w:tc>
        <w:tc>
          <w:tcPr>
            <w:tcW w:w="0" w:type="auto"/>
          </w:tcPr>
          <w:p w14:paraId="0F9A74B5" w14:textId="77777777" w:rsidR="008A25C9" w:rsidRDefault="00000000">
            <w:pPr>
              <w:pStyle w:val="Compact"/>
            </w:pPr>
            <w:r>
              <w:t>16</w:t>
            </w:r>
          </w:p>
        </w:tc>
        <w:tc>
          <w:tcPr>
            <w:tcW w:w="0" w:type="auto"/>
          </w:tcPr>
          <w:p w14:paraId="337BEB9E" w14:textId="77777777" w:rsidR="008A25C9" w:rsidRDefault="00000000">
            <w:pPr>
              <w:pStyle w:val="Compact"/>
            </w:pPr>
            <w:r>
              <w:t>0.55</w:t>
            </w:r>
          </w:p>
        </w:tc>
        <w:tc>
          <w:tcPr>
            <w:tcW w:w="0" w:type="auto"/>
          </w:tcPr>
          <w:p w14:paraId="340AD827" w14:textId="77777777" w:rsidR="008A25C9" w:rsidRDefault="00000000">
            <w:pPr>
              <w:pStyle w:val="Compact"/>
            </w:pPr>
            <w:r>
              <w:t>8.8</w:t>
            </w:r>
          </w:p>
        </w:tc>
        <w:tc>
          <w:tcPr>
            <w:tcW w:w="0" w:type="auto"/>
          </w:tcPr>
          <w:p w14:paraId="1F131C26" w14:textId="77777777" w:rsidR="008A25C9" w:rsidRDefault="00000000">
            <w:pPr>
              <w:pStyle w:val="Compact"/>
            </w:pPr>
            <w:r>
              <w:t>L2: Mistral partnership + internal fine-tunes; genuine jurisdiction spread (EU provider + self-run weights); no own FM</w:t>
            </w:r>
          </w:p>
        </w:tc>
      </w:tr>
      <w:tr w:rsidR="008A25C9" w14:paraId="652546CB" w14:textId="77777777">
        <w:tc>
          <w:tcPr>
            <w:tcW w:w="0" w:type="auto"/>
          </w:tcPr>
          <w:p w14:paraId="127F7CAD" w14:textId="77777777" w:rsidR="008A25C9" w:rsidRDefault="00000000">
            <w:pPr>
              <w:pStyle w:val="Compact"/>
            </w:pPr>
            <w:r>
              <w:t>Infrastructure</w:t>
            </w:r>
          </w:p>
        </w:tc>
        <w:tc>
          <w:tcPr>
            <w:tcW w:w="0" w:type="auto"/>
          </w:tcPr>
          <w:p w14:paraId="3FDEA821" w14:textId="77777777" w:rsidR="008A25C9" w:rsidRDefault="00000000">
            <w:pPr>
              <w:pStyle w:val="Compact"/>
            </w:pPr>
            <w:r>
              <w:t>14</w:t>
            </w:r>
          </w:p>
        </w:tc>
        <w:tc>
          <w:tcPr>
            <w:tcW w:w="0" w:type="auto"/>
          </w:tcPr>
          <w:p w14:paraId="5BE4C511" w14:textId="77777777" w:rsidR="008A25C9" w:rsidRDefault="00000000">
            <w:pPr>
              <w:pStyle w:val="Compact"/>
            </w:pPr>
            <w:r>
              <w:t>0.70</w:t>
            </w:r>
          </w:p>
        </w:tc>
        <w:tc>
          <w:tcPr>
            <w:tcW w:w="0" w:type="auto"/>
          </w:tcPr>
          <w:p w14:paraId="7268F729" w14:textId="77777777" w:rsidR="008A25C9" w:rsidRDefault="00000000">
            <w:pPr>
              <w:pStyle w:val="Compact"/>
            </w:pPr>
            <w:r>
              <w:t>9.8</w:t>
            </w:r>
          </w:p>
        </w:tc>
        <w:tc>
          <w:tcPr>
            <w:tcW w:w="0" w:type="auto"/>
          </w:tcPr>
          <w:p w14:paraId="3FDEE5DE" w14:textId="77777777" w:rsidR="008A25C9" w:rsidRDefault="00000000">
            <w:pPr>
              <w:pStyle w:val="Compact"/>
            </w:pPr>
            <w:r>
              <w:t>LLM-aaS on own data centres; backer of Mistral’s Essonne DC</w:t>
            </w:r>
          </w:p>
        </w:tc>
      </w:tr>
      <w:tr w:rsidR="008A25C9" w14:paraId="7F974988" w14:textId="77777777">
        <w:tc>
          <w:tcPr>
            <w:tcW w:w="0" w:type="auto"/>
          </w:tcPr>
          <w:p w14:paraId="6219CF15" w14:textId="77777777" w:rsidR="008A25C9" w:rsidRDefault="00000000">
            <w:pPr>
              <w:pStyle w:val="Compact"/>
            </w:pPr>
            <w:r>
              <w:t>Hardware</w:t>
            </w:r>
          </w:p>
        </w:tc>
        <w:tc>
          <w:tcPr>
            <w:tcW w:w="0" w:type="auto"/>
          </w:tcPr>
          <w:p w14:paraId="132A43B4" w14:textId="77777777" w:rsidR="008A25C9" w:rsidRDefault="00000000">
            <w:pPr>
              <w:pStyle w:val="Compact"/>
            </w:pPr>
            <w:r>
              <w:t>10</w:t>
            </w:r>
          </w:p>
        </w:tc>
        <w:tc>
          <w:tcPr>
            <w:tcW w:w="0" w:type="auto"/>
          </w:tcPr>
          <w:p w14:paraId="57741985" w14:textId="77777777" w:rsidR="008A25C9" w:rsidRDefault="00000000">
            <w:pPr>
              <w:pStyle w:val="Compact"/>
            </w:pPr>
            <w:r>
              <w:t>0.35</w:t>
            </w:r>
          </w:p>
        </w:tc>
        <w:tc>
          <w:tcPr>
            <w:tcW w:w="0" w:type="auto"/>
          </w:tcPr>
          <w:p w14:paraId="1C03E7F3" w14:textId="77777777" w:rsidR="008A25C9" w:rsidRDefault="00000000">
            <w:pPr>
              <w:pStyle w:val="Compact"/>
            </w:pPr>
            <w:r>
              <w:t>3.5</w:t>
            </w:r>
          </w:p>
        </w:tc>
        <w:tc>
          <w:tcPr>
            <w:tcW w:w="0" w:type="auto"/>
          </w:tcPr>
          <w:p w14:paraId="5CE60694" w14:textId="77777777" w:rsidR="008A25C9" w:rsidRDefault="00000000">
            <w:pPr>
              <w:pStyle w:val="Compact"/>
            </w:pPr>
            <w:r>
              <w:t>Some H100/H200 in-house; NVIDIA-only</w:t>
            </w:r>
          </w:p>
        </w:tc>
      </w:tr>
      <w:tr w:rsidR="008A25C9" w14:paraId="3E3BDD78" w14:textId="77777777">
        <w:tc>
          <w:tcPr>
            <w:tcW w:w="0" w:type="auto"/>
          </w:tcPr>
          <w:p w14:paraId="69ECEA94" w14:textId="77777777" w:rsidR="008A25C9" w:rsidRDefault="00000000">
            <w:pPr>
              <w:pStyle w:val="Compact"/>
            </w:pPr>
            <w:r>
              <w:t>Manufacturing</w:t>
            </w:r>
          </w:p>
        </w:tc>
        <w:tc>
          <w:tcPr>
            <w:tcW w:w="0" w:type="auto"/>
          </w:tcPr>
          <w:p w14:paraId="40F0197D" w14:textId="77777777" w:rsidR="008A25C9" w:rsidRDefault="00000000">
            <w:pPr>
              <w:pStyle w:val="Compact"/>
            </w:pPr>
            <w:r>
              <w:t>1</w:t>
            </w:r>
          </w:p>
        </w:tc>
        <w:tc>
          <w:tcPr>
            <w:tcW w:w="0" w:type="auto"/>
          </w:tcPr>
          <w:p w14:paraId="560EB590" w14:textId="77777777" w:rsidR="008A25C9" w:rsidRDefault="00000000">
            <w:pPr>
              <w:pStyle w:val="Compact"/>
            </w:pPr>
            <w:r>
              <w:t>0.00</w:t>
            </w:r>
          </w:p>
        </w:tc>
        <w:tc>
          <w:tcPr>
            <w:tcW w:w="0" w:type="auto"/>
          </w:tcPr>
          <w:p w14:paraId="0D583766" w14:textId="77777777" w:rsidR="008A25C9" w:rsidRDefault="00000000">
            <w:pPr>
              <w:pStyle w:val="Compact"/>
            </w:pPr>
            <w:r>
              <w:t>0.0</w:t>
            </w:r>
          </w:p>
        </w:tc>
        <w:tc>
          <w:tcPr>
            <w:tcW w:w="0" w:type="auto"/>
          </w:tcPr>
          <w:p w14:paraId="0C51EE9E" w14:textId="77777777" w:rsidR="008A25C9" w:rsidRDefault="00000000">
            <w:pPr>
              <w:pStyle w:val="Compact"/>
            </w:pPr>
            <w:r>
              <w:t>Not applicable</w:t>
            </w:r>
          </w:p>
        </w:tc>
      </w:tr>
      <w:tr w:rsidR="008A25C9" w14:paraId="4FC311B6" w14:textId="77777777">
        <w:tc>
          <w:tcPr>
            <w:tcW w:w="0" w:type="auto"/>
          </w:tcPr>
          <w:p w14:paraId="19AC15AB" w14:textId="77777777" w:rsidR="008A25C9" w:rsidRDefault="00000000">
            <w:pPr>
              <w:pStyle w:val="Compact"/>
            </w:pPr>
            <w:r>
              <w:t>Software</w:t>
            </w:r>
          </w:p>
        </w:tc>
        <w:tc>
          <w:tcPr>
            <w:tcW w:w="0" w:type="auto"/>
          </w:tcPr>
          <w:p w14:paraId="79C80920" w14:textId="77777777" w:rsidR="008A25C9" w:rsidRDefault="00000000">
            <w:pPr>
              <w:pStyle w:val="Compact"/>
            </w:pPr>
            <w:r>
              <w:t>10</w:t>
            </w:r>
          </w:p>
        </w:tc>
        <w:tc>
          <w:tcPr>
            <w:tcW w:w="0" w:type="auto"/>
          </w:tcPr>
          <w:p w14:paraId="0A12FFD2" w14:textId="77777777" w:rsidR="008A25C9" w:rsidRDefault="00000000">
            <w:pPr>
              <w:pStyle w:val="Compact"/>
            </w:pPr>
            <w:r>
              <w:t>0.55</w:t>
            </w:r>
          </w:p>
        </w:tc>
        <w:tc>
          <w:tcPr>
            <w:tcW w:w="0" w:type="auto"/>
          </w:tcPr>
          <w:p w14:paraId="15ECE40C" w14:textId="77777777" w:rsidR="008A25C9" w:rsidRDefault="00000000">
            <w:pPr>
              <w:pStyle w:val="Compact"/>
            </w:pPr>
            <w:r>
              <w:t>5.5</w:t>
            </w:r>
          </w:p>
        </w:tc>
        <w:tc>
          <w:tcPr>
            <w:tcW w:w="0" w:type="auto"/>
          </w:tcPr>
          <w:p w14:paraId="3BF56226" w14:textId="77777777" w:rsidR="008A25C9" w:rsidRDefault="00000000">
            <w:pPr>
              <w:pStyle w:val="Compact"/>
            </w:pPr>
            <w:r>
              <w:t>Mature MLOps; open weights + proprietary mix</w:t>
            </w:r>
          </w:p>
        </w:tc>
      </w:tr>
      <w:tr w:rsidR="008A25C9" w14:paraId="2BA11C46" w14:textId="77777777">
        <w:tc>
          <w:tcPr>
            <w:tcW w:w="0" w:type="auto"/>
          </w:tcPr>
          <w:p w14:paraId="098B5F04" w14:textId="77777777" w:rsidR="008A25C9" w:rsidRDefault="00000000">
            <w:pPr>
              <w:pStyle w:val="Compact"/>
            </w:pPr>
            <w:r>
              <w:t>Human capital</w:t>
            </w:r>
          </w:p>
        </w:tc>
        <w:tc>
          <w:tcPr>
            <w:tcW w:w="0" w:type="auto"/>
          </w:tcPr>
          <w:p w14:paraId="42C8E582" w14:textId="77777777" w:rsidR="008A25C9" w:rsidRDefault="00000000">
            <w:pPr>
              <w:pStyle w:val="Compact"/>
            </w:pPr>
            <w:r>
              <w:t>13</w:t>
            </w:r>
          </w:p>
        </w:tc>
        <w:tc>
          <w:tcPr>
            <w:tcW w:w="0" w:type="auto"/>
          </w:tcPr>
          <w:p w14:paraId="301989E3" w14:textId="77777777" w:rsidR="008A25C9" w:rsidRDefault="00000000">
            <w:pPr>
              <w:pStyle w:val="Compact"/>
            </w:pPr>
            <w:r>
              <w:t>0.65</w:t>
            </w:r>
          </w:p>
        </w:tc>
        <w:tc>
          <w:tcPr>
            <w:tcW w:w="0" w:type="auto"/>
          </w:tcPr>
          <w:p w14:paraId="5ECBA540" w14:textId="77777777" w:rsidR="008A25C9" w:rsidRDefault="00000000">
            <w:pPr>
              <w:pStyle w:val="Compact"/>
            </w:pPr>
            <w:r>
              <w:t>8.5</w:t>
            </w:r>
          </w:p>
        </w:tc>
        <w:tc>
          <w:tcPr>
            <w:tcW w:w="0" w:type="auto"/>
          </w:tcPr>
          <w:p w14:paraId="458F75A5" w14:textId="77777777" w:rsidR="008A25C9" w:rsidRDefault="00000000">
            <w:pPr>
              <w:pStyle w:val="Compact"/>
            </w:pPr>
            <w:r>
              <w:t>AI Factory / AI Champion programs; large quant population</w:t>
            </w:r>
          </w:p>
        </w:tc>
      </w:tr>
      <w:tr w:rsidR="008A25C9" w14:paraId="119B8665" w14:textId="77777777">
        <w:tc>
          <w:tcPr>
            <w:tcW w:w="0" w:type="auto"/>
          </w:tcPr>
          <w:p w14:paraId="5EC68165" w14:textId="77777777" w:rsidR="008A25C9" w:rsidRDefault="00000000">
            <w:pPr>
              <w:pStyle w:val="Compact"/>
            </w:pPr>
            <w:r>
              <w:t>Regulatory</w:t>
            </w:r>
          </w:p>
        </w:tc>
        <w:tc>
          <w:tcPr>
            <w:tcW w:w="0" w:type="auto"/>
          </w:tcPr>
          <w:p w14:paraId="005EE2FA" w14:textId="77777777" w:rsidR="008A25C9" w:rsidRDefault="00000000">
            <w:pPr>
              <w:pStyle w:val="Compact"/>
            </w:pPr>
            <w:r>
              <w:t>12</w:t>
            </w:r>
          </w:p>
        </w:tc>
        <w:tc>
          <w:tcPr>
            <w:tcW w:w="0" w:type="auto"/>
          </w:tcPr>
          <w:p w14:paraId="533637C8" w14:textId="77777777" w:rsidR="008A25C9" w:rsidRDefault="00000000">
            <w:pPr>
              <w:pStyle w:val="Compact"/>
            </w:pPr>
            <w:r>
              <w:t>0.85</w:t>
            </w:r>
          </w:p>
        </w:tc>
        <w:tc>
          <w:tcPr>
            <w:tcW w:w="0" w:type="auto"/>
          </w:tcPr>
          <w:p w14:paraId="6206DEE1" w14:textId="77777777" w:rsidR="008A25C9" w:rsidRDefault="00000000">
            <w:pPr>
              <w:pStyle w:val="Compact"/>
            </w:pPr>
            <w:r>
              <w:t>10.2</w:t>
            </w:r>
          </w:p>
        </w:tc>
        <w:tc>
          <w:tcPr>
            <w:tcW w:w="0" w:type="auto"/>
          </w:tcPr>
          <w:p w14:paraId="3CA14331" w14:textId="77777777" w:rsidR="008A25C9" w:rsidRDefault="00000000">
            <w:pPr>
              <w:pStyle w:val="Compact"/>
            </w:pPr>
            <w:r>
              <w:t>DORA, AI Act readiness, GDPR-native, SR 11-7-equivalent MRM</w:t>
            </w:r>
          </w:p>
        </w:tc>
      </w:tr>
      <w:tr w:rsidR="008A25C9" w14:paraId="03CE1BA2" w14:textId="77777777">
        <w:tc>
          <w:tcPr>
            <w:tcW w:w="0" w:type="auto"/>
          </w:tcPr>
          <w:p w14:paraId="167F9122" w14:textId="77777777" w:rsidR="008A25C9" w:rsidRDefault="00000000">
            <w:pPr>
              <w:pStyle w:val="Compact"/>
            </w:pPr>
            <w:r>
              <w:t>Culture</w:t>
            </w:r>
          </w:p>
        </w:tc>
        <w:tc>
          <w:tcPr>
            <w:tcW w:w="0" w:type="auto"/>
          </w:tcPr>
          <w:p w14:paraId="36EF80EC" w14:textId="77777777" w:rsidR="008A25C9" w:rsidRDefault="00000000">
            <w:pPr>
              <w:pStyle w:val="Compact"/>
            </w:pPr>
            <w:r>
              <w:t>10</w:t>
            </w:r>
          </w:p>
        </w:tc>
        <w:tc>
          <w:tcPr>
            <w:tcW w:w="0" w:type="auto"/>
          </w:tcPr>
          <w:p w14:paraId="1D31A0B9" w14:textId="77777777" w:rsidR="008A25C9" w:rsidRDefault="00000000">
            <w:pPr>
              <w:pStyle w:val="Compact"/>
            </w:pPr>
            <w:r>
              <w:t>0.55</w:t>
            </w:r>
          </w:p>
        </w:tc>
        <w:tc>
          <w:tcPr>
            <w:tcW w:w="0" w:type="auto"/>
          </w:tcPr>
          <w:p w14:paraId="13EF9B86" w14:textId="77777777" w:rsidR="008A25C9" w:rsidRDefault="00000000">
            <w:pPr>
              <w:pStyle w:val="Compact"/>
            </w:pPr>
            <w:r>
              <w:t>5.5</w:t>
            </w:r>
          </w:p>
        </w:tc>
        <w:tc>
          <w:tcPr>
            <w:tcW w:w="0" w:type="auto"/>
          </w:tcPr>
          <w:p w14:paraId="6A2E0DA3" w14:textId="77777777" w:rsidR="008A25C9" w:rsidRDefault="00000000">
            <w:pPr>
              <w:pStyle w:val="Compact"/>
            </w:pPr>
            <w:r>
              <w:t>Board-level oversight; speed limited by risk committees</w:t>
            </w:r>
          </w:p>
        </w:tc>
      </w:tr>
      <w:tr w:rsidR="008A25C9" w14:paraId="0816A275" w14:textId="77777777">
        <w:tc>
          <w:tcPr>
            <w:tcW w:w="0" w:type="auto"/>
          </w:tcPr>
          <w:p w14:paraId="1506BB2B" w14:textId="77777777" w:rsidR="008A25C9" w:rsidRDefault="00000000">
            <w:pPr>
              <w:pStyle w:val="Compact"/>
            </w:pPr>
            <w:r>
              <w:rPr>
                <w:b/>
              </w:rPr>
              <w:t>Total</w:t>
            </w:r>
          </w:p>
        </w:tc>
        <w:tc>
          <w:tcPr>
            <w:tcW w:w="0" w:type="auto"/>
          </w:tcPr>
          <w:p w14:paraId="3E4725A1" w14:textId="77777777" w:rsidR="008A25C9" w:rsidRDefault="00000000">
            <w:pPr>
              <w:pStyle w:val="Compact"/>
            </w:pPr>
            <w:r>
              <w:rPr>
                <w:b/>
              </w:rPr>
              <w:t>100</w:t>
            </w:r>
          </w:p>
        </w:tc>
        <w:tc>
          <w:tcPr>
            <w:tcW w:w="0" w:type="auto"/>
          </w:tcPr>
          <w:p w14:paraId="4A7B767E" w14:textId="77777777" w:rsidR="008A25C9" w:rsidRDefault="008A25C9"/>
        </w:tc>
        <w:tc>
          <w:tcPr>
            <w:tcW w:w="0" w:type="auto"/>
          </w:tcPr>
          <w:p w14:paraId="7D7D93EA" w14:textId="77777777" w:rsidR="008A25C9" w:rsidRDefault="00000000">
            <w:pPr>
              <w:pStyle w:val="Compact"/>
            </w:pPr>
            <w:r>
              <w:rPr>
                <w:b/>
              </w:rPr>
              <w:t>~61.6</w:t>
            </w:r>
          </w:p>
        </w:tc>
        <w:tc>
          <w:tcPr>
            <w:tcW w:w="0" w:type="auto"/>
          </w:tcPr>
          <w:p w14:paraId="55A07789" w14:textId="77777777" w:rsidR="008A25C9" w:rsidRDefault="00000000">
            <w:pPr>
              <w:pStyle w:val="Compact"/>
            </w:pPr>
            <w:r>
              <w:t>No scale discount (&gt;2,000 employees)</w:t>
            </w:r>
          </w:p>
        </w:tc>
      </w:tr>
    </w:tbl>
    <w:p w14:paraId="67631441" w14:textId="77777777" w:rsidR="008A25C9" w:rsidRDefault="00000000">
      <w:pPr>
        <w:pStyle w:val="Heading3"/>
      </w:pPr>
      <w:bookmarkStart w:id="67" w:name="reading-the-profile"/>
      <w:r>
        <w:t>4.2 Reading the profile</w:t>
      </w:r>
      <w:bookmarkEnd w:id="67"/>
    </w:p>
    <w:p w14:paraId="5F0CF2D4" w14:textId="77777777" w:rsidR="008A25C9" w:rsidRDefault="00000000">
      <w:pPr>
        <w:pStyle w:val="FirstParagraph"/>
      </w:pPr>
      <w:r>
        <w:t>Regulatory is the strongest pillar — banking is the most heavily regulated industry there is, and BNP has two centuries of practice at it. Data is second: huge private financial datasets that no non-bank could assemble, protected by tight no-train contracts. Infrastructure scores on the on-prem platform and the unusual depth of the Mistral relationship — BNP is at once customer and financier. Models has growth room: L2 is the right level for a bank (building a foundation model is not a bank’s job), and BNP’s portfolio is one of the few in EU banking with real jurisdictional spread — an EU frontier provider plus self-run open weights — which is what the diversification sub-indicator now rewards. Hardware and Culture are the constraints: NVIDIA dependence is industry-wide, and a big regulated bank deploys slowly by design.</w:t>
      </w:r>
    </w:p>
    <w:p w14:paraId="0ECC9A77" w14:textId="77777777" w:rsidR="008A25C9" w:rsidRDefault="00000000">
      <w:pPr>
        <w:pStyle w:val="Heading3"/>
      </w:pPr>
      <w:bookmarkStart w:id="68" w:name="calibration-comparison-ing-bank"/>
      <w:r>
        <w:t>4.3 Calibration comparison: ING Bank</w:t>
      </w:r>
      <w:bookmarkEnd w:id="68"/>
    </w:p>
    <w:p w14:paraId="5A4E8CD6" w14:textId="77777777" w:rsidR="008A25C9" w:rsidRDefault="00000000">
      <w:pPr>
        <w:pStyle w:val="FirstParagraph"/>
      </w:pPr>
      <w:r>
        <w:t>ING made a different choice: primarily Azure OpenAI, less in its own data centres, more CLOUD Act exposure — and, in the revised Models terms, a single-jurisdiction portfolio.</w:t>
      </w:r>
    </w:p>
    <w:tbl>
      <w:tblPr>
        <w:tblStyle w:val="Table"/>
        <w:tblW w:w="5000" w:type="pct"/>
        <w:tblLook w:val="07E0" w:firstRow="1" w:lastRow="1" w:firstColumn="1" w:lastColumn="1" w:noHBand="1" w:noVBand="1"/>
      </w:tblPr>
      <w:tblGrid>
        <w:gridCol w:w="1736"/>
        <w:gridCol w:w="951"/>
        <w:gridCol w:w="690"/>
        <w:gridCol w:w="816"/>
        <w:gridCol w:w="5167"/>
      </w:tblGrid>
      <w:tr w:rsidR="008A25C9" w14:paraId="1A493199" w14:textId="77777777">
        <w:tc>
          <w:tcPr>
            <w:tcW w:w="0" w:type="auto"/>
            <w:tcBorders>
              <w:bottom w:val="single" w:sz="0" w:space="0" w:color="auto"/>
            </w:tcBorders>
            <w:vAlign w:val="bottom"/>
          </w:tcPr>
          <w:p w14:paraId="127DE422" w14:textId="77777777" w:rsidR="008A25C9" w:rsidRDefault="00000000">
            <w:pPr>
              <w:pStyle w:val="Compact"/>
            </w:pPr>
            <w:r>
              <w:t>Pillar</w:t>
            </w:r>
          </w:p>
        </w:tc>
        <w:tc>
          <w:tcPr>
            <w:tcW w:w="0" w:type="auto"/>
            <w:tcBorders>
              <w:bottom w:val="single" w:sz="0" w:space="0" w:color="auto"/>
            </w:tcBorders>
            <w:vAlign w:val="bottom"/>
          </w:tcPr>
          <w:p w14:paraId="02A59F88" w14:textId="77777777" w:rsidR="008A25C9" w:rsidRDefault="00000000">
            <w:pPr>
              <w:pStyle w:val="Compact"/>
            </w:pPr>
            <w:r>
              <w:t>Weight</w:t>
            </w:r>
          </w:p>
        </w:tc>
        <w:tc>
          <w:tcPr>
            <w:tcW w:w="0" w:type="auto"/>
            <w:tcBorders>
              <w:bottom w:val="single" w:sz="0" w:space="0" w:color="auto"/>
            </w:tcBorders>
            <w:vAlign w:val="bottom"/>
          </w:tcPr>
          <w:p w14:paraId="26E5DA35" w14:textId="77777777" w:rsidR="008A25C9" w:rsidRDefault="00000000">
            <w:pPr>
              <w:pStyle w:val="Compact"/>
            </w:pPr>
            <w:r>
              <w:t>Raw</w:t>
            </w:r>
          </w:p>
        </w:tc>
        <w:tc>
          <w:tcPr>
            <w:tcW w:w="0" w:type="auto"/>
            <w:tcBorders>
              <w:bottom w:val="single" w:sz="0" w:space="0" w:color="auto"/>
            </w:tcBorders>
            <w:vAlign w:val="bottom"/>
          </w:tcPr>
          <w:p w14:paraId="5AF0E6C4" w14:textId="77777777" w:rsidR="008A25C9" w:rsidRDefault="00000000">
            <w:pPr>
              <w:pStyle w:val="Compact"/>
            </w:pPr>
            <w:r>
              <w:t>Score</w:t>
            </w:r>
          </w:p>
        </w:tc>
        <w:tc>
          <w:tcPr>
            <w:tcW w:w="0" w:type="auto"/>
            <w:tcBorders>
              <w:bottom w:val="single" w:sz="0" w:space="0" w:color="auto"/>
            </w:tcBorders>
            <w:vAlign w:val="bottom"/>
          </w:tcPr>
          <w:p w14:paraId="66D1D0EE" w14:textId="77777777" w:rsidR="008A25C9" w:rsidRDefault="00000000">
            <w:pPr>
              <w:pStyle w:val="Compact"/>
            </w:pPr>
            <w:r>
              <w:t>Note</w:t>
            </w:r>
          </w:p>
        </w:tc>
      </w:tr>
      <w:tr w:rsidR="008A25C9" w14:paraId="03DEDC60" w14:textId="77777777">
        <w:tc>
          <w:tcPr>
            <w:tcW w:w="0" w:type="auto"/>
          </w:tcPr>
          <w:p w14:paraId="05008D15" w14:textId="77777777" w:rsidR="008A25C9" w:rsidRDefault="00000000">
            <w:pPr>
              <w:pStyle w:val="Compact"/>
            </w:pPr>
            <w:r>
              <w:t>Data</w:t>
            </w:r>
          </w:p>
        </w:tc>
        <w:tc>
          <w:tcPr>
            <w:tcW w:w="0" w:type="auto"/>
          </w:tcPr>
          <w:p w14:paraId="01311196" w14:textId="77777777" w:rsidR="008A25C9" w:rsidRDefault="00000000">
            <w:pPr>
              <w:pStyle w:val="Compact"/>
            </w:pPr>
            <w:r>
              <w:t>14</w:t>
            </w:r>
          </w:p>
        </w:tc>
        <w:tc>
          <w:tcPr>
            <w:tcW w:w="0" w:type="auto"/>
          </w:tcPr>
          <w:p w14:paraId="527C4863" w14:textId="77777777" w:rsidR="008A25C9" w:rsidRDefault="00000000">
            <w:pPr>
              <w:pStyle w:val="Compact"/>
            </w:pPr>
            <w:r>
              <w:t>0.55</w:t>
            </w:r>
          </w:p>
        </w:tc>
        <w:tc>
          <w:tcPr>
            <w:tcW w:w="0" w:type="auto"/>
          </w:tcPr>
          <w:p w14:paraId="04F1CDD8" w14:textId="77777777" w:rsidR="008A25C9" w:rsidRDefault="00000000">
            <w:pPr>
              <w:pStyle w:val="Compact"/>
            </w:pPr>
            <w:r>
              <w:t>7.7</w:t>
            </w:r>
          </w:p>
        </w:tc>
        <w:tc>
          <w:tcPr>
            <w:tcW w:w="0" w:type="auto"/>
          </w:tcPr>
          <w:p w14:paraId="4B72882C" w14:textId="77777777" w:rsidR="008A25C9" w:rsidRDefault="00000000">
            <w:pPr>
              <w:pStyle w:val="Compact"/>
            </w:pPr>
            <w:r>
              <w:t>Strong datasets; contractual discipline limited</w:t>
            </w:r>
          </w:p>
        </w:tc>
      </w:tr>
      <w:tr w:rsidR="008A25C9" w14:paraId="44F2431A" w14:textId="77777777">
        <w:tc>
          <w:tcPr>
            <w:tcW w:w="0" w:type="auto"/>
          </w:tcPr>
          <w:p w14:paraId="17B900EE" w14:textId="77777777" w:rsidR="008A25C9" w:rsidRDefault="00000000">
            <w:pPr>
              <w:pStyle w:val="Compact"/>
            </w:pPr>
            <w:r>
              <w:t>Models</w:t>
            </w:r>
          </w:p>
        </w:tc>
        <w:tc>
          <w:tcPr>
            <w:tcW w:w="0" w:type="auto"/>
          </w:tcPr>
          <w:p w14:paraId="2F656AD3" w14:textId="77777777" w:rsidR="008A25C9" w:rsidRDefault="00000000">
            <w:pPr>
              <w:pStyle w:val="Compact"/>
            </w:pPr>
            <w:r>
              <w:t>16</w:t>
            </w:r>
          </w:p>
        </w:tc>
        <w:tc>
          <w:tcPr>
            <w:tcW w:w="0" w:type="auto"/>
          </w:tcPr>
          <w:p w14:paraId="60BFFB9D" w14:textId="77777777" w:rsidR="008A25C9" w:rsidRDefault="00000000">
            <w:pPr>
              <w:pStyle w:val="Compact"/>
            </w:pPr>
            <w:r>
              <w:t>0.35</w:t>
            </w:r>
          </w:p>
        </w:tc>
        <w:tc>
          <w:tcPr>
            <w:tcW w:w="0" w:type="auto"/>
          </w:tcPr>
          <w:p w14:paraId="4024A381" w14:textId="77777777" w:rsidR="008A25C9" w:rsidRDefault="00000000">
            <w:pPr>
              <w:pStyle w:val="Compact"/>
            </w:pPr>
            <w:r>
              <w:t>5.6</w:t>
            </w:r>
          </w:p>
        </w:tc>
        <w:tc>
          <w:tcPr>
            <w:tcW w:w="0" w:type="auto"/>
          </w:tcPr>
          <w:p w14:paraId="58A1742A" w14:textId="77777777" w:rsidR="008A25C9" w:rsidRDefault="00000000">
            <w:pPr>
              <w:pStyle w:val="Compact"/>
            </w:pPr>
            <w:r>
              <w:t>Primarily Azure OpenAI; single jurisdiction; limited fine-tune; insufficient fallback</w:t>
            </w:r>
          </w:p>
        </w:tc>
      </w:tr>
      <w:tr w:rsidR="008A25C9" w14:paraId="32616F55" w14:textId="77777777">
        <w:tc>
          <w:tcPr>
            <w:tcW w:w="0" w:type="auto"/>
          </w:tcPr>
          <w:p w14:paraId="1D05201A" w14:textId="77777777" w:rsidR="008A25C9" w:rsidRDefault="00000000">
            <w:pPr>
              <w:pStyle w:val="Compact"/>
            </w:pPr>
            <w:r>
              <w:t>Infrastructure</w:t>
            </w:r>
          </w:p>
        </w:tc>
        <w:tc>
          <w:tcPr>
            <w:tcW w:w="0" w:type="auto"/>
          </w:tcPr>
          <w:p w14:paraId="68AD4F3F" w14:textId="77777777" w:rsidR="008A25C9" w:rsidRDefault="00000000">
            <w:pPr>
              <w:pStyle w:val="Compact"/>
            </w:pPr>
            <w:r>
              <w:t>14</w:t>
            </w:r>
          </w:p>
        </w:tc>
        <w:tc>
          <w:tcPr>
            <w:tcW w:w="0" w:type="auto"/>
          </w:tcPr>
          <w:p w14:paraId="5BC620DE" w14:textId="77777777" w:rsidR="008A25C9" w:rsidRDefault="00000000">
            <w:pPr>
              <w:pStyle w:val="Compact"/>
            </w:pPr>
            <w:r>
              <w:t>0.40</w:t>
            </w:r>
          </w:p>
        </w:tc>
        <w:tc>
          <w:tcPr>
            <w:tcW w:w="0" w:type="auto"/>
          </w:tcPr>
          <w:p w14:paraId="5AE7BD96" w14:textId="77777777" w:rsidR="008A25C9" w:rsidRDefault="00000000">
            <w:pPr>
              <w:pStyle w:val="Compact"/>
            </w:pPr>
            <w:r>
              <w:t>5.6</w:t>
            </w:r>
          </w:p>
        </w:tc>
        <w:tc>
          <w:tcPr>
            <w:tcW w:w="0" w:type="auto"/>
          </w:tcPr>
          <w:p w14:paraId="076114A3" w14:textId="77777777" w:rsidR="008A25C9" w:rsidRDefault="00000000">
            <w:pPr>
              <w:pStyle w:val="Compact"/>
            </w:pPr>
            <w:r>
              <w:t>Azure EU Data Boundary; CLOUD Act exposure; limited on-prem</w:t>
            </w:r>
          </w:p>
        </w:tc>
      </w:tr>
      <w:tr w:rsidR="008A25C9" w14:paraId="5A9D4376" w14:textId="77777777">
        <w:tc>
          <w:tcPr>
            <w:tcW w:w="0" w:type="auto"/>
          </w:tcPr>
          <w:p w14:paraId="5EF8D99B" w14:textId="77777777" w:rsidR="008A25C9" w:rsidRDefault="00000000">
            <w:pPr>
              <w:pStyle w:val="Compact"/>
            </w:pPr>
            <w:r>
              <w:t>Hardware</w:t>
            </w:r>
          </w:p>
        </w:tc>
        <w:tc>
          <w:tcPr>
            <w:tcW w:w="0" w:type="auto"/>
          </w:tcPr>
          <w:p w14:paraId="0BC10553" w14:textId="77777777" w:rsidR="008A25C9" w:rsidRDefault="00000000">
            <w:pPr>
              <w:pStyle w:val="Compact"/>
            </w:pPr>
            <w:r>
              <w:t>10</w:t>
            </w:r>
          </w:p>
        </w:tc>
        <w:tc>
          <w:tcPr>
            <w:tcW w:w="0" w:type="auto"/>
          </w:tcPr>
          <w:p w14:paraId="06F5F7DB" w14:textId="77777777" w:rsidR="008A25C9" w:rsidRDefault="00000000">
            <w:pPr>
              <w:pStyle w:val="Compact"/>
            </w:pPr>
            <w:r>
              <w:t>0.20</w:t>
            </w:r>
          </w:p>
        </w:tc>
        <w:tc>
          <w:tcPr>
            <w:tcW w:w="0" w:type="auto"/>
          </w:tcPr>
          <w:p w14:paraId="2532309A" w14:textId="77777777" w:rsidR="008A25C9" w:rsidRDefault="00000000">
            <w:pPr>
              <w:pStyle w:val="Compact"/>
            </w:pPr>
            <w:r>
              <w:t>2.0</w:t>
            </w:r>
          </w:p>
        </w:tc>
        <w:tc>
          <w:tcPr>
            <w:tcW w:w="0" w:type="auto"/>
          </w:tcPr>
          <w:p w14:paraId="117F4596" w14:textId="77777777" w:rsidR="008A25C9" w:rsidRDefault="00000000">
            <w:pPr>
              <w:pStyle w:val="Compact"/>
            </w:pPr>
            <w:r>
              <w:t>Minimal in-house; fully cloud dependent</w:t>
            </w:r>
          </w:p>
        </w:tc>
      </w:tr>
      <w:tr w:rsidR="008A25C9" w14:paraId="780CB7BB" w14:textId="77777777">
        <w:tc>
          <w:tcPr>
            <w:tcW w:w="0" w:type="auto"/>
          </w:tcPr>
          <w:p w14:paraId="5E31FA01" w14:textId="77777777" w:rsidR="008A25C9" w:rsidRDefault="00000000">
            <w:pPr>
              <w:pStyle w:val="Compact"/>
            </w:pPr>
            <w:r>
              <w:lastRenderedPageBreak/>
              <w:t>Manufacturing</w:t>
            </w:r>
          </w:p>
        </w:tc>
        <w:tc>
          <w:tcPr>
            <w:tcW w:w="0" w:type="auto"/>
          </w:tcPr>
          <w:p w14:paraId="3E50E708" w14:textId="77777777" w:rsidR="008A25C9" w:rsidRDefault="00000000">
            <w:pPr>
              <w:pStyle w:val="Compact"/>
            </w:pPr>
            <w:r>
              <w:t>1</w:t>
            </w:r>
          </w:p>
        </w:tc>
        <w:tc>
          <w:tcPr>
            <w:tcW w:w="0" w:type="auto"/>
          </w:tcPr>
          <w:p w14:paraId="40BC029C" w14:textId="77777777" w:rsidR="008A25C9" w:rsidRDefault="00000000">
            <w:pPr>
              <w:pStyle w:val="Compact"/>
            </w:pPr>
            <w:r>
              <w:t>0.00</w:t>
            </w:r>
          </w:p>
        </w:tc>
        <w:tc>
          <w:tcPr>
            <w:tcW w:w="0" w:type="auto"/>
          </w:tcPr>
          <w:p w14:paraId="07BCF94F" w14:textId="77777777" w:rsidR="008A25C9" w:rsidRDefault="00000000">
            <w:pPr>
              <w:pStyle w:val="Compact"/>
            </w:pPr>
            <w:r>
              <w:t>0.0</w:t>
            </w:r>
          </w:p>
        </w:tc>
        <w:tc>
          <w:tcPr>
            <w:tcW w:w="0" w:type="auto"/>
          </w:tcPr>
          <w:p w14:paraId="77B50EFB" w14:textId="77777777" w:rsidR="008A25C9" w:rsidRDefault="00000000">
            <w:pPr>
              <w:pStyle w:val="Compact"/>
            </w:pPr>
            <w:r>
              <w:t>N/A</w:t>
            </w:r>
          </w:p>
        </w:tc>
      </w:tr>
      <w:tr w:rsidR="008A25C9" w14:paraId="7EFAA025" w14:textId="77777777">
        <w:tc>
          <w:tcPr>
            <w:tcW w:w="0" w:type="auto"/>
          </w:tcPr>
          <w:p w14:paraId="1AF16737" w14:textId="77777777" w:rsidR="008A25C9" w:rsidRDefault="00000000">
            <w:pPr>
              <w:pStyle w:val="Compact"/>
            </w:pPr>
            <w:r>
              <w:t>Software</w:t>
            </w:r>
          </w:p>
        </w:tc>
        <w:tc>
          <w:tcPr>
            <w:tcW w:w="0" w:type="auto"/>
          </w:tcPr>
          <w:p w14:paraId="3A115A36" w14:textId="77777777" w:rsidR="008A25C9" w:rsidRDefault="00000000">
            <w:pPr>
              <w:pStyle w:val="Compact"/>
            </w:pPr>
            <w:r>
              <w:t>10</w:t>
            </w:r>
          </w:p>
        </w:tc>
        <w:tc>
          <w:tcPr>
            <w:tcW w:w="0" w:type="auto"/>
          </w:tcPr>
          <w:p w14:paraId="46BE8A0E" w14:textId="77777777" w:rsidR="008A25C9" w:rsidRDefault="00000000">
            <w:pPr>
              <w:pStyle w:val="Compact"/>
            </w:pPr>
            <w:r>
              <w:t>0.50</w:t>
            </w:r>
          </w:p>
        </w:tc>
        <w:tc>
          <w:tcPr>
            <w:tcW w:w="0" w:type="auto"/>
          </w:tcPr>
          <w:p w14:paraId="16C31D05" w14:textId="77777777" w:rsidR="008A25C9" w:rsidRDefault="00000000">
            <w:pPr>
              <w:pStyle w:val="Compact"/>
            </w:pPr>
            <w:r>
              <w:t>5.0</w:t>
            </w:r>
          </w:p>
        </w:tc>
        <w:tc>
          <w:tcPr>
            <w:tcW w:w="0" w:type="auto"/>
          </w:tcPr>
          <w:p w14:paraId="563D0BCD" w14:textId="77777777" w:rsidR="008A25C9" w:rsidRDefault="00000000">
            <w:pPr>
              <w:pStyle w:val="Compact"/>
            </w:pPr>
            <w:r>
              <w:t>Standard enterprise stack</w:t>
            </w:r>
          </w:p>
        </w:tc>
      </w:tr>
      <w:tr w:rsidR="008A25C9" w14:paraId="1C4527D9" w14:textId="77777777">
        <w:tc>
          <w:tcPr>
            <w:tcW w:w="0" w:type="auto"/>
          </w:tcPr>
          <w:p w14:paraId="6FDEA220" w14:textId="77777777" w:rsidR="008A25C9" w:rsidRDefault="00000000">
            <w:pPr>
              <w:pStyle w:val="Compact"/>
            </w:pPr>
            <w:r>
              <w:t>Human capital</w:t>
            </w:r>
          </w:p>
        </w:tc>
        <w:tc>
          <w:tcPr>
            <w:tcW w:w="0" w:type="auto"/>
          </w:tcPr>
          <w:p w14:paraId="4AFE9B0A" w14:textId="77777777" w:rsidR="008A25C9" w:rsidRDefault="00000000">
            <w:pPr>
              <w:pStyle w:val="Compact"/>
            </w:pPr>
            <w:r>
              <w:t>13</w:t>
            </w:r>
          </w:p>
        </w:tc>
        <w:tc>
          <w:tcPr>
            <w:tcW w:w="0" w:type="auto"/>
          </w:tcPr>
          <w:p w14:paraId="248E9A63" w14:textId="77777777" w:rsidR="008A25C9" w:rsidRDefault="00000000">
            <w:pPr>
              <w:pStyle w:val="Compact"/>
            </w:pPr>
            <w:r>
              <w:t>0.55</w:t>
            </w:r>
          </w:p>
        </w:tc>
        <w:tc>
          <w:tcPr>
            <w:tcW w:w="0" w:type="auto"/>
          </w:tcPr>
          <w:p w14:paraId="0DC593F2" w14:textId="77777777" w:rsidR="008A25C9" w:rsidRDefault="00000000">
            <w:pPr>
              <w:pStyle w:val="Compact"/>
            </w:pPr>
            <w:r>
              <w:t>7.2</w:t>
            </w:r>
          </w:p>
        </w:tc>
        <w:tc>
          <w:tcPr>
            <w:tcW w:w="0" w:type="auto"/>
          </w:tcPr>
          <w:p w14:paraId="6FC9656E" w14:textId="77777777" w:rsidR="008A25C9" w:rsidRDefault="00000000">
            <w:pPr>
              <w:pStyle w:val="Compact"/>
            </w:pPr>
            <w:r>
              <w:t>Smaller AI staff than BNP</w:t>
            </w:r>
          </w:p>
        </w:tc>
      </w:tr>
      <w:tr w:rsidR="008A25C9" w14:paraId="6F574661" w14:textId="77777777">
        <w:tc>
          <w:tcPr>
            <w:tcW w:w="0" w:type="auto"/>
          </w:tcPr>
          <w:p w14:paraId="24165F1D" w14:textId="77777777" w:rsidR="008A25C9" w:rsidRDefault="00000000">
            <w:pPr>
              <w:pStyle w:val="Compact"/>
            </w:pPr>
            <w:r>
              <w:t>Regulatory</w:t>
            </w:r>
          </w:p>
        </w:tc>
        <w:tc>
          <w:tcPr>
            <w:tcW w:w="0" w:type="auto"/>
          </w:tcPr>
          <w:p w14:paraId="094BA69E" w14:textId="77777777" w:rsidR="008A25C9" w:rsidRDefault="00000000">
            <w:pPr>
              <w:pStyle w:val="Compact"/>
            </w:pPr>
            <w:r>
              <w:t>12</w:t>
            </w:r>
          </w:p>
        </w:tc>
        <w:tc>
          <w:tcPr>
            <w:tcW w:w="0" w:type="auto"/>
          </w:tcPr>
          <w:p w14:paraId="3643AF06" w14:textId="77777777" w:rsidR="008A25C9" w:rsidRDefault="00000000">
            <w:pPr>
              <w:pStyle w:val="Compact"/>
            </w:pPr>
            <w:r>
              <w:t>0.75</w:t>
            </w:r>
          </w:p>
        </w:tc>
        <w:tc>
          <w:tcPr>
            <w:tcW w:w="0" w:type="auto"/>
          </w:tcPr>
          <w:p w14:paraId="5D9E58C9" w14:textId="77777777" w:rsidR="008A25C9" w:rsidRDefault="00000000">
            <w:pPr>
              <w:pStyle w:val="Compact"/>
            </w:pPr>
            <w:r>
              <w:t>9.0</w:t>
            </w:r>
          </w:p>
        </w:tc>
        <w:tc>
          <w:tcPr>
            <w:tcW w:w="0" w:type="auto"/>
          </w:tcPr>
          <w:p w14:paraId="1EC10E88" w14:textId="77777777" w:rsidR="008A25C9" w:rsidRDefault="00000000">
            <w:pPr>
              <w:pStyle w:val="Compact"/>
            </w:pPr>
            <w:r>
              <w:t>DORA native; AI Act readiness in progress</w:t>
            </w:r>
          </w:p>
        </w:tc>
      </w:tr>
      <w:tr w:rsidR="008A25C9" w14:paraId="756924CD" w14:textId="77777777">
        <w:tc>
          <w:tcPr>
            <w:tcW w:w="0" w:type="auto"/>
          </w:tcPr>
          <w:p w14:paraId="0233E251" w14:textId="77777777" w:rsidR="008A25C9" w:rsidRDefault="00000000">
            <w:pPr>
              <w:pStyle w:val="Compact"/>
            </w:pPr>
            <w:r>
              <w:t>Culture</w:t>
            </w:r>
          </w:p>
        </w:tc>
        <w:tc>
          <w:tcPr>
            <w:tcW w:w="0" w:type="auto"/>
          </w:tcPr>
          <w:p w14:paraId="1B7DE045" w14:textId="77777777" w:rsidR="008A25C9" w:rsidRDefault="00000000">
            <w:pPr>
              <w:pStyle w:val="Compact"/>
            </w:pPr>
            <w:r>
              <w:t>10</w:t>
            </w:r>
          </w:p>
        </w:tc>
        <w:tc>
          <w:tcPr>
            <w:tcW w:w="0" w:type="auto"/>
          </w:tcPr>
          <w:p w14:paraId="47117C4D" w14:textId="77777777" w:rsidR="008A25C9" w:rsidRDefault="00000000">
            <w:pPr>
              <w:pStyle w:val="Compact"/>
            </w:pPr>
            <w:r>
              <w:t>0.50</w:t>
            </w:r>
          </w:p>
        </w:tc>
        <w:tc>
          <w:tcPr>
            <w:tcW w:w="0" w:type="auto"/>
          </w:tcPr>
          <w:p w14:paraId="04DA8086" w14:textId="77777777" w:rsidR="008A25C9" w:rsidRDefault="00000000">
            <w:pPr>
              <w:pStyle w:val="Compact"/>
            </w:pPr>
            <w:r>
              <w:t>5.0</w:t>
            </w:r>
          </w:p>
        </w:tc>
        <w:tc>
          <w:tcPr>
            <w:tcW w:w="0" w:type="auto"/>
          </w:tcPr>
          <w:p w14:paraId="4D815365" w14:textId="77777777" w:rsidR="008A25C9" w:rsidRDefault="00000000">
            <w:pPr>
              <w:pStyle w:val="Compact"/>
            </w:pPr>
            <w:r>
              <w:t>Moderately slower pace</w:t>
            </w:r>
          </w:p>
        </w:tc>
      </w:tr>
      <w:tr w:rsidR="008A25C9" w14:paraId="189F9A86" w14:textId="77777777">
        <w:tc>
          <w:tcPr>
            <w:tcW w:w="0" w:type="auto"/>
          </w:tcPr>
          <w:p w14:paraId="5DB5C7E1" w14:textId="77777777" w:rsidR="008A25C9" w:rsidRDefault="00000000">
            <w:pPr>
              <w:pStyle w:val="Compact"/>
            </w:pPr>
            <w:r>
              <w:rPr>
                <w:b/>
              </w:rPr>
              <w:t>Total</w:t>
            </w:r>
          </w:p>
        </w:tc>
        <w:tc>
          <w:tcPr>
            <w:tcW w:w="0" w:type="auto"/>
          </w:tcPr>
          <w:p w14:paraId="21C1E2E0" w14:textId="77777777" w:rsidR="008A25C9" w:rsidRDefault="00000000">
            <w:pPr>
              <w:pStyle w:val="Compact"/>
            </w:pPr>
            <w:r>
              <w:rPr>
                <w:b/>
              </w:rPr>
              <w:t>100</w:t>
            </w:r>
          </w:p>
        </w:tc>
        <w:tc>
          <w:tcPr>
            <w:tcW w:w="0" w:type="auto"/>
          </w:tcPr>
          <w:p w14:paraId="26296093" w14:textId="77777777" w:rsidR="008A25C9" w:rsidRDefault="008A25C9"/>
        </w:tc>
        <w:tc>
          <w:tcPr>
            <w:tcW w:w="0" w:type="auto"/>
          </w:tcPr>
          <w:p w14:paraId="1C6ABFE5" w14:textId="77777777" w:rsidR="008A25C9" w:rsidRDefault="00000000">
            <w:pPr>
              <w:pStyle w:val="Compact"/>
            </w:pPr>
            <w:r>
              <w:rPr>
                <w:b/>
              </w:rPr>
              <w:t>~47.1</w:t>
            </w:r>
          </w:p>
        </w:tc>
        <w:tc>
          <w:tcPr>
            <w:tcW w:w="0" w:type="auto"/>
          </w:tcPr>
          <w:p w14:paraId="46507B86" w14:textId="77777777" w:rsidR="008A25C9" w:rsidRDefault="008A25C9"/>
        </w:tc>
      </w:tr>
    </w:tbl>
    <w:p w14:paraId="3DF7CE29" w14:textId="77777777" w:rsidR="008A25C9" w:rsidRDefault="00000000">
      <w:pPr>
        <w:pStyle w:val="BodyText"/>
      </w:pPr>
      <w:r>
        <w:t>ING scores about 47, fifteen points below BNP, and the gap sits exactly where the June 2026 episode said it would: Models, Infrastructure, and Hardware. Both are reasonable strategies; AI-SAF-C makes the sovereignty difference visible. During the 19-day Fable/Mythos suspension, a BNP-profile institution would have degraded gradually onto its EU provider and self-run models; an ING-profile institution built on a single US stack had no equivalent cushion — the point of the jurisdiction-diversification revision.</w:t>
      </w:r>
    </w:p>
    <w:p w14:paraId="66ACDFAC" w14:textId="77777777" w:rsidR="008A25C9" w:rsidRDefault="00000000">
      <w:pPr>
        <w:pStyle w:val="Heading3"/>
      </w:pPr>
      <w:bookmarkStart w:id="69" w:name="a-structural-finding-for-eu-banking"/>
      <w:r>
        <w:t>4.4 A structural finding for EU banking</w:t>
      </w:r>
      <w:bookmarkEnd w:id="69"/>
    </w:p>
    <w:p w14:paraId="110DAF17" w14:textId="77777777" w:rsidR="008A25C9" w:rsidRDefault="00000000">
      <w:pPr>
        <w:pStyle w:val="FirstParagraph"/>
      </w:pPr>
      <w:r>
        <w:t>Every EU bank scores at least 35 on compliance depth alone — DORA, the AI Act, GDPR, and MRM; a bank below 35 will draw supervisory action. For mid-sized EU banks the practical range is 45–60. Above 60 requires either a deep partnership with an EU model company or a large self-run model estate — today BNP, potentially Santander, HSBC, or UBS with the same investment. Above 70 would require building a top-tier model from scratch, which is not a realistic goal for a bank.</w:t>
      </w:r>
    </w:p>
    <w:p w14:paraId="5502C485" w14:textId="77777777" w:rsidR="008A25C9" w:rsidRDefault="00000000">
      <w:pPr>
        <w:pStyle w:val="Heading2"/>
      </w:pPr>
      <w:bookmarkStart w:id="70" w:name="part-v.-crosswalk-to-business-standards"/>
      <w:bookmarkStart w:id="71" w:name="_Toc238848863"/>
      <w:r>
        <w:t>Part V. Crosswalk to business standards</w:t>
      </w:r>
      <w:bookmarkEnd w:id="70"/>
      <w:bookmarkEnd w:id="71"/>
    </w:p>
    <w:p w14:paraId="663A00E0" w14:textId="77777777" w:rsidR="008A25C9" w:rsidRDefault="00000000">
      <w:pPr>
        <w:pStyle w:val="FirstParagraph"/>
      </w:pPr>
      <w:r>
        <w:t>AI-SAF-C is not a separate audit. It is a higher-level score that reuses evidence you already have — NIST AI RMF playbooks, ISO/IEC 42001 Statements of Applicability, GAIA-X self-descriptions — turning “yet another assessment” into a reuse of compliance work already paid for.</w:t>
      </w:r>
    </w:p>
    <w:tbl>
      <w:tblPr>
        <w:tblStyle w:val="Table"/>
        <w:tblW w:w="5000" w:type="pct"/>
        <w:tblLook w:val="07E0" w:firstRow="1" w:lastRow="1" w:firstColumn="1" w:lastColumn="1" w:noHBand="1" w:noVBand="1"/>
      </w:tblPr>
      <w:tblGrid>
        <w:gridCol w:w="1876"/>
        <w:gridCol w:w="2424"/>
        <w:gridCol w:w="2257"/>
        <w:gridCol w:w="2803"/>
      </w:tblGrid>
      <w:tr w:rsidR="008A25C9" w14:paraId="72951D02" w14:textId="77777777">
        <w:tc>
          <w:tcPr>
            <w:tcW w:w="0" w:type="auto"/>
            <w:tcBorders>
              <w:bottom w:val="single" w:sz="0" w:space="0" w:color="auto"/>
            </w:tcBorders>
            <w:vAlign w:val="bottom"/>
          </w:tcPr>
          <w:p w14:paraId="5A40740E" w14:textId="77777777" w:rsidR="008A25C9" w:rsidRDefault="00000000">
            <w:pPr>
              <w:pStyle w:val="Compact"/>
            </w:pPr>
            <w:r>
              <w:t>AI-SAF-C pillar</w:t>
            </w:r>
          </w:p>
        </w:tc>
        <w:tc>
          <w:tcPr>
            <w:tcW w:w="0" w:type="auto"/>
            <w:tcBorders>
              <w:bottom w:val="single" w:sz="0" w:space="0" w:color="auto"/>
            </w:tcBorders>
            <w:vAlign w:val="bottom"/>
          </w:tcPr>
          <w:p w14:paraId="75B11F64" w14:textId="77777777" w:rsidR="008A25C9" w:rsidRDefault="00000000">
            <w:pPr>
              <w:pStyle w:val="Compact"/>
            </w:pPr>
            <w:r>
              <w:t>NIST AI RMF</w:t>
            </w:r>
          </w:p>
        </w:tc>
        <w:tc>
          <w:tcPr>
            <w:tcW w:w="0" w:type="auto"/>
            <w:tcBorders>
              <w:bottom w:val="single" w:sz="0" w:space="0" w:color="auto"/>
            </w:tcBorders>
            <w:vAlign w:val="bottom"/>
          </w:tcPr>
          <w:p w14:paraId="270E2528" w14:textId="77777777" w:rsidR="008A25C9" w:rsidRDefault="00000000">
            <w:pPr>
              <w:pStyle w:val="Compact"/>
            </w:pPr>
            <w:r>
              <w:t>ISO 42001 Annex A</w:t>
            </w:r>
          </w:p>
        </w:tc>
        <w:tc>
          <w:tcPr>
            <w:tcW w:w="0" w:type="auto"/>
            <w:tcBorders>
              <w:bottom w:val="single" w:sz="0" w:space="0" w:color="auto"/>
            </w:tcBorders>
            <w:vAlign w:val="bottom"/>
          </w:tcPr>
          <w:p w14:paraId="64B443AC" w14:textId="77777777" w:rsidR="008A25C9" w:rsidRDefault="00000000">
            <w:pPr>
              <w:pStyle w:val="Compact"/>
            </w:pPr>
            <w:r>
              <w:t>GAIA-X criterion</w:t>
            </w:r>
          </w:p>
        </w:tc>
      </w:tr>
      <w:tr w:rsidR="008A25C9" w14:paraId="4889A6FD" w14:textId="77777777">
        <w:tc>
          <w:tcPr>
            <w:tcW w:w="0" w:type="auto"/>
          </w:tcPr>
          <w:p w14:paraId="5D86DBC6" w14:textId="77777777" w:rsidR="008A25C9" w:rsidRDefault="00000000">
            <w:pPr>
              <w:pStyle w:val="Compact"/>
            </w:pPr>
            <w:r>
              <w:t>Data (14)</w:t>
            </w:r>
          </w:p>
        </w:tc>
        <w:tc>
          <w:tcPr>
            <w:tcW w:w="0" w:type="auto"/>
          </w:tcPr>
          <w:p w14:paraId="19AA131F" w14:textId="77777777" w:rsidR="008A25C9" w:rsidRDefault="00000000">
            <w:pPr>
              <w:pStyle w:val="Compact"/>
            </w:pPr>
            <w:r>
              <w:t>MAP 2.3, MAP 3, MEASURE 2.8/2.10</w:t>
            </w:r>
          </w:p>
        </w:tc>
        <w:tc>
          <w:tcPr>
            <w:tcW w:w="0" w:type="auto"/>
          </w:tcPr>
          <w:p w14:paraId="2CAC5E16" w14:textId="77777777" w:rsidR="008A25C9" w:rsidRDefault="00000000">
            <w:pPr>
              <w:pStyle w:val="Compact"/>
            </w:pPr>
            <w:r>
              <w:t>A.7 Data + A.4</w:t>
            </w:r>
          </w:p>
        </w:tc>
        <w:tc>
          <w:tcPr>
            <w:tcW w:w="0" w:type="auto"/>
          </w:tcPr>
          <w:p w14:paraId="6BA232F4" w14:textId="77777777" w:rsidR="008A25C9" w:rsidRDefault="00000000">
            <w:pPr>
              <w:pStyle w:val="Compact"/>
            </w:pPr>
            <w:r>
              <w:t>Data protection; Portability; European control</w:t>
            </w:r>
          </w:p>
        </w:tc>
      </w:tr>
      <w:tr w:rsidR="008A25C9" w14:paraId="0F0C2CA4" w14:textId="77777777">
        <w:tc>
          <w:tcPr>
            <w:tcW w:w="0" w:type="auto"/>
          </w:tcPr>
          <w:p w14:paraId="63D80469" w14:textId="77777777" w:rsidR="008A25C9" w:rsidRDefault="00000000">
            <w:pPr>
              <w:pStyle w:val="Compact"/>
            </w:pPr>
            <w:r>
              <w:t>Models (16)</w:t>
            </w:r>
          </w:p>
        </w:tc>
        <w:tc>
          <w:tcPr>
            <w:tcW w:w="0" w:type="auto"/>
          </w:tcPr>
          <w:p w14:paraId="712E1B70" w14:textId="77777777" w:rsidR="008A25C9" w:rsidRDefault="00000000">
            <w:pPr>
              <w:pStyle w:val="Compact"/>
            </w:pPr>
            <w:r>
              <w:t>MEASURE (all) + MANAGE 4.1; GenAI Profile</w:t>
            </w:r>
          </w:p>
        </w:tc>
        <w:tc>
          <w:tcPr>
            <w:tcW w:w="0" w:type="auto"/>
          </w:tcPr>
          <w:p w14:paraId="10DF9C17" w14:textId="77777777" w:rsidR="008A25C9" w:rsidRDefault="00000000">
            <w:pPr>
              <w:pStyle w:val="Compact"/>
            </w:pPr>
            <w:r>
              <w:t>A.6 Lifecycle + A.5</w:t>
            </w:r>
          </w:p>
        </w:tc>
        <w:tc>
          <w:tcPr>
            <w:tcW w:w="0" w:type="auto"/>
          </w:tcPr>
          <w:p w14:paraId="6D73D055" w14:textId="77777777" w:rsidR="008A25C9" w:rsidRDefault="00000000">
            <w:pPr>
              <w:pStyle w:val="Compact"/>
            </w:pPr>
            <w:r>
              <w:t>Transparency</w:t>
            </w:r>
          </w:p>
        </w:tc>
      </w:tr>
      <w:tr w:rsidR="008A25C9" w14:paraId="18A992F6" w14:textId="77777777">
        <w:tc>
          <w:tcPr>
            <w:tcW w:w="0" w:type="auto"/>
          </w:tcPr>
          <w:p w14:paraId="6119484C" w14:textId="77777777" w:rsidR="008A25C9" w:rsidRDefault="00000000">
            <w:pPr>
              <w:pStyle w:val="Compact"/>
            </w:pPr>
            <w:r>
              <w:t>Infrastructure (14)</w:t>
            </w:r>
          </w:p>
        </w:tc>
        <w:tc>
          <w:tcPr>
            <w:tcW w:w="0" w:type="auto"/>
          </w:tcPr>
          <w:p w14:paraId="21F778B5" w14:textId="77777777" w:rsidR="008A25C9" w:rsidRDefault="00000000">
            <w:pPr>
              <w:pStyle w:val="Compact"/>
            </w:pPr>
            <w:r>
              <w:t>GOVERN 6, MAP 4, MANAGE 3</w:t>
            </w:r>
          </w:p>
        </w:tc>
        <w:tc>
          <w:tcPr>
            <w:tcW w:w="0" w:type="auto"/>
          </w:tcPr>
          <w:p w14:paraId="2DDE7D37" w14:textId="77777777" w:rsidR="008A25C9" w:rsidRDefault="00000000">
            <w:pPr>
              <w:pStyle w:val="Compact"/>
            </w:pPr>
            <w:r>
              <w:t>A.4 Resources + A.10 Third-party</w:t>
            </w:r>
          </w:p>
        </w:tc>
        <w:tc>
          <w:tcPr>
            <w:tcW w:w="0" w:type="auto"/>
          </w:tcPr>
          <w:p w14:paraId="4B766911" w14:textId="77777777" w:rsidR="008A25C9" w:rsidRDefault="00000000">
            <w:pPr>
              <w:pStyle w:val="Compact"/>
            </w:pPr>
            <w:r>
              <w:t>Security + European control (L2/L3)</w:t>
            </w:r>
          </w:p>
        </w:tc>
      </w:tr>
      <w:tr w:rsidR="008A25C9" w14:paraId="2F784BCB" w14:textId="77777777">
        <w:tc>
          <w:tcPr>
            <w:tcW w:w="0" w:type="auto"/>
          </w:tcPr>
          <w:p w14:paraId="3C779C6B" w14:textId="77777777" w:rsidR="008A25C9" w:rsidRDefault="00000000">
            <w:pPr>
              <w:pStyle w:val="Compact"/>
            </w:pPr>
            <w:r>
              <w:t>Hardware (10)</w:t>
            </w:r>
          </w:p>
        </w:tc>
        <w:tc>
          <w:tcPr>
            <w:tcW w:w="0" w:type="auto"/>
          </w:tcPr>
          <w:p w14:paraId="53B87F6D" w14:textId="77777777" w:rsidR="008A25C9" w:rsidRDefault="00000000">
            <w:pPr>
              <w:pStyle w:val="Compact"/>
            </w:pPr>
            <w:r>
              <w:t>GOVERN 6.1</w:t>
            </w:r>
          </w:p>
        </w:tc>
        <w:tc>
          <w:tcPr>
            <w:tcW w:w="0" w:type="auto"/>
          </w:tcPr>
          <w:p w14:paraId="67FD482B" w14:textId="77777777" w:rsidR="008A25C9" w:rsidRDefault="00000000">
            <w:pPr>
              <w:pStyle w:val="Compact"/>
            </w:pPr>
            <w:r>
              <w:t>A.4 + A.10</w:t>
            </w:r>
          </w:p>
        </w:tc>
        <w:tc>
          <w:tcPr>
            <w:tcW w:w="0" w:type="auto"/>
          </w:tcPr>
          <w:p w14:paraId="7AC69613" w14:textId="77777777" w:rsidR="008A25C9" w:rsidRDefault="00000000">
            <w:pPr>
              <w:pStyle w:val="Compact"/>
            </w:pPr>
            <w:r>
              <w:t>European control</w:t>
            </w:r>
          </w:p>
        </w:tc>
      </w:tr>
      <w:tr w:rsidR="008A25C9" w14:paraId="0AC7D601" w14:textId="77777777">
        <w:tc>
          <w:tcPr>
            <w:tcW w:w="0" w:type="auto"/>
          </w:tcPr>
          <w:p w14:paraId="35006C02" w14:textId="77777777" w:rsidR="008A25C9" w:rsidRDefault="00000000">
            <w:pPr>
              <w:pStyle w:val="Compact"/>
            </w:pPr>
            <w:r>
              <w:t>Manufacturing (1)</w:t>
            </w:r>
          </w:p>
        </w:tc>
        <w:tc>
          <w:tcPr>
            <w:tcW w:w="0" w:type="auto"/>
          </w:tcPr>
          <w:p w14:paraId="6C3C6A95" w14:textId="77777777" w:rsidR="008A25C9" w:rsidRDefault="00000000">
            <w:pPr>
              <w:pStyle w:val="Compact"/>
            </w:pPr>
            <w:r>
              <w:t>—</w:t>
            </w:r>
          </w:p>
        </w:tc>
        <w:tc>
          <w:tcPr>
            <w:tcW w:w="0" w:type="auto"/>
          </w:tcPr>
          <w:p w14:paraId="64D1B882" w14:textId="77777777" w:rsidR="008A25C9" w:rsidRDefault="00000000">
            <w:pPr>
              <w:pStyle w:val="Compact"/>
            </w:pPr>
            <w:r>
              <w:t>—</w:t>
            </w:r>
          </w:p>
        </w:tc>
        <w:tc>
          <w:tcPr>
            <w:tcW w:w="0" w:type="auto"/>
          </w:tcPr>
          <w:p w14:paraId="5CA04019" w14:textId="77777777" w:rsidR="008A25C9" w:rsidRDefault="00000000">
            <w:pPr>
              <w:pStyle w:val="Compact"/>
            </w:pPr>
            <w:r>
              <w:t>—</w:t>
            </w:r>
          </w:p>
        </w:tc>
      </w:tr>
      <w:tr w:rsidR="008A25C9" w14:paraId="7083C601" w14:textId="77777777">
        <w:tc>
          <w:tcPr>
            <w:tcW w:w="0" w:type="auto"/>
          </w:tcPr>
          <w:p w14:paraId="2F698C74" w14:textId="77777777" w:rsidR="008A25C9" w:rsidRDefault="00000000">
            <w:pPr>
              <w:pStyle w:val="Compact"/>
            </w:pPr>
            <w:r>
              <w:t>Software (10)</w:t>
            </w:r>
          </w:p>
        </w:tc>
        <w:tc>
          <w:tcPr>
            <w:tcW w:w="0" w:type="auto"/>
          </w:tcPr>
          <w:p w14:paraId="7F3DF86E" w14:textId="77777777" w:rsidR="008A25C9" w:rsidRDefault="00000000">
            <w:pPr>
              <w:pStyle w:val="Compact"/>
            </w:pPr>
            <w:r>
              <w:t xml:space="preserve">GOVERN 1.5, </w:t>
            </w:r>
            <w:r>
              <w:lastRenderedPageBreak/>
              <w:t>MEASURE 2.7, MANAGE 2.3</w:t>
            </w:r>
          </w:p>
        </w:tc>
        <w:tc>
          <w:tcPr>
            <w:tcW w:w="0" w:type="auto"/>
          </w:tcPr>
          <w:p w14:paraId="0770A04E" w14:textId="77777777" w:rsidR="008A25C9" w:rsidRDefault="00000000">
            <w:pPr>
              <w:pStyle w:val="Compact"/>
            </w:pPr>
            <w:r>
              <w:lastRenderedPageBreak/>
              <w:t>A.6 + A.10</w:t>
            </w:r>
          </w:p>
        </w:tc>
        <w:tc>
          <w:tcPr>
            <w:tcW w:w="0" w:type="auto"/>
          </w:tcPr>
          <w:p w14:paraId="06C28C0F" w14:textId="77777777" w:rsidR="008A25C9" w:rsidRDefault="00000000">
            <w:pPr>
              <w:pStyle w:val="Compact"/>
            </w:pPr>
            <w:r>
              <w:t>Security (SDL controls)</w:t>
            </w:r>
          </w:p>
        </w:tc>
      </w:tr>
      <w:tr w:rsidR="008A25C9" w14:paraId="0131C8C1" w14:textId="77777777">
        <w:tc>
          <w:tcPr>
            <w:tcW w:w="0" w:type="auto"/>
          </w:tcPr>
          <w:p w14:paraId="0A501B2A" w14:textId="77777777" w:rsidR="008A25C9" w:rsidRDefault="00000000">
            <w:pPr>
              <w:pStyle w:val="Compact"/>
            </w:pPr>
            <w:r>
              <w:t>Human capital (13)</w:t>
            </w:r>
          </w:p>
        </w:tc>
        <w:tc>
          <w:tcPr>
            <w:tcW w:w="0" w:type="auto"/>
          </w:tcPr>
          <w:p w14:paraId="3E2EC50B" w14:textId="77777777" w:rsidR="008A25C9" w:rsidRDefault="00000000">
            <w:pPr>
              <w:pStyle w:val="Compact"/>
            </w:pPr>
            <w:r>
              <w:t>GOVERN 2, 3, 4</w:t>
            </w:r>
          </w:p>
        </w:tc>
        <w:tc>
          <w:tcPr>
            <w:tcW w:w="0" w:type="auto"/>
          </w:tcPr>
          <w:p w14:paraId="234A05F9" w14:textId="77777777" w:rsidR="008A25C9" w:rsidRDefault="00000000">
            <w:pPr>
              <w:pStyle w:val="Compact"/>
            </w:pPr>
            <w:r>
              <w:t>A.3 + A.4.5</w:t>
            </w:r>
          </w:p>
        </w:tc>
        <w:tc>
          <w:tcPr>
            <w:tcW w:w="0" w:type="auto"/>
          </w:tcPr>
          <w:p w14:paraId="69D3E62A" w14:textId="77777777" w:rsidR="008A25C9" w:rsidRDefault="00000000">
            <w:pPr>
              <w:pStyle w:val="Compact"/>
            </w:pPr>
            <w:r>
              <w:t>Transparency (partial)</w:t>
            </w:r>
          </w:p>
        </w:tc>
      </w:tr>
      <w:tr w:rsidR="008A25C9" w14:paraId="1DB05A46" w14:textId="77777777">
        <w:tc>
          <w:tcPr>
            <w:tcW w:w="0" w:type="auto"/>
          </w:tcPr>
          <w:p w14:paraId="6DEF5260" w14:textId="77777777" w:rsidR="008A25C9" w:rsidRDefault="00000000">
            <w:pPr>
              <w:pStyle w:val="Compact"/>
            </w:pPr>
            <w:r>
              <w:t>Regulatory (12)</w:t>
            </w:r>
          </w:p>
        </w:tc>
        <w:tc>
          <w:tcPr>
            <w:tcW w:w="0" w:type="auto"/>
          </w:tcPr>
          <w:p w14:paraId="11382AE9" w14:textId="77777777" w:rsidR="008A25C9" w:rsidRDefault="00000000">
            <w:pPr>
              <w:pStyle w:val="Compact"/>
            </w:pPr>
            <w:r>
              <w:t>GOVERN 1 + MAP 1</w:t>
            </w:r>
          </w:p>
        </w:tc>
        <w:tc>
          <w:tcPr>
            <w:tcW w:w="0" w:type="auto"/>
          </w:tcPr>
          <w:p w14:paraId="32D2D93A" w14:textId="77777777" w:rsidR="008A25C9" w:rsidRDefault="00000000">
            <w:pPr>
              <w:pStyle w:val="Compact"/>
            </w:pPr>
            <w:r>
              <w:t>A.2 + A.5 + A.8</w:t>
            </w:r>
          </w:p>
        </w:tc>
        <w:tc>
          <w:tcPr>
            <w:tcW w:w="0" w:type="auto"/>
          </w:tcPr>
          <w:p w14:paraId="5DE462D4" w14:textId="77777777" w:rsidR="008A25C9" w:rsidRDefault="00000000">
            <w:pPr>
              <w:pStyle w:val="Compact"/>
            </w:pPr>
            <w:r>
              <w:t>Contractual governance + Data protection</w:t>
            </w:r>
          </w:p>
        </w:tc>
      </w:tr>
      <w:tr w:rsidR="008A25C9" w14:paraId="2543FC1A" w14:textId="77777777">
        <w:tc>
          <w:tcPr>
            <w:tcW w:w="0" w:type="auto"/>
          </w:tcPr>
          <w:p w14:paraId="1184018E" w14:textId="77777777" w:rsidR="008A25C9" w:rsidRDefault="00000000">
            <w:pPr>
              <w:pStyle w:val="Compact"/>
            </w:pPr>
            <w:r>
              <w:t>Culture (10)</w:t>
            </w:r>
          </w:p>
        </w:tc>
        <w:tc>
          <w:tcPr>
            <w:tcW w:w="0" w:type="auto"/>
          </w:tcPr>
          <w:p w14:paraId="103C5B10" w14:textId="77777777" w:rsidR="008A25C9" w:rsidRDefault="00000000">
            <w:pPr>
              <w:pStyle w:val="Compact"/>
            </w:pPr>
            <w:r>
              <w:t>GOVERN 3</w:t>
            </w:r>
          </w:p>
        </w:tc>
        <w:tc>
          <w:tcPr>
            <w:tcW w:w="0" w:type="auto"/>
          </w:tcPr>
          <w:p w14:paraId="767E2A4F" w14:textId="77777777" w:rsidR="008A25C9" w:rsidRDefault="00000000">
            <w:pPr>
              <w:pStyle w:val="Compact"/>
            </w:pPr>
            <w:r>
              <w:t>A.3 Internal organisation</w:t>
            </w:r>
          </w:p>
        </w:tc>
        <w:tc>
          <w:tcPr>
            <w:tcW w:w="0" w:type="auto"/>
          </w:tcPr>
          <w:p w14:paraId="612A0D10" w14:textId="77777777" w:rsidR="008A25C9" w:rsidRDefault="00000000">
            <w:pPr>
              <w:pStyle w:val="Compact"/>
            </w:pPr>
            <w:r>
              <w:t>—</w:t>
            </w:r>
          </w:p>
        </w:tc>
      </w:tr>
    </w:tbl>
    <w:p w14:paraId="3C2B2A64" w14:textId="77777777" w:rsidR="008A25C9" w:rsidRDefault="00000000">
      <w:pPr>
        <w:pStyle w:val="BodyText"/>
      </w:pPr>
      <w:r>
        <w:rPr>
          <w:b/>
        </w:rPr>
        <w:t>How to use it:</w:t>
      </w:r>
      <w:r>
        <w:t xml:space="preserve"> gather the compliance paperwork you already hold; pull the matching evidence per pillar via the table; answer the few questions the paperwork does not cover (mainly: a workable self-run fallback, no-train discipline, deployment and experimentation speed); report the AI-SAF-C score alongside the existing compliance reports, not as a separate document. For EU companies serving regulated customers, GAIA-X Level 3 feeds straight into the Infrastructure score; Level 2 is a sensible minimum for business software sold to non-regulated customers. As the CADA Cloud Sovereignty Framework is finalised, its assurance levels will slot into the same column.</w:t>
      </w:r>
    </w:p>
    <w:p w14:paraId="5F0619F7" w14:textId="77777777" w:rsidR="008A25C9" w:rsidRDefault="00000000">
      <w:pPr>
        <w:pStyle w:val="BodyText"/>
      </w:pPr>
      <w:r>
        <w:rPr>
          <w:i/>
        </w:rPr>
        <w:t>For the master glossary, see Document 1. Terms used here without definition are defined there.</w:t>
      </w:r>
      <w:r>
        <w:t xml:space="preserve"> # Document 3 · AI-SAF-N Field Guide — National variant</w:t>
      </w:r>
    </w:p>
    <w:p w14:paraId="081EF831" w14:textId="77777777" w:rsidR="008A25C9" w:rsidRDefault="00000000">
      <w:pPr>
        <w:pStyle w:val="BodyText"/>
      </w:pPr>
      <w:r>
        <w:rPr>
          <w:i/>
        </w:rPr>
        <w:t>Assessment of national AI sovereignty. Version 0.7.1 · August 2026 · CC BY 4.0</w:t>
      </w:r>
    </w:p>
    <w:p w14:paraId="27243303" w14:textId="77777777" w:rsidR="008A25C9" w:rsidRDefault="00000000">
      <w:pPr>
        <w:pStyle w:val="Heading2"/>
      </w:pPr>
      <w:bookmarkStart w:id="72" w:name="about-this-document-1"/>
      <w:bookmarkStart w:id="73" w:name="_Toc238848864"/>
      <w:r>
        <w:t>About this document</w:t>
      </w:r>
      <w:bookmarkEnd w:id="72"/>
      <w:bookmarkEnd w:id="73"/>
    </w:p>
    <w:p w14:paraId="32C5D14F" w14:textId="77777777" w:rsidR="008A25C9" w:rsidRDefault="00000000">
      <w:pPr>
        <w:pStyle w:val="FirstParagraph"/>
      </w:pPr>
      <w:r>
        <w:t>This field guide is the hands-on manual for AI-SAF-N, the national version of the AI Strategic Autonomy Framework, for a government body, ministry, or regional bloc measuring its AI sovereignty and building strategy from the result. For the concepts — the two variants, capability × commitment, gap analysis, Version Deadlock — see Document 1. Dated market detail lives in Document 4, State of Play.</w:t>
      </w:r>
    </w:p>
    <w:p w14:paraId="69FB87A8" w14:textId="77777777" w:rsidR="008A25C9" w:rsidRDefault="00000000">
      <w:pPr>
        <w:pStyle w:val="BodyText"/>
      </w:pPr>
      <w:r>
        <w:rPr>
          <w:b/>
        </w:rPr>
        <w:t>How each pillar is presented.</w:t>
      </w:r>
      <w:r>
        <w:t xml:space="preserve"> Each pillar opens with what it measures and why, then a rubric: sub-indicator, points, R/A tag, evidence expected. Whole-number scores; the pillar score is the sum; report R and A subtotals with the headline.</w:t>
      </w:r>
    </w:p>
    <w:p w14:paraId="71902E91" w14:textId="77777777" w:rsidR="008A25C9" w:rsidRDefault="00000000">
      <w:pPr>
        <w:pStyle w:val="BodyText"/>
      </w:pPr>
      <w:r>
        <w:t>Contents: Part I — the eight pillars. Part II — the four modifiers and their fixed order of application. Part III — worked examples: Bulgaria, France, UAE. Part IV — case study: INSAIT and BgGPT.</w:t>
      </w:r>
    </w:p>
    <w:p w14:paraId="43575827" w14:textId="77777777" w:rsidR="008A25C9" w:rsidRDefault="00000000">
      <w:pPr>
        <w:pStyle w:val="Heading2"/>
      </w:pPr>
      <w:bookmarkStart w:id="74" w:name="part-i.-the-eight-pillars"/>
      <w:bookmarkStart w:id="75" w:name="_Toc238848865"/>
      <w:r>
        <w:t>Part I. The eight pillars</w:t>
      </w:r>
      <w:bookmarkEnd w:id="74"/>
      <w:bookmarkEnd w:id="75"/>
    </w:p>
    <w:tbl>
      <w:tblPr>
        <w:tblStyle w:val="Table"/>
        <w:tblW w:w="5000" w:type="pct"/>
        <w:tblLook w:val="07E0" w:firstRow="1" w:lastRow="1" w:firstColumn="1" w:lastColumn="1" w:noHBand="1" w:noVBand="1"/>
      </w:tblPr>
      <w:tblGrid>
        <w:gridCol w:w="360"/>
        <w:gridCol w:w="2618"/>
        <w:gridCol w:w="951"/>
        <w:gridCol w:w="5431"/>
      </w:tblGrid>
      <w:tr w:rsidR="008A25C9" w14:paraId="78F1498C" w14:textId="77777777">
        <w:tc>
          <w:tcPr>
            <w:tcW w:w="0" w:type="auto"/>
            <w:tcBorders>
              <w:bottom w:val="single" w:sz="0" w:space="0" w:color="auto"/>
            </w:tcBorders>
            <w:vAlign w:val="bottom"/>
          </w:tcPr>
          <w:p w14:paraId="08DDA42B" w14:textId="77777777" w:rsidR="008A25C9" w:rsidRDefault="00000000">
            <w:pPr>
              <w:pStyle w:val="Compact"/>
            </w:pPr>
            <w:r>
              <w:t>#</w:t>
            </w:r>
          </w:p>
        </w:tc>
        <w:tc>
          <w:tcPr>
            <w:tcW w:w="0" w:type="auto"/>
            <w:tcBorders>
              <w:bottom w:val="single" w:sz="0" w:space="0" w:color="auto"/>
            </w:tcBorders>
            <w:vAlign w:val="bottom"/>
          </w:tcPr>
          <w:p w14:paraId="39EFAA7D" w14:textId="77777777" w:rsidR="008A25C9" w:rsidRDefault="00000000">
            <w:pPr>
              <w:pStyle w:val="Compact"/>
            </w:pPr>
            <w:r>
              <w:t>Pillar</w:t>
            </w:r>
          </w:p>
        </w:tc>
        <w:tc>
          <w:tcPr>
            <w:tcW w:w="0" w:type="auto"/>
            <w:tcBorders>
              <w:bottom w:val="single" w:sz="0" w:space="0" w:color="auto"/>
            </w:tcBorders>
            <w:vAlign w:val="bottom"/>
          </w:tcPr>
          <w:p w14:paraId="3A6C3EF9" w14:textId="77777777" w:rsidR="008A25C9" w:rsidRDefault="00000000">
            <w:pPr>
              <w:pStyle w:val="Compact"/>
            </w:pPr>
            <w:r>
              <w:t>Weight</w:t>
            </w:r>
          </w:p>
        </w:tc>
        <w:tc>
          <w:tcPr>
            <w:tcW w:w="0" w:type="auto"/>
            <w:tcBorders>
              <w:bottom w:val="single" w:sz="0" w:space="0" w:color="auto"/>
            </w:tcBorders>
            <w:vAlign w:val="bottom"/>
          </w:tcPr>
          <w:p w14:paraId="65B8ADD2" w14:textId="77777777" w:rsidR="008A25C9" w:rsidRDefault="00000000">
            <w:pPr>
              <w:pStyle w:val="Compact"/>
            </w:pPr>
            <w:r>
              <w:t>National focus</w:t>
            </w:r>
          </w:p>
        </w:tc>
      </w:tr>
      <w:tr w:rsidR="008A25C9" w14:paraId="73E93AA4" w14:textId="77777777">
        <w:tc>
          <w:tcPr>
            <w:tcW w:w="0" w:type="auto"/>
          </w:tcPr>
          <w:p w14:paraId="5B9F6E27" w14:textId="77777777" w:rsidR="008A25C9" w:rsidRDefault="00000000">
            <w:pPr>
              <w:pStyle w:val="Compact"/>
            </w:pPr>
            <w:r>
              <w:t>1</w:t>
            </w:r>
          </w:p>
        </w:tc>
        <w:tc>
          <w:tcPr>
            <w:tcW w:w="0" w:type="auto"/>
          </w:tcPr>
          <w:p w14:paraId="0E51B666" w14:textId="77777777" w:rsidR="008A25C9" w:rsidRDefault="00000000">
            <w:pPr>
              <w:pStyle w:val="Compact"/>
            </w:pPr>
            <w:r>
              <w:t>Data</w:t>
            </w:r>
          </w:p>
        </w:tc>
        <w:tc>
          <w:tcPr>
            <w:tcW w:w="0" w:type="auto"/>
          </w:tcPr>
          <w:p w14:paraId="6FCF0D91" w14:textId="77777777" w:rsidR="008A25C9" w:rsidRDefault="00000000">
            <w:pPr>
              <w:pStyle w:val="Compact"/>
            </w:pPr>
            <w:r>
              <w:t>10</w:t>
            </w:r>
          </w:p>
        </w:tc>
        <w:tc>
          <w:tcPr>
            <w:tcW w:w="0" w:type="auto"/>
          </w:tcPr>
          <w:p w14:paraId="75485B73" w14:textId="77777777" w:rsidR="008A25C9" w:rsidRDefault="00000000">
            <w:pPr>
              <w:pStyle w:val="Compact"/>
            </w:pPr>
            <w:r>
              <w:t>National corpus, residency, legal regime, public-sector egress</w:t>
            </w:r>
          </w:p>
        </w:tc>
      </w:tr>
      <w:tr w:rsidR="008A25C9" w14:paraId="13D8E159" w14:textId="77777777">
        <w:tc>
          <w:tcPr>
            <w:tcW w:w="0" w:type="auto"/>
          </w:tcPr>
          <w:p w14:paraId="557BAD1F" w14:textId="77777777" w:rsidR="008A25C9" w:rsidRDefault="00000000">
            <w:pPr>
              <w:pStyle w:val="Compact"/>
            </w:pPr>
            <w:r>
              <w:t>2</w:t>
            </w:r>
          </w:p>
        </w:tc>
        <w:tc>
          <w:tcPr>
            <w:tcW w:w="0" w:type="auto"/>
          </w:tcPr>
          <w:p w14:paraId="04AD6EBC" w14:textId="77777777" w:rsidR="008A25C9" w:rsidRDefault="00000000">
            <w:pPr>
              <w:pStyle w:val="Compact"/>
            </w:pPr>
            <w:r>
              <w:t>Models</w:t>
            </w:r>
          </w:p>
        </w:tc>
        <w:tc>
          <w:tcPr>
            <w:tcW w:w="0" w:type="auto"/>
          </w:tcPr>
          <w:p w14:paraId="0C7DC810" w14:textId="77777777" w:rsidR="008A25C9" w:rsidRDefault="00000000">
            <w:pPr>
              <w:pStyle w:val="Compact"/>
            </w:pPr>
            <w:r>
              <w:t>16</w:t>
            </w:r>
          </w:p>
        </w:tc>
        <w:tc>
          <w:tcPr>
            <w:tcW w:w="0" w:type="auto"/>
          </w:tcPr>
          <w:p w14:paraId="5070D644" w14:textId="77777777" w:rsidR="008A25C9" w:rsidRDefault="00000000">
            <w:pPr>
              <w:pStyle w:val="Compact"/>
            </w:pPr>
            <w:r>
              <w:t>The L0–L4 ladder; reasoning bonus</w:t>
            </w:r>
          </w:p>
        </w:tc>
      </w:tr>
      <w:tr w:rsidR="008A25C9" w14:paraId="2978AC05" w14:textId="77777777">
        <w:tc>
          <w:tcPr>
            <w:tcW w:w="0" w:type="auto"/>
          </w:tcPr>
          <w:p w14:paraId="0249C35D" w14:textId="77777777" w:rsidR="008A25C9" w:rsidRDefault="00000000">
            <w:pPr>
              <w:pStyle w:val="Compact"/>
            </w:pPr>
            <w:r>
              <w:t>3</w:t>
            </w:r>
          </w:p>
        </w:tc>
        <w:tc>
          <w:tcPr>
            <w:tcW w:w="0" w:type="auto"/>
          </w:tcPr>
          <w:p w14:paraId="62D88AD1" w14:textId="77777777" w:rsidR="008A25C9" w:rsidRDefault="00000000">
            <w:pPr>
              <w:pStyle w:val="Compact"/>
            </w:pPr>
            <w:r>
              <w:t xml:space="preserve">Infrastructure and </w:t>
            </w:r>
            <w:r>
              <w:lastRenderedPageBreak/>
              <w:t>energy</w:t>
            </w:r>
          </w:p>
        </w:tc>
        <w:tc>
          <w:tcPr>
            <w:tcW w:w="0" w:type="auto"/>
          </w:tcPr>
          <w:p w14:paraId="2852716F" w14:textId="77777777" w:rsidR="008A25C9" w:rsidRDefault="00000000">
            <w:pPr>
              <w:pStyle w:val="Compact"/>
            </w:pPr>
            <w:r>
              <w:lastRenderedPageBreak/>
              <w:t>17</w:t>
            </w:r>
          </w:p>
        </w:tc>
        <w:tc>
          <w:tcPr>
            <w:tcW w:w="0" w:type="auto"/>
          </w:tcPr>
          <w:p w14:paraId="7DD68351" w14:textId="77777777" w:rsidR="008A25C9" w:rsidRDefault="00000000">
            <w:pPr>
              <w:pStyle w:val="Compact"/>
            </w:pPr>
            <w:r>
              <w:t>Sovereign cloud, local and pooled compute, grid</w:t>
            </w:r>
          </w:p>
        </w:tc>
      </w:tr>
      <w:tr w:rsidR="008A25C9" w14:paraId="7FBAE12B" w14:textId="77777777">
        <w:tc>
          <w:tcPr>
            <w:tcW w:w="0" w:type="auto"/>
          </w:tcPr>
          <w:p w14:paraId="156BFD62" w14:textId="77777777" w:rsidR="008A25C9" w:rsidRDefault="00000000">
            <w:pPr>
              <w:pStyle w:val="Compact"/>
            </w:pPr>
            <w:r>
              <w:t>4</w:t>
            </w:r>
          </w:p>
        </w:tc>
        <w:tc>
          <w:tcPr>
            <w:tcW w:w="0" w:type="auto"/>
          </w:tcPr>
          <w:p w14:paraId="6AE4499A" w14:textId="77777777" w:rsidR="008A25C9" w:rsidRDefault="00000000">
            <w:pPr>
              <w:pStyle w:val="Compact"/>
            </w:pPr>
            <w:r>
              <w:t>Hardware architecture</w:t>
            </w:r>
          </w:p>
        </w:tc>
        <w:tc>
          <w:tcPr>
            <w:tcW w:w="0" w:type="auto"/>
          </w:tcPr>
          <w:p w14:paraId="52E89134" w14:textId="77777777" w:rsidR="008A25C9" w:rsidRDefault="00000000">
            <w:pPr>
              <w:pStyle w:val="Compact"/>
            </w:pPr>
            <w:r>
              <w:t>17</w:t>
            </w:r>
          </w:p>
        </w:tc>
        <w:tc>
          <w:tcPr>
            <w:tcW w:w="0" w:type="auto"/>
          </w:tcPr>
          <w:p w14:paraId="3F176643" w14:textId="77777777" w:rsidR="008A25C9" w:rsidRDefault="00000000">
            <w:pPr>
              <w:pStyle w:val="Compact"/>
            </w:pPr>
            <w:r>
              <w:t>Export tier, indigenous design, supplier spread</w:t>
            </w:r>
          </w:p>
        </w:tc>
      </w:tr>
      <w:tr w:rsidR="008A25C9" w14:paraId="012AEE09" w14:textId="77777777">
        <w:tc>
          <w:tcPr>
            <w:tcW w:w="0" w:type="auto"/>
          </w:tcPr>
          <w:p w14:paraId="3F5D1DBD" w14:textId="77777777" w:rsidR="008A25C9" w:rsidRDefault="00000000">
            <w:pPr>
              <w:pStyle w:val="Compact"/>
            </w:pPr>
            <w:r>
              <w:t>5</w:t>
            </w:r>
          </w:p>
        </w:tc>
        <w:tc>
          <w:tcPr>
            <w:tcW w:w="0" w:type="auto"/>
          </w:tcPr>
          <w:p w14:paraId="724AC3E2" w14:textId="77777777" w:rsidR="008A25C9" w:rsidRDefault="00000000">
            <w:pPr>
              <w:pStyle w:val="Compact"/>
            </w:pPr>
            <w:r>
              <w:t>Manufacturing</w:t>
            </w:r>
          </w:p>
        </w:tc>
        <w:tc>
          <w:tcPr>
            <w:tcW w:w="0" w:type="auto"/>
          </w:tcPr>
          <w:p w14:paraId="3949A858" w14:textId="77777777" w:rsidR="008A25C9" w:rsidRDefault="00000000">
            <w:pPr>
              <w:pStyle w:val="Compact"/>
            </w:pPr>
            <w:r>
              <w:t>12</w:t>
            </w:r>
          </w:p>
        </w:tc>
        <w:tc>
          <w:tcPr>
            <w:tcW w:w="0" w:type="auto"/>
          </w:tcPr>
          <w:p w14:paraId="59CBF961" w14:textId="77777777" w:rsidR="008A25C9" w:rsidRDefault="00000000">
            <w:pPr>
              <w:pStyle w:val="Compact"/>
            </w:pPr>
            <w:r>
              <w:t>Fabs, advanced packaging, critical minerals</w:t>
            </w:r>
          </w:p>
        </w:tc>
      </w:tr>
      <w:tr w:rsidR="008A25C9" w14:paraId="1F6C8C62" w14:textId="77777777">
        <w:tc>
          <w:tcPr>
            <w:tcW w:w="0" w:type="auto"/>
          </w:tcPr>
          <w:p w14:paraId="66FA830B" w14:textId="77777777" w:rsidR="008A25C9" w:rsidRDefault="00000000">
            <w:pPr>
              <w:pStyle w:val="Compact"/>
            </w:pPr>
            <w:r>
              <w:t>6</w:t>
            </w:r>
          </w:p>
        </w:tc>
        <w:tc>
          <w:tcPr>
            <w:tcW w:w="0" w:type="auto"/>
          </w:tcPr>
          <w:p w14:paraId="33822A8B" w14:textId="77777777" w:rsidR="008A25C9" w:rsidRDefault="00000000">
            <w:pPr>
              <w:pStyle w:val="Compact"/>
            </w:pPr>
            <w:r>
              <w:t>Software stack</w:t>
            </w:r>
          </w:p>
        </w:tc>
        <w:tc>
          <w:tcPr>
            <w:tcW w:w="0" w:type="auto"/>
          </w:tcPr>
          <w:p w14:paraId="23A6EADE" w14:textId="77777777" w:rsidR="008A25C9" w:rsidRDefault="00000000">
            <w:pPr>
              <w:pStyle w:val="Compact"/>
            </w:pPr>
            <w:r>
              <w:t>8</w:t>
            </w:r>
          </w:p>
        </w:tc>
        <w:tc>
          <w:tcPr>
            <w:tcW w:w="0" w:type="auto"/>
          </w:tcPr>
          <w:p w14:paraId="558D0E5B" w14:textId="77777777" w:rsidR="008A25C9" w:rsidRDefault="00000000">
            <w:pPr>
              <w:pStyle w:val="Compact"/>
            </w:pPr>
            <w:r>
              <w:t>CUDA dependence, framework diversity, FOSS contribution</w:t>
            </w:r>
          </w:p>
        </w:tc>
      </w:tr>
      <w:tr w:rsidR="008A25C9" w14:paraId="54541F13" w14:textId="77777777">
        <w:tc>
          <w:tcPr>
            <w:tcW w:w="0" w:type="auto"/>
          </w:tcPr>
          <w:p w14:paraId="22523E7B" w14:textId="77777777" w:rsidR="008A25C9" w:rsidRDefault="00000000">
            <w:pPr>
              <w:pStyle w:val="Compact"/>
            </w:pPr>
            <w:r>
              <w:t>7</w:t>
            </w:r>
          </w:p>
        </w:tc>
        <w:tc>
          <w:tcPr>
            <w:tcW w:w="0" w:type="auto"/>
          </w:tcPr>
          <w:p w14:paraId="4833B4F9" w14:textId="77777777" w:rsidR="008A25C9" w:rsidRDefault="00000000">
            <w:pPr>
              <w:pStyle w:val="Compact"/>
            </w:pPr>
            <w:r>
              <w:t>Human capital</w:t>
            </w:r>
          </w:p>
        </w:tc>
        <w:tc>
          <w:tcPr>
            <w:tcW w:w="0" w:type="auto"/>
          </w:tcPr>
          <w:p w14:paraId="02B28875" w14:textId="77777777" w:rsidR="008A25C9" w:rsidRDefault="00000000">
            <w:pPr>
              <w:pStyle w:val="Compact"/>
            </w:pPr>
            <w:r>
              <w:t>12</w:t>
            </w:r>
          </w:p>
        </w:tc>
        <w:tc>
          <w:tcPr>
            <w:tcW w:w="0" w:type="auto"/>
          </w:tcPr>
          <w:p w14:paraId="1629955F" w14:textId="77777777" w:rsidR="008A25C9" w:rsidRDefault="00000000">
            <w:pPr>
              <w:pStyle w:val="Compact"/>
            </w:pPr>
            <w:r>
              <w:t>Top-venue researchers, retention, pipeline</w:t>
            </w:r>
          </w:p>
        </w:tc>
      </w:tr>
      <w:tr w:rsidR="008A25C9" w14:paraId="129AE3EC" w14:textId="77777777">
        <w:tc>
          <w:tcPr>
            <w:tcW w:w="0" w:type="auto"/>
          </w:tcPr>
          <w:p w14:paraId="3A390A46" w14:textId="77777777" w:rsidR="008A25C9" w:rsidRDefault="00000000">
            <w:pPr>
              <w:pStyle w:val="Compact"/>
            </w:pPr>
            <w:r>
              <w:t>8</w:t>
            </w:r>
          </w:p>
        </w:tc>
        <w:tc>
          <w:tcPr>
            <w:tcW w:w="0" w:type="auto"/>
          </w:tcPr>
          <w:p w14:paraId="394BE843" w14:textId="77777777" w:rsidR="008A25C9" w:rsidRDefault="00000000">
            <w:pPr>
              <w:pStyle w:val="Compact"/>
            </w:pPr>
            <w:r>
              <w:t>Regulatory (participation)</w:t>
            </w:r>
          </w:p>
        </w:tc>
        <w:tc>
          <w:tcPr>
            <w:tcW w:w="0" w:type="auto"/>
          </w:tcPr>
          <w:p w14:paraId="301A1B19" w14:textId="77777777" w:rsidR="008A25C9" w:rsidRDefault="00000000">
            <w:pPr>
              <w:pStyle w:val="Compact"/>
            </w:pPr>
            <w:r>
              <w:t>8</w:t>
            </w:r>
          </w:p>
        </w:tc>
        <w:tc>
          <w:tcPr>
            <w:tcW w:w="0" w:type="auto"/>
          </w:tcPr>
          <w:p w14:paraId="748E4FDE" w14:textId="77777777" w:rsidR="008A25C9" w:rsidRDefault="00000000">
            <w:pPr>
              <w:pStyle w:val="Compact"/>
            </w:pPr>
            <w:r>
              <w:t>Rule-making seats, own binding law, institutions, summits</w:t>
            </w:r>
          </w:p>
        </w:tc>
      </w:tr>
      <w:tr w:rsidR="008A25C9" w14:paraId="0165B3F5" w14:textId="77777777">
        <w:tc>
          <w:tcPr>
            <w:tcW w:w="0" w:type="auto"/>
          </w:tcPr>
          <w:p w14:paraId="5B269A57" w14:textId="77777777" w:rsidR="008A25C9" w:rsidRDefault="008A25C9"/>
        </w:tc>
        <w:tc>
          <w:tcPr>
            <w:tcW w:w="0" w:type="auto"/>
          </w:tcPr>
          <w:p w14:paraId="72FBF1FD" w14:textId="77777777" w:rsidR="008A25C9" w:rsidRDefault="00000000">
            <w:pPr>
              <w:pStyle w:val="Compact"/>
            </w:pPr>
            <w:r>
              <w:rPr>
                <w:b/>
              </w:rPr>
              <w:t>Total</w:t>
            </w:r>
          </w:p>
        </w:tc>
        <w:tc>
          <w:tcPr>
            <w:tcW w:w="0" w:type="auto"/>
          </w:tcPr>
          <w:p w14:paraId="467F76D0" w14:textId="77777777" w:rsidR="008A25C9" w:rsidRDefault="00000000">
            <w:pPr>
              <w:pStyle w:val="Compact"/>
            </w:pPr>
            <w:r>
              <w:rPr>
                <w:b/>
              </w:rPr>
              <w:t>100</w:t>
            </w:r>
          </w:p>
        </w:tc>
        <w:tc>
          <w:tcPr>
            <w:tcW w:w="0" w:type="auto"/>
          </w:tcPr>
          <w:p w14:paraId="22FDE5CD" w14:textId="77777777" w:rsidR="008A25C9" w:rsidRDefault="008A25C9"/>
        </w:tc>
      </w:tr>
    </w:tbl>
    <w:p w14:paraId="35B5603F" w14:textId="77777777" w:rsidR="008A25C9" w:rsidRDefault="00000000">
      <w:pPr>
        <w:pStyle w:val="Heading3"/>
      </w:pPr>
      <w:bookmarkStart w:id="76" w:name="pillar-1.-data-10-points"/>
      <w:r>
        <w:t>Pillar 1. Data — 10 points</w:t>
      </w:r>
      <w:bookmarkEnd w:id="76"/>
    </w:p>
    <w:p w14:paraId="0A3A2B1B" w14:textId="77777777" w:rsidR="008A25C9" w:rsidRDefault="00000000">
      <w:pPr>
        <w:pStyle w:val="FirstParagraph"/>
      </w:pPr>
      <w:r>
        <w:t xml:space="preserve">For languages with less material online, data limits sovereignty more than models do: open-weights models are now cheap and common, while a genuine national corpus is not. Combined totals across the big open collections (CulturaX, HPLT v2, FineWeb-2, deduplicated) sort languages into tiers: </w:t>
      </w:r>
      <w:r>
        <w:rPr>
          <w:b/>
        </w:rPr>
        <w:t>Low</w:t>
      </w:r>
      <w:r>
        <w:t xml:space="preserve"> (5–40B tokens — Bulgarian, Estonian, Welsh: not enough to train mid-sized models from scratch; continued pre-training is forced), </w:t>
      </w:r>
      <w:r>
        <w:rPr>
          <w:b/>
        </w:rPr>
        <w:t>Medium</w:t>
      </w:r>
      <w:r>
        <w:t xml:space="preserve"> (40–250B — Polish, Greek, Vietnamese, Hebrew), </w:t>
      </w:r>
      <w:r>
        <w:rPr>
          <w:b/>
        </w:rPr>
        <w:t>High</w:t>
      </w:r>
      <w:r>
        <w:t xml:space="preserve"> (250B–1.5T — German, French, Arabic: from-scratch training feasible). On the legal side, the EU regime (GDPR + Data Act, with Chapter VII targeting third-country access + AI Act) is the world’s strictest; India’s DPDP rules are gentler; China’s PIPL is strictest on government data.</w:t>
      </w:r>
    </w:p>
    <w:p w14:paraId="74945E0F" w14:textId="77777777" w:rsidR="008A25C9" w:rsidRDefault="00000000">
      <w:pPr>
        <w:pStyle w:val="BodyText"/>
      </w:pPr>
      <w:r>
        <w:rPr>
          <w:b/>
        </w:rPr>
        <w:t>Public-sector data egress</w:t>
      </w:r>
      <w:r>
        <w:t xml:space="preserve"> complements residency: whether sensitive government and critical-sector data is sent to foreign-controlled models at all, and whether a sovereign-inference option (certified sovereign cloud plus a domestic or open model) exists and is mandated.</w:t>
      </w:r>
    </w:p>
    <w:tbl>
      <w:tblPr>
        <w:tblStyle w:val="Table"/>
        <w:tblW w:w="5000" w:type="pct"/>
        <w:tblLook w:val="07E0" w:firstRow="1" w:lastRow="1" w:firstColumn="1" w:lastColumn="1" w:noHBand="1" w:noVBand="1"/>
      </w:tblPr>
      <w:tblGrid>
        <w:gridCol w:w="2402"/>
        <w:gridCol w:w="870"/>
        <w:gridCol w:w="585"/>
        <w:gridCol w:w="5503"/>
      </w:tblGrid>
      <w:tr w:rsidR="008A25C9" w14:paraId="76F2CBF5" w14:textId="77777777">
        <w:tc>
          <w:tcPr>
            <w:tcW w:w="0" w:type="auto"/>
            <w:tcBorders>
              <w:bottom w:val="single" w:sz="0" w:space="0" w:color="auto"/>
            </w:tcBorders>
            <w:vAlign w:val="bottom"/>
          </w:tcPr>
          <w:p w14:paraId="7AE94893" w14:textId="77777777" w:rsidR="008A25C9" w:rsidRDefault="00000000">
            <w:pPr>
              <w:pStyle w:val="Compact"/>
            </w:pPr>
            <w:r>
              <w:t>Sub-indicator</w:t>
            </w:r>
          </w:p>
        </w:tc>
        <w:tc>
          <w:tcPr>
            <w:tcW w:w="0" w:type="auto"/>
            <w:tcBorders>
              <w:bottom w:val="single" w:sz="0" w:space="0" w:color="auto"/>
            </w:tcBorders>
            <w:vAlign w:val="bottom"/>
          </w:tcPr>
          <w:p w14:paraId="62923B97" w14:textId="77777777" w:rsidR="008A25C9" w:rsidRDefault="00000000">
            <w:pPr>
              <w:pStyle w:val="Compact"/>
            </w:pPr>
            <w:r>
              <w:t>Points</w:t>
            </w:r>
          </w:p>
        </w:tc>
        <w:tc>
          <w:tcPr>
            <w:tcW w:w="0" w:type="auto"/>
            <w:tcBorders>
              <w:bottom w:val="single" w:sz="0" w:space="0" w:color="auto"/>
            </w:tcBorders>
            <w:vAlign w:val="bottom"/>
          </w:tcPr>
          <w:p w14:paraId="1F050A5E" w14:textId="77777777" w:rsidR="008A25C9" w:rsidRDefault="00000000">
            <w:pPr>
              <w:pStyle w:val="Compact"/>
            </w:pPr>
            <w:r>
              <w:t>R/A</w:t>
            </w:r>
          </w:p>
        </w:tc>
        <w:tc>
          <w:tcPr>
            <w:tcW w:w="0" w:type="auto"/>
            <w:tcBorders>
              <w:bottom w:val="single" w:sz="0" w:space="0" w:color="auto"/>
            </w:tcBorders>
            <w:vAlign w:val="bottom"/>
          </w:tcPr>
          <w:p w14:paraId="1F6B6AF4" w14:textId="77777777" w:rsidR="008A25C9" w:rsidRDefault="00000000">
            <w:pPr>
              <w:pStyle w:val="Compact"/>
            </w:pPr>
            <w:r>
              <w:t>Evidence expected</w:t>
            </w:r>
          </w:p>
        </w:tc>
      </w:tr>
      <w:tr w:rsidR="008A25C9" w14:paraId="1B27C97C" w14:textId="77777777">
        <w:tc>
          <w:tcPr>
            <w:tcW w:w="0" w:type="auto"/>
          </w:tcPr>
          <w:p w14:paraId="5B87747B" w14:textId="77777777" w:rsidR="008A25C9" w:rsidRDefault="00000000">
            <w:pPr>
              <w:pStyle w:val="Compact"/>
            </w:pPr>
            <w:r>
              <w:t>Corpus authenticity</w:t>
            </w:r>
          </w:p>
        </w:tc>
        <w:tc>
          <w:tcPr>
            <w:tcW w:w="0" w:type="auto"/>
          </w:tcPr>
          <w:p w14:paraId="768C83E6" w14:textId="77777777" w:rsidR="008A25C9" w:rsidRDefault="00000000">
            <w:pPr>
              <w:pStyle w:val="Compact"/>
            </w:pPr>
            <w:r>
              <w:t>4</w:t>
            </w:r>
          </w:p>
        </w:tc>
        <w:tc>
          <w:tcPr>
            <w:tcW w:w="0" w:type="auto"/>
          </w:tcPr>
          <w:p w14:paraId="07ACFA01" w14:textId="77777777" w:rsidR="008A25C9" w:rsidRDefault="00000000">
            <w:pPr>
              <w:pStyle w:val="Compact"/>
            </w:pPr>
            <w:r>
              <w:t>A</w:t>
            </w:r>
          </w:p>
        </w:tc>
        <w:tc>
          <w:tcPr>
            <w:tcW w:w="0" w:type="auto"/>
          </w:tcPr>
          <w:p w14:paraId="11FFBDFA" w14:textId="77777777" w:rsidR="008A25C9" w:rsidRDefault="00000000">
            <w:pPr>
              <w:pStyle w:val="Compact"/>
            </w:pPr>
            <w:r>
              <w:t>Volume and cleanliness of local text; share real rather than AI-generated</w:t>
            </w:r>
          </w:p>
        </w:tc>
      </w:tr>
      <w:tr w:rsidR="008A25C9" w14:paraId="1DBA25A0" w14:textId="77777777">
        <w:tc>
          <w:tcPr>
            <w:tcW w:w="0" w:type="auto"/>
          </w:tcPr>
          <w:p w14:paraId="60694D39" w14:textId="77777777" w:rsidR="008A25C9" w:rsidRDefault="00000000">
            <w:pPr>
              <w:pStyle w:val="Compact"/>
            </w:pPr>
            <w:r>
              <w:t>Residency and legal regime</w:t>
            </w:r>
          </w:p>
        </w:tc>
        <w:tc>
          <w:tcPr>
            <w:tcW w:w="0" w:type="auto"/>
          </w:tcPr>
          <w:p w14:paraId="42C45FDE" w14:textId="77777777" w:rsidR="008A25C9" w:rsidRDefault="00000000">
            <w:pPr>
              <w:pStyle w:val="Compact"/>
            </w:pPr>
            <w:r>
              <w:t>3</w:t>
            </w:r>
          </w:p>
        </w:tc>
        <w:tc>
          <w:tcPr>
            <w:tcW w:w="0" w:type="auto"/>
          </w:tcPr>
          <w:p w14:paraId="029EB187" w14:textId="77777777" w:rsidR="008A25C9" w:rsidRDefault="00000000">
            <w:pPr>
              <w:pStyle w:val="Compact"/>
            </w:pPr>
            <w:r>
              <w:t>R</w:t>
            </w:r>
          </w:p>
        </w:tc>
        <w:tc>
          <w:tcPr>
            <w:tcW w:w="0" w:type="auto"/>
          </w:tcPr>
          <w:p w14:paraId="1D0D2E69" w14:textId="77777777" w:rsidR="008A25C9" w:rsidRDefault="00000000">
            <w:pPr>
              <w:pStyle w:val="Compact"/>
            </w:pPr>
            <w:r>
              <w:t>Where data sits; governing law; CLOUD Act exposure</w:t>
            </w:r>
          </w:p>
        </w:tc>
      </w:tr>
      <w:tr w:rsidR="008A25C9" w14:paraId="7A45D37B" w14:textId="77777777">
        <w:tc>
          <w:tcPr>
            <w:tcW w:w="0" w:type="auto"/>
          </w:tcPr>
          <w:p w14:paraId="09422D71" w14:textId="77777777" w:rsidR="008A25C9" w:rsidRDefault="00000000">
            <w:pPr>
              <w:pStyle w:val="Compact"/>
            </w:pPr>
            <w:r>
              <w:t>Instruction and evaluation data</w:t>
            </w:r>
          </w:p>
        </w:tc>
        <w:tc>
          <w:tcPr>
            <w:tcW w:w="0" w:type="auto"/>
          </w:tcPr>
          <w:p w14:paraId="4AD5F203" w14:textId="77777777" w:rsidR="008A25C9" w:rsidRDefault="00000000">
            <w:pPr>
              <w:pStyle w:val="Compact"/>
            </w:pPr>
            <w:r>
              <w:t>1</w:t>
            </w:r>
          </w:p>
        </w:tc>
        <w:tc>
          <w:tcPr>
            <w:tcW w:w="0" w:type="auto"/>
          </w:tcPr>
          <w:p w14:paraId="0CB22C25" w14:textId="77777777" w:rsidR="008A25C9" w:rsidRDefault="00000000">
            <w:pPr>
              <w:pStyle w:val="Compact"/>
            </w:pPr>
            <w:r>
              <w:t>A</w:t>
            </w:r>
          </w:p>
        </w:tc>
        <w:tc>
          <w:tcPr>
            <w:tcW w:w="0" w:type="auto"/>
          </w:tcPr>
          <w:p w14:paraId="2A542CC2" w14:textId="77777777" w:rsidR="008A25C9" w:rsidRDefault="00000000">
            <w:pPr>
              <w:pStyle w:val="Compact"/>
            </w:pPr>
            <w:r>
              <w:t>Coverage in INCLUDE / Global-MMLU; local instruction data</w:t>
            </w:r>
          </w:p>
        </w:tc>
      </w:tr>
      <w:tr w:rsidR="008A25C9" w14:paraId="3FB0DC01" w14:textId="77777777">
        <w:tc>
          <w:tcPr>
            <w:tcW w:w="0" w:type="auto"/>
          </w:tcPr>
          <w:p w14:paraId="63CF210C" w14:textId="77777777" w:rsidR="008A25C9" w:rsidRDefault="00000000">
            <w:pPr>
              <w:pStyle w:val="Compact"/>
            </w:pPr>
            <w:r>
              <w:t>Public-sector and proprietary-data egress</w:t>
            </w:r>
          </w:p>
        </w:tc>
        <w:tc>
          <w:tcPr>
            <w:tcW w:w="0" w:type="auto"/>
          </w:tcPr>
          <w:p w14:paraId="1C33C3DF" w14:textId="77777777" w:rsidR="008A25C9" w:rsidRDefault="00000000">
            <w:pPr>
              <w:pStyle w:val="Compact"/>
            </w:pPr>
            <w:r>
              <w:t>2</w:t>
            </w:r>
          </w:p>
        </w:tc>
        <w:tc>
          <w:tcPr>
            <w:tcW w:w="0" w:type="auto"/>
          </w:tcPr>
          <w:p w14:paraId="08EDF4D1" w14:textId="77777777" w:rsidR="008A25C9" w:rsidRDefault="00000000">
            <w:pPr>
              <w:pStyle w:val="Compact"/>
            </w:pPr>
            <w:r>
              <w:t>R</w:t>
            </w:r>
          </w:p>
        </w:tc>
        <w:tc>
          <w:tcPr>
            <w:tcW w:w="0" w:type="auto"/>
          </w:tcPr>
          <w:p w14:paraId="2BD5AF3F" w14:textId="77777777" w:rsidR="008A25C9" w:rsidRDefault="00000000">
            <w:pPr>
              <w:pStyle w:val="Compact"/>
            </w:pPr>
            <w:r>
              <w:t>0 = no rule; 1 = binding procurement bar on sensitive data to foreign models; 2 = sovereign-inference option mandated for sensitive workloads</w:t>
            </w:r>
          </w:p>
        </w:tc>
      </w:tr>
    </w:tbl>
    <w:p w14:paraId="7EF4DD37" w14:textId="77777777" w:rsidR="008A25C9" w:rsidRDefault="00000000">
      <w:pPr>
        <w:pStyle w:val="Heading3"/>
      </w:pPr>
      <w:bookmarkStart w:id="77" w:name="pillar-2.-models-16-points-1"/>
      <w:r>
        <w:t>Pillar 2. Models — 16 points</w:t>
      </w:r>
      <w:bookmarkEnd w:id="77"/>
    </w:p>
    <w:p w14:paraId="12D7726E" w14:textId="77777777" w:rsidR="008A25C9" w:rsidRDefault="00000000">
      <w:pPr>
        <w:pStyle w:val="FirstParagraph"/>
      </w:pPr>
      <w:r>
        <w:t>The pillar that separates countries most. The five-level ladder (anchors L0–L4 = 0/4/11/13/16):</w:t>
      </w:r>
    </w:p>
    <w:tbl>
      <w:tblPr>
        <w:tblStyle w:val="Table"/>
        <w:tblW w:w="5000" w:type="pct"/>
        <w:tblLook w:val="07E0" w:firstRow="1" w:lastRow="1" w:firstColumn="1" w:lastColumn="1" w:noHBand="1" w:noVBand="1"/>
      </w:tblPr>
      <w:tblGrid>
        <w:gridCol w:w="755"/>
        <w:gridCol w:w="870"/>
        <w:gridCol w:w="4185"/>
        <w:gridCol w:w="3550"/>
      </w:tblGrid>
      <w:tr w:rsidR="008A25C9" w14:paraId="10763A6F" w14:textId="77777777">
        <w:tc>
          <w:tcPr>
            <w:tcW w:w="0" w:type="auto"/>
            <w:tcBorders>
              <w:bottom w:val="single" w:sz="0" w:space="0" w:color="auto"/>
            </w:tcBorders>
            <w:vAlign w:val="bottom"/>
          </w:tcPr>
          <w:p w14:paraId="6E4DAB91" w14:textId="77777777" w:rsidR="008A25C9" w:rsidRDefault="00000000">
            <w:pPr>
              <w:pStyle w:val="Compact"/>
            </w:pPr>
            <w:r>
              <w:lastRenderedPageBreak/>
              <w:t>Level</w:t>
            </w:r>
          </w:p>
        </w:tc>
        <w:tc>
          <w:tcPr>
            <w:tcW w:w="0" w:type="auto"/>
            <w:tcBorders>
              <w:bottom w:val="single" w:sz="0" w:space="0" w:color="auto"/>
            </w:tcBorders>
            <w:vAlign w:val="bottom"/>
          </w:tcPr>
          <w:p w14:paraId="34BBD010" w14:textId="77777777" w:rsidR="008A25C9" w:rsidRDefault="00000000">
            <w:pPr>
              <w:pStyle w:val="Compact"/>
            </w:pPr>
            <w:r>
              <w:t>Points</w:t>
            </w:r>
          </w:p>
        </w:tc>
        <w:tc>
          <w:tcPr>
            <w:tcW w:w="0" w:type="auto"/>
            <w:tcBorders>
              <w:bottom w:val="single" w:sz="0" w:space="0" w:color="auto"/>
            </w:tcBorders>
            <w:vAlign w:val="bottom"/>
          </w:tcPr>
          <w:p w14:paraId="2429CF5B" w14:textId="77777777" w:rsidR="008A25C9" w:rsidRDefault="00000000">
            <w:pPr>
              <w:pStyle w:val="Compact"/>
            </w:pPr>
            <w:r>
              <w:t>National example, 2026</w:t>
            </w:r>
          </w:p>
        </w:tc>
        <w:tc>
          <w:tcPr>
            <w:tcW w:w="0" w:type="auto"/>
            <w:tcBorders>
              <w:bottom w:val="single" w:sz="0" w:space="0" w:color="auto"/>
            </w:tcBorders>
            <w:vAlign w:val="bottom"/>
          </w:tcPr>
          <w:p w14:paraId="73048BDB" w14:textId="77777777" w:rsidR="008A25C9" w:rsidRDefault="00000000">
            <w:pPr>
              <w:pStyle w:val="Compact"/>
            </w:pPr>
            <w:r>
              <w:t>Note</w:t>
            </w:r>
          </w:p>
        </w:tc>
      </w:tr>
      <w:tr w:rsidR="008A25C9" w14:paraId="2554E2C9" w14:textId="77777777">
        <w:tc>
          <w:tcPr>
            <w:tcW w:w="0" w:type="auto"/>
          </w:tcPr>
          <w:p w14:paraId="22AC8121" w14:textId="77777777" w:rsidR="008A25C9" w:rsidRDefault="00000000">
            <w:pPr>
              <w:pStyle w:val="Compact"/>
            </w:pPr>
            <w:r>
              <w:t>L0</w:t>
            </w:r>
          </w:p>
        </w:tc>
        <w:tc>
          <w:tcPr>
            <w:tcW w:w="0" w:type="auto"/>
          </w:tcPr>
          <w:p w14:paraId="4EE2896F" w14:textId="77777777" w:rsidR="008A25C9" w:rsidRDefault="00000000">
            <w:pPr>
              <w:pStyle w:val="Compact"/>
            </w:pPr>
            <w:r>
              <w:t>0</w:t>
            </w:r>
          </w:p>
        </w:tc>
        <w:tc>
          <w:tcPr>
            <w:tcW w:w="0" w:type="auto"/>
          </w:tcPr>
          <w:p w14:paraId="63BF34E0" w14:textId="77777777" w:rsidR="008A25C9" w:rsidRDefault="00000000">
            <w:pPr>
              <w:pStyle w:val="Compact"/>
            </w:pPr>
            <w:r>
              <w:t>Governments on foreign frontier APIs</w:t>
            </w:r>
          </w:p>
        </w:tc>
        <w:tc>
          <w:tcPr>
            <w:tcW w:w="0" w:type="auto"/>
          </w:tcPr>
          <w:p w14:paraId="395C4F24" w14:textId="77777777" w:rsidR="008A25C9" w:rsidRDefault="00000000">
            <w:pPr>
              <w:pStyle w:val="Compact"/>
            </w:pPr>
            <w:r>
              <w:t>CLOUD Act and directive exposure</w:t>
            </w:r>
          </w:p>
        </w:tc>
      </w:tr>
      <w:tr w:rsidR="008A25C9" w14:paraId="46B1B476" w14:textId="77777777">
        <w:tc>
          <w:tcPr>
            <w:tcW w:w="0" w:type="auto"/>
          </w:tcPr>
          <w:p w14:paraId="448CF02B" w14:textId="77777777" w:rsidR="008A25C9" w:rsidRDefault="00000000">
            <w:pPr>
              <w:pStyle w:val="Compact"/>
            </w:pPr>
            <w:r>
              <w:t>L1</w:t>
            </w:r>
          </w:p>
        </w:tc>
        <w:tc>
          <w:tcPr>
            <w:tcW w:w="0" w:type="auto"/>
          </w:tcPr>
          <w:p w14:paraId="6DE66F78" w14:textId="77777777" w:rsidR="008A25C9" w:rsidRDefault="00000000">
            <w:pPr>
              <w:pStyle w:val="Compact"/>
            </w:pPr>
            <w:r>
              <w:t>4</w:t>
            </w:r>
          </w:p>
        </w:tc>
        <w:tc>
          <w:tcPr>
            <w:tcW w:w="0" w:type="auto"/>
          </w:tcPr>
          <w:p w14:paraId="3C4F443B" w14:textId="77777777" w:rsidR="008A25C9" w:rsidRDefault="00000000">
            <w:pPr>
              <w:pStyle w:val="Compact"/>
            </w:pPr>
            <w:r>
              <w:t>Open-weights models run on-prem, unadapted</w:t>
            </w:r>
          </w:p>
        </w:tc>
        <w:tc>
          <w:tcPr>
            <w:tcW w:w="0" w:type="auto"/>
          </w:tcPr>
          <w:p w14:paraId="47F96C04" w14:textId="77777777" w:rsidR="008A25C9" w:rsidRDefault="00000000">
            <w:pPr>
              <w:pStyle w:val="Compact"/>
            </w:pPr>
            <w:r>
              <w:t>Control of the hardware, nothing more</w:t>
            </w:r>
          </w:p>
        </w:tc>
      </w:tr>
      <w:tr w:rsidR="008A25C9" w14:paraId="002339EF" w14:textId="77777777">
        <w:tc>
          <w:tcPr>
            <w:tcW w:w="0" w:type="auto"/>
          </w:tcPr>
          <w:p w14:paraId="2A64F8FF" w14:textId="77777777" w:rsidR="008A25C9" w:rsidRDefault="00000000">
            <w:pPr>
              <w:pStyle w:val="Compact"/>
            </w:pPr>
            <w:r>
              <w:t>L2</w:t>
            </w:r>
          </w:p>
        </w:tc>
        <w:tc>
          <w:tcPr>
            <w:tcW w:w="0" w:type="auto"/>
          </w:tcPr>
          <w:p w14:paraId="7EB11836" w14:textId="77777777" w:rsidR="008A25C9" w:rsidRDefault="00000000">
            <w:pPr>
              <w:pStyle w:val="Compact"/>
            </w:pPr>
            <w:r>
              <w:t>11</w:t>
            </w:r>
          </w:p>
        </w:tc>
        <w:tc>
          <w:tcPr>
            <w:tcW w:w="0" w:type="auto"/>
          </w:tcPr>
          <w:p w14:paraId="6AFADE0E" w14:textId="77777777" w:rsidR="008A25C9" w:rsidRDefault="00000000">
            <w:pPr>
              <w:pStyle w:val="Compact"/>
            </w:pPr>
            <w:r>
              <w:t>BgGPT (Gemma 3 → Bulgarian); Meltemi; Sarvam-M; TAIDE</w:t>
            </w:r>
          </w:p>
        </w:tc>
        <w:tc>
          <w:tcPr>
            <w:tcW w:w="0" w:type="auto"/>
          </w:tcPr>
          <w:p w14:paraId="3525A477" w14:textId="77777777" w:rsidR="008A25C9" w:rsidRDefault="00000000">
            <w:pPr>
              <w:pStyle w:val="Compact"/>
            </w:pPr>
            <w:r>
              <w:t>Adapt or keep training someone else’s base model</w:t>
            </w:r>
          </w:p>
        </w:tc>
      </w:tr>
      <w:tr w:rsidR="008A25C9" w14:paraId="3F91CD2A" w14:textId="77777777">
        <w:tc>
          <w:tcPr>
            <w:tcW w:w="0" w:type="auto"/>
          </w:tcPr>
          <w:p w14:paraId="62722AFD" w14:textId="77777777" w:rsidR="008A25C9" w:rsidRDefault="00000000">
            <w:pPr>
              <w:pStyle w:val="Compact"/>
            </w:pPr>
            <w:r>
              <w:t>L3</w:t>
            </w:r>
          </w:p>
        </w:tc>
        <w:tc>
          <w:tcPr>
            <w:tcW w:w="0" w:type="auto"/>
          </w:tcPr>
          <w:p w14:paraId="50E80959" w14:textId="77777777" w:rsidR="008A25C9" w:rsidRDefault="00000000">
            <w:pPr>
              <w:pStyle w:val="Compact"/>
            </w:pPr>
            <w:r>
              <w:t>13</w:t>
            </w:r>
          </w:p>
        </w:tc>
        <w:tc>
          <w:tcPr>
            <w:tcW w:w="0" w:type="auto"/>
          </w:tcPr>
          <w:p w14:paraId="70BB7099" w14:textId="77777777" w:rsidR="008A25C9" w:rsidRDefault="00000000">
            <w:pPr>
              <w:pStyle w:val="Compact"/>
            </w:pPr>
            <w:r>
              <w:t>EuroLLM; Teuken; Poro; Aya-Expanse; EXAONE</w:t>
            </w:r>
          </w:p>
        </w:tc>
        <w:tc>
          <w:tcPr>
            <w:tcW w:w="0" w:type="auto"/>
          </w:tcPr>
          <w:p w14:paraId="61DB928B" w14:textId="77777777" w:rsidR="008A25C9" w:rsidRDefault="00000000">
            <w:pPr>
              <w:pStyle w:val="Compact"/>
            </w:pPr>
            <w:r>
              <w:t>Own model and tokeniser, on foreign compute</w:t>
            </w:r>
          </w:p>
        </w:tc>
      </w:tr>
      <w:tr w:rsidR="008A25C9" w14:paraId="7A236CAF" w14:textId="77777777">
        <w:tc>
          <w:tcPr>
            <w:tcW w:w="0" w:type="auto"/>
          </w:tcPr>
          <w:p w14:paraId="5778A8F6" w14:textId="77777777" w:rsidR="008A25C9" w:rsidRDefault="00000000">
            <w:pPr>
              <w:pStyle w:val="Compact"/>
            </w:pPr>
            <w:r>
              <w:t>L4</w:t>
            </w:r>
          </w:p>
        </w:tc>
        <w:tc>
          <w:tcPr>
            <w:tcW w:w="0" w:type="auto"/>
          </w:tcPr>
          <w:p w14:paraId="4AF6C400" w14:textId="77777777" w:rsidR="008A25C9" w:rsidRDefault="00000000">
            <w:pPr>
              <w:pStyle w:val="Compact"/>
            </w:pPr>
            <w:r>
              <w:t>16</w:t>
            </w:r>
          </w:p>
        </w:tc>
        <w:tc>
          <w:tcPr>
            <w:tcW w:w="0" w:type="auto"/>
          </w:tcPr>
          <w:p w14:paraId="77CA1DA5" w14:textId="77777777" w:rsidR="008A25C9" w:rsidRDefault="00000000">
            <w:pPr>
              <w:pStyle w:val="Compact"/>
            </w:pPr>
            <w:r>
              <w:t>Fugaku-LLM; Falcon/Jais (UAE); DeepSeek/Qwen on Ascend</w:t>
            </w:r>
          </w:p>
        </w:tc>
        <w:tc>
          <w:tcPr>
            <w:tcW w:w="0" w:type="auto"/>
          </w:tcPr>
          <w:p w14:paraId="1FE0477E" w14:textId="77777777" w:rsidR="008A25C9" w:rsidRDefault="00000000">
            <w:pPr>
              <w:pStyle w:val="Compact"/>
            </w:pPr>
            <w:r>
              <w:t>Fully independent, top to bottom</w:t>
            </w:r>
          </w:p>
        </w:tc>
      </w:tr>
    </w:tbl>
    <w:p w14:paraId="3C0D7374" w14:textId="77777777" w:rsidR="008A25C9" w:rsidRDefault="00000000">
      <w:pPr>
        <w:pStyle w:val="BodyText"/>
      </w:pPr>
      <w:r>
        <w:t>Scoring rule: the ladder anchors the level; the pillar score is the assessor’s raw fraction × 16, with the anchor as the reference point. Worked examples show both (e.g. “L2 anchor 11; raw 0.55 after portfolio-depth deductions”). The jump from L2 to L3 turns on owning the tokeniser — the part that splits language into pieces — which removes a built-in bias toward foreign languages that is even harder to fix than the model itself.</w:t>
      </w:r>
    </w:p>
    <w:p w14:paraId="6B1308F9" w14:textId="77777777" w:rsidR="008A25C9" w:rsidRDefault="00000000">
      <w:pPr>
        <w:pStyle w:val="BodyText"/>
      </w:pPr>
      <w:r>
        <w:rPr>
          <w:b/>
        </w:rPr>
        <w:t>Reasoning bonus:</w:t>
      </w:r>
      <w:r>
        <w:t xml:space="preserve"> a country that has released a reasoning model in its own national language earns +2 within the pillar, capped at 16. Currently: China, South Korea, India, UAE.</w:t>
      </w:r>
    </w:p>
    <w:p w14:paraId="544C1E82" w14:textId="77777777" w:rsidR="008A25C9" w:rsidRDefault="00000000">
      <w:pPr>
        <w:pStyle w:val="BodyText"/>
      </w:pPr>
      <w:r>
        <w:rPr>
          <w:b/>
        </w:rPr>
        <w:t>Spending thresholds:</w:t>
      </w:r>
      <w:r>
        <w:t xml:space="preserve"> DeepSeek-V3’s reported ~$5.6M in rented compute sets the floor for replicating a top model; roughly $500M/year is the bar for matching a full national ecosystem.</w:t>
      </w:r>
    </w:p>
    <w:tbl>
      <w:tblPr>
        <w:tblStyle w:val="Table"/>
        <w:tblW w:w="5000" w:type="pct"/>
        <w:tblLook w:val="07E0" w:firstRow="1" w:lastRow="1" w:firstColumn="1" w:lastColumn="1" w:noHBand="1" w:noVBand="1"/>
      </w:tblPr>
      <w:tblGrid>
        <w:gridCol w:w="2772"/>
        <w:gridCol w:w="870"/>
        <w:gridCol w:w="585"/>
        <w:gridCol w:w="5133"/>
      </w:tblGrid>
      <w:tr w:rsidR="008A25C9" w14:paraId="19FD4F1E" w14:textId="77777777">
        <w:tc>
          <w:tcPr>
            <w:tcW w:w="0" w:type="auto"/>
            <w:tcBorders>
              <w:bottom w:val="single" w:sz="0" w:space="0" w:color="auto"/>
            </w:tcBorders>
            <w:vAlign w:val="bottom"/>
          </w:tcPr>
          <w:p w14:paraId="073B4A34" w14:textId="77777777" w:rsidR="008A25C9" w:rsidRDefault="00000000">
            <w:pPr>
              <w:pStyle w:val="Compact"/>
            </w:pPr>
            <w:r>
              <w:t>Sub-indicator</w:t>
            </w:r>
          </w:p>
        </w:tc>
        <w:tc>
          <w:tcPr>
            <w:tcW w:w="0" w:type="auto"/>
            <w:tcBorders>
              <w:bottom w:val="single" w:sz="0" w:space="0" w:color="auto"/>
            </w:tcBorders>
            <w:vAlign w:val="bottom"/>
          </w:tcPr>
          <w:p w14:paraId="089A72BA" w14:textId="77777777" w:rsidR="008A25C9" w:rsidRDefault="00000000">
            <w:pPr>
              <w:pStyle w:val="Compact"/>
            </w:pPr>
            <w:r>
              <w:t>Points</w:t>
            </w:r>
          </w:p>
        </w:tc>
        <w:tc>
          <w:tcPr>
            <w:tcW w:w="0" w:type="auto"/>
            <w:tcBorders>
              <w:bottom w:val="single" w:sz="0" w:space="0" w:color="auto"/>
            </w:tcBorders>
            <w:vAlign w:val="bottom"/>
          </w:tcPr>
          <w:p w14:paraId="28300823" w14:textId="77777777" w:rsidR="008A25C9" w:rsidRDefault="00000000">
            <w:pPr>
              <w:pStyle w:val="Compact"/>
            </w:pPr>
            <w:r>
              <w:t>R/A</w:t>
            </w:r>
          </w:p>
        </w:tc>
        <w:tc>
          <w:tcPr>
            <w:tcW w:w="0" w:type="auto"/>
            <w:tcBorders>
              <w:bottom w:val="single" w:sz="0" w:space="0" w:color="auto"/>
            </w:tcBorders>
            <w:vAlign w:val="bottom"/>
          </w:tcPr>
          <w:p w14:paraId="55B4F3E4" w14:textId="77777777" w:rsidR="008A25C9" w:rsidRDefault="00000000">
            <w:pPr>
              <w:pStyle w:val="Compact"/>
            </w:pPr>
            <w:r>
              <w:t>Evidence expected</w:t>
            </w:r>
          </w:p>
        </w:tc>
      </w:tr>
      <w:tr w:rsidR="008A25C9" w14:paraId="4C069C02" w14:textId="77777777">
        <w:tc>
          <w:tcPr>
            <w:tcW w:w="0" w:type="auto"/>
          </w:tcPr>
          <w:p w14:paraId="25D0EAD9" w14:textId="77777777" w:rsidR="008A25C9" w:rsidRDefault="00000000">
            <w:pPr>
              <w:pStyle w:val="Compact"/>
            </w:pPr>
            <w:r>
              <w:t>Ladder level (anchored)</w:t>
            </w:r>
          </w:p>
        </w:tc>
        <w:tc>
          <w:tcPr>
            <w:tcW w:w="0" w:type="auto"/>
          </w:tcPr>
          <w:p w14:paraId="5ACE3C1B" w14:textId="77777777" w:rsidR="008A25C9" w:rsidRDefault="00000000">
            <w:pPr>
              <w:pStyle w:val="Compact"/>
            </w:pPr>
            <w:r>
              <w:t>12</w:t>
            </w:r>
          </w:p>
        </w:tc>
        <w:tc>
          <w:tcPr>
            <w:tcW w:w="0" w:type="auto"/>
          </w:tcPr>
          <w:p w14:paraId="34E4B745" w14:textId="77777777" w:rsidR="008A25C9" w:rsidRDefault="00000000">
            <w:pPr>
              <w:pStyle w:val="Compact"/>
            </w:pPr>
            <w:r>
              <w:t>A</w:t>
            </w:r>
          </w:p>
        </w:tc>
        <w:tc>
          <w:tcPr>
            <w:tcW w:w="0" w:type="auto"/>
          </w:tcPr>
          <w:p w14:paraId="45579547" w14:textId="77777777" w:rsidR="008A25C9" w:rsidRDefault="00000000">
            <w:pPr>
              <w:pStyle w:val="Compact"/>
            </w:pPr>
            <w:r>
              <w:t>Highest level achieved, evidenced by shipped models in use</w:t>
            </w:r>
          </w:p>
        </w:tc>
      </w:tr>
      <w:tr w:rsidR="008A25C9" w14:paraId="2A1CA342" w14:textId="77777777">
        <w:tc>
          <w:tcPr>
            <w:tcW w:w="0" w:type="auto"/>
          </w:tcPr>
          <w:p w14:paraId="349BE30D" w14:textId="77777777" w:rsidR="008A25C9" w:rsidRDefault="00000000">
            <w:pPr>
              <w:pStyle w:val="Compact"/>
            </w:pPr>
            <w:r>
              <w:t>Portfolio depth and open fallback</w:t>
            </w:r>
          </w:p>
        </w:tc>
        <w:tc>
          <w:tcPr>
            <w:tcW w:w="0" w:type="auto"/>
          </w:tcPr>
          <w:p w14:paraId="5B6239E5" w14:textId="77777777" w:rsidR="008A25C9" w:rsidRDefault="00000000">
            <w:pPr>
              <w:pStyle w:val="Compact"/>
            </w:pPr>
            <w:r>
              <w:t>4</w:t>
            </w:r>
          </w:p>
        </w:tc>
        <w:tc>
          <w:tcPr>
            <w:tcW w:w="0" w:type="auto"/>
          </w:tcPr>
          <w:p w14:paraId="6253EDAA" w14:textId="77777777" w:rsidR="008A25C9" w:rsidRDefault="00000000">
            <w:pPr>
              <w:pStyle w:val="Compact"/>
            </w:pPr>
            <w:r>
              <w:t>R</w:t>
            </w:r>
          </w:p>
        </w:tc>
        <w:tc>
          <w:tcPr>
            <w:tcW w:w="0" w:type="auto"/>
          </w:tcPr>
          <w:p w14:paraId="48D18D0A" w14:textId="77777777" w:rsidR="008A25C9" w:rsidRDefault="00000000">
            <w:pPr>
              <w:pStyle w:val="Compact"/>
            </w:pPr>
            <w:r>
              <w:t>More than one usable model; self-hosted deployment in government</w:t>
            </w:r>
          </w:p>
        </w:tc>
      </w:tr>
    </w:tbl>
    <w:p w14:paraId="27AFE0A9" w14:textId="77777777" w:rsidR="008A25C9" w:rsidRDefault="00000000">
      <w:pPr>
        <w:pStyle w:val="Heading3"/>
      </w:pPr>
      <w:bookmarkStart w:id="78" w:name="X94f60f22d5137b46899c8585b33108a11ac6cbb"/>
      <w:r>
        <w:t>Pillar 3. Infrastructure and energy — 17 points</w:t>
      </w:r>
      <w:bookmarkEnd w:id="78"/>
    </w:p>
    <w:p w14:paraId="214A8A63" w14:textId="77777777" w:rsidR="008A25C9" w:rsidRDefault="00000000">
      <w:pPr>
        <w:pStyle w:val="FirstParagraph"/>
      </w:pPr>
      <w:r>
        <w:t xml:space="preserve">Every major sovereignty incident of 2024–2026 ran through this pillar. The scoring anchors for sovereign cloud, in descending order of protection: </w:t>
      </w:r>
      <w:r>
        <w:rPr>
          <w:b/>
        </w:rPr>
        <w:t>SecNumCloud 3.2</w:t>
      </w:r>
      <w:r>
        <w:t xml:space="preserve"> (immune from foreign-reach law — the established top bar); the </w:t>
      </w:r>
      <w:r>
        <w:rPr>
          <w:b/>
        </w:rPr>
        <w:t>CADA Cloud Sovereignty Framework</w:t>
      </w:r>
      <w:r>
        <w:t xml:space="preserve"> levels once finalised (the proposed EU-wide four-level ladder — track the trilogue; see Framework Part V); </w:t>
      </w:r>
      <w:r>
        <w:rPr>
          <w:b/>
        </w:rPr>
        <w:t>GAIA-X Level 3</w:t>
      </w:r>
      <w:r>
        <w:t>; EU-operated subsidiaries of foreign providers (BSI C5 tier — the AWS European Sovereign Cloud sits here: EU-run, still US-owned). Do not score against EUCS: its sovereignty tier was removed in March 2024 and never returned; CADA is where that debate moved.</w:t>
      </w:r>
    </w:p>
    <w:p w14:paraId="43ABCD62" w14:textId="77777777" w:rsidR="008A25C9" w:rsidRDefault="00000000">
      <w:pPr>
        <w:pStyle w:val="BodyText"/>
      </w:pPr>
      <w:r>
        <w:rPr>
          <w:b/>
        </w:rPr>
        <w:t>Local compute</w:t>
      </w:r>
      <w:r>
        <w:t xml:space="preserve"> credits AI-accelerator capacity on the subject’s own territory at full rate, plus up to 2 of its 4 points for </w:t>
      </w:r>
      <w:r>
        <w:rPr>
          <w:i/>
        </w:rPr>
        <w:t>enforceable</w:t>
      </w:r>
      <w:r>
        <w:t xml:space="preserve"> pooled EU capacity — a signed EuroHPC AI Factory or Gigafactory hosting or consortium agreement conferring allocation rights the </w:t>
      </w:r>
      <w:r>
        <w:lastRenderedPageBreak/>
        <w:t>subject can invoke. The Gigafactories call opened on 30 July 2026 (seven sites, €10B public funding, awards early 2027): a signed award will qualify; a bid does not. Mere programme membership scores 0. Pooled capacity is labelled a bottleneck, never a structural asset.</w:t>
      </w:r>
    </w:p>
    <w:tbl>
      <w:tblPr>
        <w:tblStyle w:val="Table"/>
        <w:tblW w:w="5000" w:type="pct"/>
        <w:tblLook w:val="07E0" w:firstRow="1" w:lastRow="1" w:firstColumn="1" w:lastColumn="1" w:noHBand="1" w:noVBand="1"/>
      </w:tblPr>
      <w:tblGrid>
        <w:gridCol w:w="2715"/>
        <w:gridCol w:w="870"/>
        <w:gridCol w:w="585"/>
        <w:gridCol w:w="5190"/>
      </w:tblGrid>
      <w:tr w:rsidR="008A25C9" w14:paraId="69F5ED1B" w14:textId="77777777">
        <w:tc>
          <w:tcPr>
            <w:tcW w:w="0" w:type="auto"/>
            <w:tcBorders>
              <w:bottom w:val="single" w:sz="0" w:space="0" w:color="auto"/>
            </w:tcBorders>
            <w:vAlign w:val="bottom"/>
          </w:tcPr>
          <w:p w14:paraId="30F30524" w14:textId="77777777" w:rsidR="008A25C9" w:rsidRDefault="00000000">
            <w:pPr>
              <w:pStyle w:val="Compact"/>
            </w:pPr>
            <w:r>
              <w:t>Sub-indicator</w:t>
            </w:r>
          </w:p>
        </w:tc>
        <w:tc>
          <w:tcPr>
            <w:tcW w:w="0" w:type="auto"/>
            <w:tcBorders>
              <w:bottom w:val="single" w:sz="0" w:space="0" w:color="auto"/>
            </w:tcBorders>
            <w:vAlign w:val="bottom"/>
          </w:tcPr>
          <w:p w14:paraId="7618F610" w14:textId="77777777" w:rsidR="008A25C9" w:rsidRDefault="00000000">
            <w:pPr>
              <w:pStyle w:val="Compact"/>
            </w:pPr>
            <w:r>
              <w:t>Points</w:t>
            </w:r>
          </w:p>
        </w:tc>
        <w:tc>
          <w:tcPr>
            <w:tcW w:w="0" w:type="auto"/>
            <w:tcBorders>
              <w:bottom w:val="single" w:sz="0" w:space="0" w:color="auto"/>
            </w:tcBorders>
            <w:vAlign w:val="bottom"/>
          </w:tcPr>
          <w:p w14:paraId="36A4C8A9" w14:textId="77777777" w:rsidR="008A25C9" w:rsidRDefault="00000000">
            <w:pPr>
              <w:pStyle w:val="Compact"/>
            </w:pPr>
            <w:r>
              <w:t>R/A</w:t>
            </w:r>
          </w:p>
        </w:tc>
        <w:tc>
          <w:tcPr>
            <w:tcW w:w="0" w:type="auto"/>
            <w:tcBorders>
              <w:bottom w:val="single" w:sz="0" w:space="0" w:color="auto"/>
            </w:tcBorders>
            <w:vAlign w:val="bottom"/>
          </w:tcPr>
          <w:p w14:paraId="6AB2D72E" w14:textId="77777777" w:rsidR="008A25C9" w:rsidRDefault="00000000">
            <w:pPr>
              <w:pStyle w:val="Compact"/>
            </w:pPr>
            <w:r>
              <w:t>Evidence expected</w:t>
            </w:r>
          </w:p>
        </w:tc>
      </w:tr>
      <w:tr w:rsidR="008A25C9" w14:paraId="7CD21F1E" w14:textId="77777777">
        <w:tc>
          <w:tcPr>
            <w:tcW w:w="0" w:type="auto"/>
          </w:tcPr>
          <w:p w14:paraId="1A960625" w14:textId="77777777" w:rsidR="008A25C9" w:rsidRDefault="00000000">
            <w:pPr>
              <w:pStyle w:val="Compact"/>
            </w:pPr>
            <w:r>
              <w:t>Sovereign cloud / cloud choice</w:t>
            </w:r>
          </w:p>
        </w:tc>
        <w:tc>
          <w:tcPr>
            <w:tcW w:w="0" w:type="auto"/>
          </w:tcPr>
          <w:p w14:paraId="08766B0C" w14:textId="77777777" w:rsidR="008A25C9" w:rsidRDefault="00000000">
            <w:pPr>
              <w:pStyle w:val="Compact"/>
            </w:pPr>
            <w:r>
              <w:t>5</w:t>
            </w:r>
          </w:p>
        </w:tc>
        <w:tc>
          <w:tcPr>
            <w:tcW w:w="0" w:type="auto"/>
          </w:tcPr>
          <w:p w14:paraId="41F56847" w14:textId="77777777" w:rsidR="008A25C9" w:rsidRDefault="00000000">
            <w:pPr>
              <w:pStyle w:val="Compact"/>
            </w:pPr>
            <w:r>
              <w:t>R</w:t>
            </w:r>
          </w:p>
        </w:tc>
        <w:tc>
          <w:tcPr>
            <w:tcW w:w="0" w:type="auto"/>
          </w:tcPr>
          <w:p w14:paraId="7EAE391E" w14:textId="77777777" w:rsidR="008A25C9" w:rsidRDefault="00000000">
            <w:pPr>
              <w:pStyle w:val="Compact"/>
            </w:pPr>
            <w:r>
              <w:t>Certification against the anchors above; European jurisdiction</w:t>
            </w:r>
          </w:p>
        </w:tc>
      </w:tr>
      <w:tr w:rsidR="008A25C9" w14:paraId="27F942EC" w14:textId="77777777">
        <w:tc>
          <w:tcPr>
            <w:tcW w:w="0" w:type="auto"/>
          </w:tcPr>
          <w:p w14:paraId="2400BF68" w14:textId="77777777" w:rsidR="008A25C9" w:rsidRDefault="00000000">
            <w:pPr>
              <w:pStyle w:val="Compact"/>
            </w:pPr>
            <w:r>
              <w:t>Local compute</w:t>
            </w:r>
          </w:p>
        </w:tc>
        <w:tc>
          <w:tcPr>
            <w:tcW w:w="0" w:type="auto"/>
          </w:tcPr>
          <w:p w14:paraId="4BBBB5D9" w14:textId="77777777" w:rsidR="008A25C9" w:rsidRDefault="00000000">
            <w:pPr>
              <w:pStyle w:val="Compact"/>
            </w:pPr>
            <w:r>
              <w:t>4</w:t>
            </w:r>
          </w:p>
        </w:tc>
        <w:tc>
          <w:tcPr>
            <w:tcW w:w="0" w:type="auto"/>
          </w:tcPr>
          <w:p w14:paraId="7B3C2117" w14:textId="77777777" w:rsidR="008A25C9" w:rsidRDefault="00000000">
            <w:pPr>
              <w:pStyle w:val="Compact"/>
            </w:pPr>
            <w:r>
              <w:t>R</w:t>
            </w:r>
          </w:p>
        </w:tc>
        <w:tc>
          <w:tcPr>
            <w:tcW w:w="0" w:type="auto"/>
          </w:tcPr>
          <w:p w14:paraId="4CCE78B3" w14:textId="77777777" w:rsidR="008A25C9" w:rsidRDefault="00000000">
            <w:pPr>
              <w:pStyle w:val="Compact"/>
            </w:pPr>
            <w:r>
              <w:t>Own-territory accelerator capacity; enforceable pooled allocation (≤2)</w:t>
            </w:r>
          </w:p>
        </w:tc>
      </w:tr>
      <w:tr w:rsidR="008A25C9" w14:paraId="4034F2F6" w14:textId="77777777">
        <w:tc>
          <w:tcPr>
            <w:tcW w:w="0" w:type="auto"/>
          </w:tcPr>
          <w:p w14:paraId="20890DAF" w14:textId="77777777" w:rsidR="008A25C9" w:rsidRDefault="00000000">
            <w:pPr>
              <w:pStyle w:val="Compact"/>
            </w:pPr>
            <w:r>
              <w:t>Network independence</w:t>
            </w:r>
          </w:p>
        </w:tc>
        <w:tc>
          <w:tcPr>
            <w:tcW w:w="0" w:type="auto"/>
          </w:tcPr>
          <w:p w14:paraId="44DEC405" w14:textId="77777777" w:rsidR="008A25C9" w:rsidRDefault="00000000">
            <w:pPr>
              <w:pStyle w:val="Compact"/>
            </w:pPr>
            <w:r>
              <w:t>2</w:t>
            </w:r>
          </w:p>
        </w:tc>
        <w:tc>
          <w:tcPr>
            <w:tcW w:w="0" w:type="auto"/>
          </w:tcPr>
          <w:p w14:paraId="3112DEAA" w14:textId="77777777" w:rsidR="008A25C9" w:rsidRDefault="00000000">
            <w:pPr>
              <w:pStyle w:val="Compact"/>
            </w:pPr>
            <w:r>
              <w:t>R</w:t>
            </w:r>
          </w:p>
        </w:tc>
        <w:tc>
          <w:tcPr>
            <w:tcW w:w="0" w:type="auto"/>
          </w:tcPr>
          <w:p w14:paraId="3BF4FA59" w14:textId="77777777" w:rsidR="008A25C9" w:rsidRDefault="00000000">
            <w:pPr>
              <w:pStyle w:val="Compact"/>
            </w:pPr>
            <w:r>
              <w:t>Several providers plus own interconnects</w:t>
            </w:r>
          </w:p>
        </w:tc>
      </w:tr>
      <w:tr w:rsidR="008A25C9" w14:paraId="78DB1999" w14:textId="77777777">
        <w:tc>
          <w:tcPr>
            <w:tcW w:w="0" w:type="auto"/>
          </w:tcPr>
          <w:p w14:paraId="4A599DE9" w14:textId="77777777" w:rsidR="008A25C9" w:rsidRDefault="00000000">
            <w:pPr>
              <w:pStyle w:val="Compact"/>
            </w:pPr>
            <w:r>
              <w:t>Energy mix and price</w:t>
            </w:r>
          </w:p>
        </w:tc>
        <w:tc>
          <w:tcPr>
            <w:tcW w:w="0" w:type="auto"/>
          </w:tcPr>
          <w:p w14:paraId="6B0BC59D" w14:textId="77777777" w:rsidR="008A25C9" w:rsidRDefault="00000000">
            <w:pPr>
              <w:pStyle w:val="Compact"/>
            </w:pPr>
            <w:r>
              <w:t>3</w:t>
            </w:r>
          </w:p>
        </w:tc>
        <w:tc>
          <w:tcPr>
            <w:tcW w:w="0" w:type="auto"/>
          </w:tcPr>
          <w:p w14:paraId="3DA90D4C" w14:textId="77777777" w:rsidR="008A25C9" w:rsidRDefault="00000000">
            <w:pPr>
              <w:pStyle w:val="Compact"/>
            </w:pPr>
            <w:r>
              <w:t>R</w:t>
            </w:r>
          </w:p>
        </w:tc>
        <w:tc>
          <w:tcPr>
            <w:tcW w:w="0" w:type="auto"/>
          </w:tcPr>
          <w:p w14:paraId="197000CB" w14:textId="77777777" w:rsidR="008A25C9" w:rsidRDefault="00000000">
            <w:pPr>
              <w:pStyle w:val="Compact"/>
            </w:pPr>
            <w:r>
              <w:t>Diversified sources; competitive price; grid headroom</w:t>
            </w:r>
          </w:p>
        </w:tc>
      </w:tr>
      <w:tr w:rsidR="008A25C9" w14:paraId="2A3A6EFF" w14:textId="77777777">
        <w:tc>
          <w:tcPr>
            <w:tcW w:w="0" w:type="auto"/>
          </w:tcPr>
          <w:p w14:paraId="08720915" w14:textId="77777777" w:rsidR="008A25C9" w:rsidRDefault="00000000">
            <w:pPr>
              <w:pStyle w:val="Compact"/>
            </w:pPr>
            <w:r>
              <w:t>Cryptographic control + TEE</w:t>
            </w:r>
          </w:p>
        </w:tc>
        <w:tc>
          <w:tcPr>
            <w:tcW w:w="0" w:type="auto"/>
          </w:tcPr>
          <w:p w14:paraId="19D31FE8" w14:textId="77777777" w:rsidR="008A25C9" w:rsidRDefault="00000000">
            <w:pPr>
              <w:pStyle w:val="Compact"/>
            </w:pPr>
            <w:r>
              <w:t>3</w:t>
            </w:r>
          </w:p>
        </w:tc>
        <w:tc>
          <w:tcPr>
            <w:tcW w:w="0" w:type="auto"/>
          </w:tcPr>
          <w:p w14:paraId="537BC060" w14:textId="77777777" w:rsidR="008A25C9" w:rsidRDefault="00000000">
            <w:pPr>
              <w:pStyle w:val="Compact"/>
            </w:pPr>
            <w:r>
              <w:t>R</w:t>
            </w:r>
          </w:p>
        </w:tc>
        <w:tc>
          <w:tcPr>
            <w:tcW w:w="0" w:type="auto"/>
          </w:tcPr>
          <w:p w14:paraId="4D900C73" w14:textId="77777777" w:rsidR="008A25C9" w:rsidRDefault="00000000">
            <w:pPr>
              <w:pStyle w:val="Compact"/>
            </w:pPr>
            <w:r>
              <w:t>HSMs, key management, attested confidential computing</w:t>
            </w:r>
          </w:p>
        </w:tc>
      </w:tr>
    </w:tbl>
    <w:p w14:paraId="1EC0F099" w14:textId="77777777" w:rsidR="008A25C9" w:rsidRDefault="00000000">
      <w:pPr>
        <w:pStyle w:val="Heading3"/>
      </w:pPr>
      <w:bookmarkStart w:id="79" w:name="Xa21d269d816198412788bfb68590baf576bcc2c"/>
      <w:r>
        <w:t>Pillar 4. Hardware architecture — 17 points</w:t>
      </w:r>
      <w:bookmarkEnd w:id="79"/>
    </w:p>
    <w:p w14:paraId="6ADAEDC1" w14:textId="77777777" w:rsidR="008A25C9" w:rsidRDefault="00000000">
      <w:pPr>
        <w:pStyle w:val="FirstParagraph"/>
      </w:pPr>
      <w:r>
        <w:t>The fastest-changing pillar: US export rules went through seven major turns between 2022 and 2026, and the 2026 watchword is deal-by-deal diplomacy — bans became revenue-share deals became case-by-case licences. Vendor and alternative-chip detail: Document 4.</w:t>
      </w:r>
    </w:p>
    <w:tbl>
      <w:tblPr>
        <w:tblStyle w:val="Table"/>
        <w:tblW w:w="5000" w:type="pct"/>
        <w:tblLook w:val="07E0" w:firstRow="1" w:lastRow="1" w:firstColumn="1" w:lastColumn="1" w:noHBand="1" w:noVBand="1"/>
      </w:tblPr>
      <w:tblGrid>
        <w:gridCol w:w="3139"/>
        <w:gridCol w:w="870"/>
        <w:gridCol w:w="585"/>
        <w:gridCol w:w="4766"/>
      </w:tblGrid>
      <w:tr w:rsidR="008A25C9" w14:paraId="25395727" w14:textId="77777777">
        <w:tc>
          <w:tcPr>
            <w:tcW w:w="0" w:type="auto"/>
            <w:tcBorders>
              <w:bottom w:val="single" w:sz="0" w:space="0" w:color="auto"/>
            </w:tcBorders>
            <w:vAlign w:val="bottom"/>
          </w:tcPr>
          <w:p w14:paraId="6BDFEC96" w14:textId="77777777" w:rsidR="008A25C9" w:rsidRDefault="00000000">
            <w:pPr>
              <w:pStyle w:val="Compact"/>
            </w:pPr>
            <w:r>
              <w:t>Sub-indicator</w:t>
            </w:r>
          </w:p>
        </w:tc>
        <w:tc>
          <w:tcPr>
            <w:tcW w:w="0" w:type="auto"/>
            <w:tcBorders>
              <w:bottom w:val="single" w:sz="0" w:space="0" w:color="auto"/>
            </w:tcBorders>
            <w:vAlign w:val="bottom"/>
          </w:tcPr>
          <w:p w14:paraId="088430DB" w14:textId="77777777" w:rsidR="008A25C9" w:rsidRDefault="00000000">
            <w:pPr>
              <w:pStyle w:val="Compact"/>
            </w:pPr>
            <w:r>
              <w:t>Points</w:t>
            </w:r>
          </w:p>
        </w:tc>
        <w:tc>
          <w:tcPr>
            <w:tcW w:w="0" w:type="auto"/>
            <w:tcBorders>
              <w:bottom w:val="single" w:sz="0" w:space="0" w:color="auto"/>
            </w:tcBorders>
            <w:vAlign w:val="bottom"/>
          </w:tcPr>
          <w:p w14:paraId="5252E67F" w14:textId="77777777" w:rsidR="008A25C9" w:rsidRDefault="00000000">
            <w:pPr>
              <w:pStyle w:val="Compact"/>
            </w:pPr>
            <w:r>
              <w:t>R/A</w:t>
            </w:r>
          </w:p>
        </w:tc>
        <w:tc>
          <w:tcPr>
            <w:tcW w:w="0" w:type="auto"/>
            <w:tcBorders>
              <w:bottom w:val="single" w:sz="0" w:space="0" w:color="auto"/>
            </w:tcBorders>
            <w:vAlign w:val="bottom"/>
          </w:tcPr>
          <w:p w14:paraId="51618508" w14:textId="77777777" w:rsidR="008A25C9" w:rsidRDefault="00000000">
            <w:pPr>
              <w:pStyle w:val="Compact"/>
            </w:pPr>
            <w:r>
              <w:t>Evidence expected</w:t>
            </w:r>
          </w:p>
        </w:tc>
      </w:tr>
      <w:tr w:rsidR="008A25C9" w14:paraId="47FB0323" w14:textId="77777777">
        <w:tc>
          <w:tcPr>
            <w:tcW w:w="0" w:type="auto"/>
          </w:tcPr>
          <w:p w14:paraId="23D14571" w14:textId="77777777" w:rsidR="008A25C9" w:rsidRDefault="00000000">
            <w:pPr>
              <w:pStyle w:val="Compact"/>
            </w:pPr>
            <w:r>
              <w:t>CPU ISA diversification</w:t>
            </w:r>
          </w:p>
        </w:tc>
        <w:tc>
          <w:tcPr>
            <w:tcW w:w="0" w:type="auto"/>
          </w:tcPr>
          <w:p w14:paraId="2E61C476" w14:textId="77777777" w:rsidR="008A25C9" w:rsidRDefault="00000000">
            <w:pPr>
              <w:pStyle w:val="Compact"/>
            </w:pPr>
            <w:r>
              <w:t>5</w:t>
            </w:r>
          </w:p>
        </w:tc>
        <w:tc>
          <w:tcPr>
            <w:tcW w:w="0" w:type="auto"/>
          </w:tcPr>
          <w:p w14:paraId="77BAB67C" w14:textId="77777777" w:rsidR="008A25C9" w:rsidRDefault="00000000">
            <w:pPr>
              <w:pStyle w:val="Compact"/>
            </w:pPr>
            <w:r>
              <w:t>R</w:t>
            </w:r>
          </w:p>
        </w:tc>
        <w:tc>
          <w:tcPr>
            <w:tcW w:w="0" w:type="auto"/>
          </w:tcPr>
          <w:p w14:paraId="50F7A829" w14:textId="77777777" w:rsidR="008A25C9" w:rsidRDefault="00000000">
            <w:pPr>
              <w:pStyle w:val="Compact"/>
            </w:pPr>
            <w:r>
              <w:t>Mix of x86 / ARM / RISC-V; home-grown designs (SiPearl, DARE)</w:t>
            </w:r>
          </w:p>
        </w:tc>
      </w:tr>
      <w:tr w:rsidR="008A25C9" w14:paraId="164EB58C" w14:textId="77777777">
        <w:tc>
          <w:tcPr>
            <w:tcW w:w="0" w:type="auto"/>
          </w:tcPr>
          <w:p w14:paraId="03B4322E" w14:textId="77777777" w:rsidR="008A25C9" w:rsidRDefault="00000000">
            <w:pPr>
              <w:pStyle w:val="Compact"/>
            </w:pPr>
            <w:r>
              <w:t>AI accelerators — access</w:t>
            </w:r>
          </w:p>
        </w:tc>
        <w:tc>
          <w:tcPr>
            <w:tcW w:w="0" w:type="auto"/>
          </w:tcPr>
          <w:p w14:paraId="32F5C7BC" w14:textId="77777777" w:rsidR="008A25C9" w:rsidRDefault="00000000">
            <w:pPr>
              <w:pStyle w:val="Compact"/>
            </w:pPr>
            <w:r>
              <w:t>7</w:t>
            </w:r>
          </w:p>
        </w:tc>
        <w:tc>
          <w:tcPr>
            <w:tcW w:w="0" w:type="auto"/>
          </w:tcPr>
          <w:p w14:paraId="19FC338B" w14:textId="77777777" w:rsidR="008A25C9" w:rsidRDefault="00000000">
            <w:pPr>
              <w:pStyle w:val="Compact"/>
            </w:pPr>
            <w:r>
              <w:t>R</w:t>
            </w:r>
          </w:p>
        </w:tc>
        <w:tc>
          <w:tcPr>
            <w:tcW w:w="0" w:type="auto"/>
          </w:tcPr>
          <w:p w14:paraId="7B521078" w14:textId="77777777" w:rsidR="008A25C9" w:rsidRDefault="00000000">
            <w:pPr>
              <w:pStyle w:val="Compact"/>
            </w:pPr>
            <w:r>
              <w:t>Export tier; reserved capacity; supplier spread</w:t>
            </w:r>
          </w:p>
        </w:tc>
      </w:tr>
      <w:tr w:rsidR="008A25C9" w14:paraId="33FCD1A7" w14:textId="77777777">
        <w:tc>
          <w:tcPr>
            <w:tcW w:w="0" w:type="auto"/>
          </w:tcPr>
          <w:p w14:paraId="64976930" w14:textId="77777777" w:rsidR="008A25C9" w:rsidRDefault="00000000">
            <w:pPr>
              <w:pStyle w:val="Compact"/>
            </w:pPr>
            <w:r>
              <w:t>AI accelerators — indigenous design</w:t>
            </w:r>
          </w:p>
        </w:tc>
        <w:tc>
          <w:tcPr>
            <w:tcW w:w="0" w:type="auto"/>
          </w:tcPr>
          <w:p w14:paraId="1FAB5285" w14:textId="77777777" w:rsidR="008A25C9" w:rsidRDefault="00000000">
            <w:pPr>
              <w:pStyle w:val="Compact"/>
            </w:pPr>
            <w:r>
              <w:t>5</w:t>
            </w:r>
          </w:p>
        </w:tc>
        <w:tc>
          <w:tcPr>
            <w:tcW w:w="0" w:type="auto"/>
          </w:tcPr>
          <w:p w14:paraId="0A898A5E" w14:textId="77777777" w:rsidR="008A25C9" w:rsidRDefault="00000000">
            <w:pPr>
              <w:pStyle w:val="Compact"/>
            </w:pPr>
            <w:r>
              <w:t>A</w:t>
            </w:r>
          </w:p>
        </w:tc>
        <w:tc>
          <w:tcPr>
            <w:tcW w:w="0" w:type="auto"/>
          </w:tcPr>
          <w:p w14:paraId="598DE7A7" w14:textId="77777777" w:rsidR="008A25C9" w:rsidRDefault="00000000">
            <w:pPr>
              <w:pStyle w:val="Compact"/>
            </w:pPr>
            <w:r>
              <w:t>Realistic only at EU scale; Rhea-, EXAONE-, or TPU-class effort</w:t>
            </w:r>
          </w:p>
        </w:tc>
      </w:tr>
    </w:tbl>
    <w:p w14:paraId="0503C14C" w14:textId="77777777" w:rsidR="008A25C9" w:rsidRDefault="00000000">
      <w:pPr>
        <w:pStyle w:val="Heading3"/>
      </w:pPr>
      <w:bookmarkStart w:id="80" w:name="pillar-5.-manufacturing-12-points"/>
      <w:r>
        <w:t>Pillar 5. Manufacturing — 12 points</w:t>
      </w:r>
      <w:bookmarkEnd w:id="80"/>
    </w:p>
    <w:p w14:paraId="7C1B3AFA" w14:textId="77777777" w:rsidR="008A25C9" w:rsidRDefault="00000000">
      <w:pPr>
        <w:pStyle w:val="FirstParagraph"/>
      </w:pPr>
      <w:r>
        <w:t xml:space="preserve">The most lopsided pillar: only Taiwan, South Korea, the US, and (to a limited degree) China can make advanced chips in volume; for everyone else this is the dependency that cannot be reduced, only diversified. Current fab, packaging, and HBM state of play: Document 4. </w:t>
      </w:r>
      <w:r>
        <w:rPr>
          <w:b/>
        </w:rPr>
        <w:t>Critical minerals</w:t>
      </w:r>
      <w:r>
        <w:t xml:space="preserve"> are scored inside this pillar (2 points): the share of gallium, germanium, heavy rare earths, high-purity silicon, and refined copper a country (or its allies) can refine at home. Ore in the ground does not count — refining is the chokepoint, as China’s 2024–2026 export-control campaign demonstrates.</w:t>
      </w:r>
    </w:p>
    <w:tbl>
      <w:tblPr>
        <w:tblStyle w:val="Table"/>
        <w:tblW w:w="5000" w:type="pct"/>
        <w:tblLook w:val="07E0" w:firstRow="1" w:lastRow="1" w:firstColumn="1" w:lastColumn="1" w:noHBand="1" w:noVBand="1"/>
      </w:tblPr>
      <w:tblGrid>
        <w:gridCol w:w="2640"/>
        <w:gridCol w:w="870"/>
        <w:gridCol w:w="585"/>
        <w:gridCol w:w="5265"/>
      </w:tblGrid>
      <w:tr w:rsidR="008A25C9" w14:paraId="3E7F60C4" w14:textId="77777777">
        <w:tc>
          <w:tcPr>
            <w:tcW w:w="0" w:type="auto"/>
            <w:tcBorders>
              <w:bottom w:val="single" w:sz="0" w:space="0" w:color="auto"/>
            </w:tcBorders>
            <w:vAlign w:val="bottom"/>
          </w:tcPr>
          <w:p w14:paraId="3BB275C4" w14:textId="77777777" w:rsidR="008A25C9" w:rsidRDefault="00000000">
            <w:pPr>
              <w:pStyle w:val="Compact"/>
            </w:pPr>
            <w:r>
              <w:t>Sub-indicator</w:t>
            </w:r>
          </w:p>
        </w:tc>
        <w:tc>
          <w:tcPr>
            <w:tcW w:w="0" w:type="auto"/>
            <w:tcBorders>
              <w:bottom w:val="single" w:sz="0" w:space="0" w:color="auto"/>
            </w:tcBorders>
            <w:vAlign w:val="bottom"/>
          </w:tcPr>
          <w:p w14:paraId="485CBE17" w14:textId="77777777" w:rsidR="008A25C9" w:rsidRDefault="00000000">
            <w:pPr>
              <w:pStyle w:val="Compact"/>
            </w:pPr>
            <w:r>
              <w:t>Points</w:t>
            </w:r>
          </w:p>
        </w:tc>
        <w:tc>
          <w:tcPr>
            <w:tcW w:w="0" w:type="auto"/>
            <w:tcBorders>
              <w:bottom w:val="single" w:sz="0" w:space="0" w:color="auto"/>
            </w:tcBorders>
            <w:vAlign w:val="bottom"/>
          </w:tcPr>
          <w:p w14:paraId="28F542B0" w14:textId="77777777" w:rsidR="008A25C9" w:rsidRDefault="00000000">
            <w:pPr>
              <w:pStyle w:val="Compact"/>
            </w:pPr>
            <w:r>
              <w:t>R/A</w:t>
            </w:r>
          </w:p>
        </w:tc>
        <w:tc>
          <w:tcPr>
            <w:tcW w:w="0" w:type="auto"/>
            <w:tcBorders>
              <w:bottom w:val="single" w:sz="0" w:space="0" w:color="auto"/>
            </w:tcBorders>
            <w:vAlign w:val="bottom"/>
          </w:tcPr>
          <w:p w14:paraId="640C149B" w14:textId="77777777" w:rsidR="008A25C9" w:rsidRDefault="00000000">
            <w:pPr>
              <w:pStyle w:val="Compact"/>
            </w:pPr>
            <w:r>
              <w:t>Evidence expected</w:t>
            </w:r>
          </w:p>
        </w:tc>
      </w:tr>
      <w:tr w:rsidR="008A25C9" w14:paraId="53C3665F" w14:textId="77777777">
        <w:tc>
          <w:tcPr>
            <w:tcW w:w="0" w:type="auto"/>
          </w:tcPr>
          <w:p w14:paraId="37B00C9B" w14:textId="77777777" w:rsidR="008A25C9" w:rsidRDefault="00000000">
            <w:pPr>
              <w:pStyle w:val="Compact"/>
            </w:pPr>
            <w:r>
              <w:t>Supplier diversification</w:t>
            </w:r>
          </w:p>
        </w:tc>
        <w:tc>
          <w:tcPr>
            <w:tcW w:w="0" w:type="auto"/>
          </w:tcPr>
          <w:p w14:paraId="77E06222" w14:textId="77777777" w:rsidR="008A25C9" w:rsidRDefault="00000000">
            <w:pPr>
              <w:pStyle w:val="Compact"/>
            </w:pPr>
            <w:r>
              <w:t>4</w:t>
            </w:r>
          </w:p>
        </w:tc>
        <w:tc>
          <w:tcPr>
            <w:tcW w:w="0" w:type="auto"/>
          </w:tcPr>
          <w:p w14:paraId="7621ABA8" w14:textId="77777777" w:rsidR="008A25C9" w:rsidRDefault="00000000">
            <w:pPr>
              <w:pStyle w:val="Compact"/>
            </w:pPr>
            <w:r>
              <w:t>R</w:t>
            </w:r>
          </w:p>
        </w:tc>
        <w:tc>
          <w:tcPr>
            <w:tcW w:w="0" w:type="auto"/>
          </w:tcPr>
          <w:p w14:paraId="04C34F3C" w14:textId="77777777" w:rsidR="008A25C9" w:rsidRDefault="00000000">
            <w:pPr>
              <w:pStyle w:val="Compact"/>
            </w:pPr>
            <w:r>
              <w:t>Access to at least two foundry partners</w:t>
            </w:r>
          </w:p>
        </w:tc>
      </w:tr>
      <w:tr w:rsidR="008A25C9" w14:paraId="3FA68331" w14:textId="77777777">
        <w:tc>
          <w:tcPr>
            <w:tcW w:w="0" w:type="auto"/>
          </w:tcPr>
          <w:p w14:paraId="0A3B1F7C" w14:textId="77777777" w:rsidR="008A25C9" w:rsidRDefault="00000000">
            <w:pPr>
              <w:pStyle w:val="Compact"/>
            </w:pPr>
            <w:r>
              <w:t>Local advanced packaging</w:t>
            </w:r>
          </w:p>
        </w:tc>
        <w:tc>
          <w:tcPr>
            <w:tcW w:w="0" w:type="auto"/>
          </w:tcPr>
          <w:p w14:paraId="19338AC7" w14:textId="77777777" w:rsidR="008A25C9" w:rsidRDefault="00000000">
            <w:pPr>
              <w:pStyle w:val="Compact"/>
            </w:pPr>
            <w:r>
              <w:t>3</w:t>
            </w:r>
          </w:p>
        </w:tc>
        <w:tc>
          <w:tcPr>
            <w:tcW w:w="0" w:type="auto"/>
          </w:tcPr>
          <w:p w14:paraId="695FA6A5" w14:textId="77777777" w:rsidR="008A25C9" w:rsidRDefault="00000000">
            <w:pPr>
              <w:pStyle w:val="Compact"/>
            </w:pPr>
            <w:r>
              <w:t>R</w:t>
            </w:r>
          </w:p>
        </w:tc>
        <w:tc>
          <w:tcPr>
            <w:tcW w:w="0" w:type="auto"/>
          </w:tcPr>
          <w:p w14:paraId="1588E42E" w14:textId="77777777" w:rsidR="008A25C9" w:rsidRDefault="00000000">
            <w:pPr>
              <w:pStyle w:val="Compact"/>
            </w:pPr>
            <w:r>
              <w:t>Chiplet assembly, test, packaging at national or EU level</w:t>
            </w:r>
          </w:p>
        </w:tc>
      </w:tr>
      <w:tr w:rsidR="008A25C9" w14:paraId="0D2399B9" w14:textId="77777777">
        <w:tc>
          <w:tcPr>
            <w:tcW w:w="0" w:type="auto"/>
          </w:tcPr>
          <w:p w14:paraId="7203B767" w14:textId="77777777" w:rsidR="008A25C9" w:rsidRDefault="00000000">
            <w:pPr>
              <w:pStyle w:val="Compact"/>
            </w:pPr>
            <w:r>
              <w:lastRenderedPageBreak/>
              <w:t>Own foundry capacity</w:t>
            </w:r>
          </w:p>
        </w:tc>
        <w:tc>
          <w:tcPr>
            <w:tcW w:w="0" w:type="auto"/>
          </w:tcPr>
          <w:p w14:paraId="139FEAFF" w14:textId="77777777" w:rsidR="008A25C9" w:rsidRDefault="00000000">
            <w:pPr>
              <w:pStyle w:val="Compact"/>
            </w:pPr>
            <w:r>
              <w:t>3</w:t>
            </w:r>
          </w:p>
        </w:tc>
        <w:tc>
          <w:tcPr>
            <w:tcW w:w="0" w:type="auto"/>
          </w:tcPr>
          <w:p w14:paraId="790706C9" w14:textId="77777777" w:rsidR="008A25C9" w:rsidRDefault="00000000">
            <w:pPr>
              <w:pStyle w:val="Compact"/>
            </w:pPr>
            <w:r>
              <w:t>A</w:t>
            </w:r>
          </w:p>
        </w:tc>
        <w:tc>
          <w:tcPr>
            <w:tcW w:w="0" w:type="auto"/>
          </w:tcPr>
          <w:p w14:paraId="1D9C382B" w14:textId="77777777" w:rsidR="008A25C9" w:rsidRDefault="00000000">
            <w:pPr>
              <w:pStyle w:val="Compact"/>
            </w:pPr>
            <w:r>
              <w:t>A real fab under own control</w:t>
            </w:r>
          </w:p>
        </w:tc>
      </w:tr>
      <w:tr w:rsidR="008A25C9" w14:paraId="7FAAF768" w14:textId="77777777">
        <w:tc>
          <w:tcPr>
            <w:tcW w:w="0" w:type="auto"/>
          </w:tcPr>
          <w:p w14:paraId="29CD085A" w14:textId="77777777" w:rsidR="008A25C9" w:rsidRDefault="00000000">
            <w:pPr>
              <w:pStyle w:val="Compact"/>
            </w:pPr>
            <w:r>
              <w:t>Critical minerals</w:t>
            </w:r>
          </w:p>
        </w:tc>
        <w:tc>
          <w:tcPr>
            <w:tcW w:w="0" w:type="auto"/>
          </w:tcPr>
          <w:p w14:paraId="39C63CBD" w14:textId="77777777" w:rsidR="008A25C9" w:rsidRDefault="00000000">
            <w:pPr>
              <w:pStyle w:val="Compact"/>
            </w:pPr>
            <w:r>
              <w:t>2</w:t>
            </w:r>
          </w:p>
        </w:tc>
        <w:tc>
          <w:tcPr>
            <w:tcW w:w="0" w:type="auto"/>
          </w:tcPr>
          <w:p w14:paraId="0514E28D" w14:textId="77777777" w:rsidR="008A25C9" w:rsidRDefault="00000000">
            <w:pPr>
              <w:pStyle w:val="Compact"/>
            </w:pPr>
            <w:r>
              <w:t>R</w:t>
            </w:r>
          </w:p>
        </w:tc>
        <w:tc>
          <w:tcPr>
            <w:tcW w:w="0" w:type="auto"/>
          </w:tcPr>
          <w:p w14:paraId="0D43DE11" w14:textId="77777777" w:rsidR="008A25C9" w:rsidRDefault="00000000">
            <w:pPr>
              <w:pStyle w:val="Compact"/>
            </w:pPr>
            <w:r>
              <w:t>Domestic/allied refining share of Ga, Ge, rare earths, Si, Cu</w:t>
            </w:r>
          </w:p>
        </w:tc>
      </w:tr>
    </w:tbl>
    <w:p w14:paraId="5CE24AB0" w14:textId="77777777" w:rsidR="008A25C9" w:rsidRDefault="00000000">
      <w:pPr>
        <w:pStyle w:val="Heading3"/>
      </w:pPr>
      <w:bookmarkStart w:id="81" w:name="pillar-6.-software-stack-8-points"/>
      <w:r>
        <w:t>Pillar 6. Software stack — 8 points</w:t>
      </w:r>
      <w:bookmarkEnd w:id="81"/>
    </w:p>
    <w:p w14:paraId="70583028" w14:textId="77777777" w:rsidR="008A25C9" w:rsidRDefault="00000000">
      <w:pPr>
        <w:pStyle w:val="FirstParagraph"/>
      </w:pPr>
      <w:r>
        <w:t>CUDA still dominates but its grip is loosening; multi-party-governed open source (the PyTorch Foundation model) is much harder for any one company to weaponise than single-vendor software — a modest structural plus for the EU. Runtime and framework state of play: Document 4.</w:t>
      </w:r>
    </w:p>
    <w:tbl>
      <w:tblPr>
        <w:tblStyle w:val="Table"/>
        <w:tblW w:w="5000" w:type="pct"/>
        <w:tblLook w:val="07E0" w:firstRow="1" w:lastRow="1" w:firstColumn="1" w:lastColumn="1" w:noHBand="1" w:noVBand="1"/>
      </w:tblPr>
      <w:tblGrid>
        <w:gridCol w:w="3283"/>
        <w:gridCol w:w="870"/>
        <w:gridCol w:w="585"/>
        <w:gridCol w:w="4622"/>
      </w:tblGrid>
      <w:tr w:rsidR="008A25C9" w14:paraId="6BAF5F15" w14:textId="77777777">
        <w:tc>
          <w:tcPr>
            <w:tcW w:w="0" w:type="auto"/>
            <w:tcBorders>
              <w:bottom w:val="single" w:sz="0" w:space="0" w:color="auto"/>
            </w:tcBorders>
            <w:vAlign w:val="bottom"/>
          </w:tcPr>
          <w:p w14:paraId="023C4FCB" w14:textId="77777777" w:rsidR="008A25C9" w:rsidRDefault="00000000">
            <w:pPr>
              <w:pStyle w:val="Compact"/>
            </w:pPr>
            <w:r>
              <w:t>Sub-indicator</w:t>
            </w:r>
          </w:p>
        </w:tc>
        <w:tc>
          <w:tcPr>
            <w:tcW w:w="0" w:type="auto"/>
            <w:tcBorders>
              <w:bottom w:val="single" w:sz="0" w:space="0" w:color="auto"/>
            </w:tcBorders>
            <w:vAlign w:val="bottom"/>
          </w:tcPr>
          <w:p w14:paraId="5ECDC961" w14:textId="77777777" w:rsidR="008A25C9" w:rsidRDefault="00000000">
            <w:pPr>
              <w:pStyle w:val="Compact"/>
            </w:pPr>
            <w:r>
              <w:t>Points</w:t>
            </w:r>
          </w:p>
        </w:tc>
        <w:tc>
          <w:tcPr>
            <w:tcW w:w="0" w:type="auto"/>
            <w:tcBorders>
              <w:bottom w:val="single" w:sz="0" w:space="0" w:color="auto"/>
            </w:tcBorders>
            <w:vAlign w:val="bottom"/>
          </w:tcPr>
          <w:p w14:paraId="17B375A5" w14:textId="77777777" w:rsidR="008A25C9" w:rsidRDefault="00000000">
            <w:pPr>
              <w:pStyle w:val="Compact"/>
            </w:pPr>
            <w:r>
              <w:t>R/A</w:t>
            </w:r>
          </w:p>
        </w:tc>
        <w:tc>
          <w:tcPr>
            <w:tcW w:w="0" w:type="auto"/>
            <w:tcBorders>
              <w:bottom w:val="single" w:sz="0" w:space="0" w:color="auto"/>
            </w:tcBorders>
            <w:vAlign w:val="bottom"/>
          </w:tcPr>
          <w:p w14:paraId="5AB4F888" w14:textId="77777777" w:rsidR="008A25C9" w:rsidRDefault="00000000">
            <w:pPr>
              <w:pStyle w:val="Compact"/>
            </w:pPr>
            <w:r>
              <w:t>Evidence expected</w:t>
            </w:r>
          </w:p>
        </w:tc>
      </w:tr>
      <w:tr w:rsidR="008A25C9" w14:paraId="12BD958D" w14:textId="77777777">
        <w:tc>
          <w:tcPr>
            <w:tcW w:w="0" w:type="auto"/>
          </w:tcPr>
          <w:p w14:paraId="41DF9520" w14:textId="77777777" w:rsidR="008A25C9" w:rsidRDefault="00000000">
            <w:pPr>
              <w:pStyle w:val="Compact"/>
            </w:pPr>
            <w:r>
              <w:t>CUDA exposure</w:t>
            </w:r>
          </w:p>
        </w:tc>
        <w:tc>
          <w:tcPr>
            <w:tcW w:w="0" w:type="auto"/>
          </w:tcPr>
          <w:p w14:paraId="3968C710" w14:textId="77777777" w:rsidR="008A25C9" w:rsidRDefault="00000000">
            <w:pPr>
              <w:pStyle w:val="Compact"/>
            </w:pPr>
            <w:r>
              <w:t>2</w:t>
            </w:r>
          </w:p>
        </w:tc>
        <w:tc>
          <w:tcPr>
            <w:tcW w:w="0" w:type="auto"/>
          </w:tcPr>
          <w:p w14:paraId="03A993DF" w14:textId="77777777" w:rsidR="008A25C9" w:rsidRDefault="00000000">
            <w:pPr>
              <w:pStyle w:val="Compact"/>
            </w:pPr>
            <w:r>
              <w:t>R</w:t>
            </w:r>
          </w:p>
        </w:tc>
        <w:tc>
          <w:tcPr>
            <w:tcW w:w="0" w:type="auto"/>
          </w:tcPr>
          <w:p w14:paraId="1B9A8A6F" w14:textId="77777777" w:rsidR="008A25C9" w:rsidRDefault="00000000">
            <w:pPr>
              <w:pStyle w:val="Compact"/>
            </w:pPr>
            <w:r>
              <w:t>Share of national AI workloads that run only on CUDA</w:t>
            </w:r>
          </w:p>
        </w:tc>
      </w:tr>
      <w:tr w:rsidR="008A25C9" w14:paraId="1BAA2BA6" w14:textId="77777777">
        <w:tc>
          <w:tcPr>
            <w:tcW w:w="0" w:type="auto"/>
          </w:tcPr>
          <w:p w14:paraId="0E1EF1CE" w14:textId="77777777" w:rsidR="008A25C9" w:rsidRDefault="00000000">
            <w:pPr>
              <w:pStyle w:val="Compact"/>
            </w:pPr>
            <w:r>
              <w:t>Training-framework diversification</w:t>
            </w:r>
          </w:p>
        </w:tc>
        <w:tc>
          <w:tcPr>
            <w:tcW w:w="0" w:type="auto"/>
          </w:tcPr>
          <w:p w14:paraId="542F2C6C" w14:textId="77777777" w:rsidR="008A25C9" w:rsidRDefault="00000000">
            <w:pPr>
              <w:pStyle w:val="Compact"/>
            </w:pPr>
            <w:r>
              <w:t>2</w:t>
            </w:r>
          </w:p>
        </w:tc>
        <w:tc>
          <w:tcPr>
            <w:tcW w:w="0" w:type="auto"/>
          </w:tcPr>
          <w:p w14:paraId="30C81B1B" w14:textId="77777777" w:rsidR="008A25C9" w:rsidRDefault="00000000">
            <w:pPr>
              <w:pStyle w:val="Compact"/>
            </w:pPr>
            <w:r>
              <w:t>R</w:t>
            </w:r>
          </w:p>
        </w:tc>
        <w:tc>
          <w:tcPr>
            <w:tcW w:w="0" w:type="auto"/>
          </w:tcPr>
          <w:p w14:paraId="07C4958E" w14:textId="77777777" w:rsidR="008A25C9" w:rsidRDefault="00000000">
            <w:pPr>
              <w:pStyle w:val="Compact"/>
            </w:pPr>
            <w:r>
              <w:t>PyTorch, JAX, and alternatives in real use</w:t>
            </w:r>
          </w:p>
        </w:tc>
      </w:tr>
      <w:tr w:rsidR="008A25C9" w14:paraId="5C6A0C5B" w14:textId="77777777">
        <w:tc>
          <w:tcPr>
            <w:tcW w:w="0" w:type="auto"/>
          </w:tcPr>
          <w:p w14:paraId="6A594895" w14:textId="77777777" w:rsidR="008A25C9" w:rsidRDefault="00000000">
            <w:pPr>
              <w:pStyle w:val="Compact"/>
            </w:pPr>
            <w:r>
              <w:t>Inference-runtime diversification</w:t>
            </w:r>
          </w:p>
        </w:tc>
        <w:tc>
          <w:tcPr>
            <w:tcW w:w="0" w:type="auto"/>
          </w:tcPr>
          <w:p w14:paraId="7E426EB1" w14:textId="77777777" w:rsidR="008A25C9" w:rsidRDefault="00000000">
            <w:pPr>
              <w:pStyle w:val="Compact"/>
            </w:pPr>
            <w:r>
              <w:t>2</w:t>
            </w:r>
          </w:p>
        </w:tc>
        <w:tc>
          <w:tcPr>
            <w:tcW w:w="0" w:type="auto"/>
          </w:tcPr>
          <w:p w14:paraId="559D7216" w14:textId="77777777" w:rsidR="008A25C9" w:rsidRDefault="00000000">
            <w:pPr>
              <w:pStyle w:val="Compact"/>
            </w:pPr>
            <w:r>
              <w:t>R</w:t>
            </w:r>
          </w:p>
        </w:tc>
        <w:tc>
          <w:tcPr>
            <w:tcW w:w="0" w:type="auto"/>
          </w:tcPr>
          <w:p w14:paraId="142EA484" w14:textId="77777777" w:rsidR="008A25C9" w:rsidRDefault="00000000">
            <w:pPr>
              <w:pStyle w:val="Compact"/>
            </w:pPr>
            <w:r>
              <w:t>vLLM / SGLang / llama.cpp deployed</w:t>
            </w:r>
          </w:p>
        </w:tc>
      </w:tr>
      <w:tr w:rsidR="008A25C9" w14:paraId="21444EAE" w14:textId="77777777">
        <w:tc>
          <w:tcPr>
            <w:tcW w:w="0" w:type="auto"/>
          </w:tcPr>
          <w:p w14:paraId="6B68E5EF" w14:textId="77777777" w:rsidR="008A25C9" w:rsidRDefault="00000000">
            <w:pPr>
              <w:pStyle w:val="Compact"/>
            </w:pPr>
            <w:r>
              <w:t>MLOps lock-in</w:t>
            </w:r>
          </w:p>
        </w:tc>
        <w:tc>
          <w:tcPr>
            <w:tcW w:w="0" w:type="auto"/>
          </w:tcPr>
          <w:p w14:paraId="3249EABA" w14:textId="77777777" w:rsidR="008A25C9" w:rsidRDefault="00000000">
            <w:pPr>
              <w:pStyle w:val="Compact"/>
            </w:pPr>
            <w:r>
              <w:t>1</w:t>
            </w:r>
          </w:p>
        </w:tc>
        <w:tc>
          <w:tcPr>
            <w:tcW w:w="0" w:type="auto"/>
          </w:tcPr>
          <w:p w14:paraId="58BEA06F" w14:textId="77777777" w:rsidR="008A25C9" w:rsidRDefault="00000000">
            <w:pPr>
              <w:pStyle w:val="Compact"/>
            </w:pPr>
            <w:r>
              <w:t>R</w:t>
            </w:r>
          </w:p>
        </w:tc>
        <w:tc>
          <w:tcPr>
            <w:tcW w:w="0" w:type="auto"/>
          </w:tcPr>
          <w:p w14:paraId="241DAB60" w14:textId="77777777" w:rsidR="008A25C9" w:rsidRDefault="00000000">
            <w:pPr>
              <w:pStyle w:val="Compact"/>
            </w:pPr>
            <w:r>
              <w:t>Vendor-agnostic deployment patterns</w:t>
            </w:r>
          </w:p>
        </w:tc>
      </w:tr>
      <w:tr w:rsidR="008A25C9" w14:paraId="74DFC7B3" w14:textId="77777777">
        <w:tc>
          <w:tcPr>
            <w:tcW w:w="0" w:type="auto"/>
          </w:tcPr>
          <w:p w14:paraId="548B23A7" w14:textId="77777777" w:rsidR="008A25C9" w:rsidRDefault="00000000">
            <w:pPr>
              <w:pStyle w:val="Compact"/>
            </w:pPr>
            <w:r>
              <w:t>Open-source contribution</w:t>
            </w:r>
          </w:p>
        </w:tc>
        <w:tc>
          <w:tcPr>
            <w:tcW w:w="0" w:type="auto"/>
          </w:tcPr>
          <w:p w14:paraId="78E3B194" w14:textId="77777777" w:rsidR="008A25C9" w:rsidRDefault="00000000">
            <w:pPr>
              <w:pStyle w:val="Compact"/>
            </w:pPr>
            <w:r>
              <w:t>1</w:t>
            </w:r>
          </w:p>
        </w:tc>
        <w:tc>
          <w:tcPr>
            <w:tcW w:w="0" w:type="auto"/>
          </w:tcPr>
          <w:p w14:paraId="52207AE4" w14:textId="77777777" w:rsidR="008A25C9" w:rsidRDefault="00000000">
            <w:pPr>
              <w:pStyle w:val="Compact"/>
            </w:pPr>
            <w:r>
              <w:t>A</w:t>
            </w:r>
          </w:p>
        </w:tc>
        <w:tc>
          <w:tcPr>
            <w:tcW w:w="0" w:type="auto"/>
          </w:tcPr>
          <w:p w14:paraId="43176DE5" w14:textId="77777777" w:rsidR="008A25C9" w:rsidRDefault="00000000">
            <w:pPr>
              <w:pStyle w:val="Compact"/>
            </w:pPr>
            <w:r>
              <w:t>Upstream contributions from national institutions</w:t>
            </w:r>
          </w:p>
        </w:tc>
      </w:tr>
    </w:tbl>
    <w:p w14:paraId="47FD123E" w14:textId="77777777" w:rsidR="008A25C9" w:rsidRDefault="00000000">
      <w:pPr>
        <w:pStyle w:val="Heading3"/>
      </w:pPr>
      <w:bookmarkStart w:id="82" w:name="pillar-7.-human-capital-12-points"/>
      <w:r>
        <w:t>Pillar 7. Human capital — 12 points</w:t>
      </w:r>
      <w:bookmarkEnd w:id="82"/>
    </w:p>
    <w:p w14:paraId="52B1A3DF" w14:textId="77777777" w:rsidR="008A25C9" w:rsidRDefault="00000000">
      <w:pPr>
        <w:pStyle w:val="FirstParagraph"/>
      </w:pPr>
      <w:r>
        <w:t>The ultimate bottleneck. Reference sources: the MacroPolo Global AI Talent Tracker 2.0 (March 2024, NeurIPS 2022 data — note the correct edition is 2.0) for talent flows; the Stanford AI Index for the annual picture; CSRankings and top-venue author counts for national standing. Headline 2026 context — US ~75% of global GPU compute, 50 notable US models vs 30 Chinese in 2025, Switzerland and Singapore leading per-capita researcher density — is kept in Document 4 with the other dated figures.</w:t>
      </w:r>
    </w:p>
    <w:tbl>
      <w:tblPr>
        <w:tblStyle w:val="Table"/>
        <w:tblW w:w="5000" w:type="pct"/>
        <w:tblLook w:val="07E0" w:firstRow="1" w:lastRow="1" w:firstColumn="1" w:lastColumn="1" w:noHBand="1" w:noVBand="1"/>
      </w:tblPr>
      <w:tblGrid>
        <w:gridCol w:w="2662"/>
        <w:gridCol w:w="870"/>
        <w:gridCol w:w="585"/>
        <w:gridCol w:w="5243"/>
      </w:tblGrid>
      <w:tr w:rsidR="008A25C9" w14:paraId="70301633" w14:textId="77777777">
        <w:tc>
          <w:tcPr>
            <w:tcW w:w="0" w:type="auto"/>
            <w:tcBorders>
              <w:bottom w:val="single" w:sz="0" w:space="0" w:color="auto"/>
            </w:tcBorders>
            <w:vAlign w:val="bottom"/>
          </w:tcPr>
          <w:p w14:paraId="03E88991" w14:textId="77777777" w:rsidR="008A25C9" w:rsidRDefault="00000000">
            <w:pPr>
              <w:pStyle w:val="Compact"/>
            </w:pPr>
            <w:r>
              <w:t>Sub-indicator</w:t>
            </w:r>
          </w:p>
        </w:tc>
        <w:tc>
          <w:tcPr>
            <w:tcW w:w="0" w:type="auto"/>
            <w:tcBorders>
              <w:bottom w:val="single" w:sz="0" w:space="0" w:color="auto"/>
            </w:tcBorders>
            <w:vAlign w:val="bottom"/>
          </w:tcPr>
          <w:p w14:paraId="0AF23434" w14:textId="77777777" w:rsidR="008A25C9" w:rsidRDefault="00000000">
            <w:pPr>
              <w:pStyle w:val="Compact"/>
            </w:pPr>
            <w:r>
              <w:t>Points</w:t>
            </w:r>
          </w:p>
        </w:tc>
        <w:tc>
          <w:tcPr>
            <w:tcW w:w="0" w:type="auto"/>
            <w:tcBorders>
              <w:bottom w:val="single" w:sz="0" w:space="0" w:color="auto"/>
            </w:tcBorders>
            <w:vAlign w:val="bottom"/>
          </w:tcPr>
          <w:p w14:paraId="08C96F08" w14:textId="77777777" w:rsidR="008A25C9" w:rsidRDefault="00000000">
            <w:pPr>
              <w:pStyle w:val="Compact"/>
            </w:pPr>
            <w:r>
              <w:t>R/A</w:t>
            </w:r>
          </w:p>
        </w:tc>
        <w:tc>
          <w:tcPr>
            <w:tcW w:w="0" w:type="auto"/>
            <w:tcBorders>
              <w:bottom w:val="single" w:sz="0" w:space="0" w:color="auto"/>
            </w:tcBorders>
            <w:vAlign w:val="bottom"/>
          </w:tcPr>
          <w:p w14:paraId="32B54BF7" w14:textId="77777777" w:rsidR="008A25C9" w:rsidRDefault="00000000">
            <w:pPr>
              <w:pStyle w:val="Compact"/>
            </w:pPr>
            <w:r>
              <w:t>Evidence expected</w:t>
            </w:r>
          </w:p>
        </w:tc>
      </w:tr>
      <w:tr w:rsidR="008A25C9" w14:paraId="73BF0315" w14:textId="77777777">
        <w:tc>
          <w:tcPr>
            <w:tcW w:w="0" w:type="auto"/>
          </w:tcPr>
          <w:p w14:paraId="7FD089B3" w14:textId="77777777" w:rsidR="008A25C9" w:rsidRDefault="00000000">
            <w:pPr>
              <w:pStyle w:val="Compact"/>
            </w:pPr>
            <w:r>
              <w:t>AI researchers / top-tier</w:t>
            </w:r>
          </w:p>
        </w:tc>
        <w:tc>
          <w:tcPr>
            <w:tcW w:w="0" w:type="auto"/>
          </w:tcPr>
          <w:p w14:paraId="7E3F9CDF" w14:textId="77777777" w:rsidR="008A25C9" w:rsidRDefault="00000000">
            <w:pPr>
              <w:pStyle w:val="Compact"/>
            </w:pPr>
            <w:r>
              <w:t>4</w:t>
            </w:r>
          </w:p>
        </w:tc>
        <w:tc>
          <w:tcPr>
            <w:tcW w:w="0" w:type="auto"/>
          </w:tcPr>
          <w:p w14:paraId="69721929" w14:textId="77777777" w:rsidR="008A25C9" w:rsidRDefault="00000000">
            <w:pPr>
              <w:pStyle w:val="Compact"/>
            </w:pPr>
            <w:r>
              <w:t>A</w:t>
            </w:r>
          </w:p>
        </w:tc>
        <w:tc>
          <w:tcPr>
            <w:tcW w:w="0" w:type="auto"/>
          </w:tcPr>
          <w:p w14:paraId="593C275D" w14:textId="77777777" w:rsidR="008A25C9" w:rsidRDefault="00000000">
            <w:pPr>
              <w:pStyle w:val="Compact"/>
            </w:pPr>
            <w:r>
              <w:t>Top-venue papers; CSRankings standing; talent based at home</w:t>
            </w:r>
          </w:p>
        </w:tc>
      </w:tr>
      <w:tr w:rsidR="008A25C9" w14:paraId="415E46B4" w14:textId="77777777">
        <w:tc>
          <w:tcPr>
            <w:tcW w:w="0" w:type="auto"/>
          </w:tcPr>
          <w:p w14:paraId="01E636D7" w14:textId="77777777" w:rsidR="008A25C9" w:rsidRDefault="00000000">
            <w:pPr>
              <w:pStyle w:val="Compact"/>
            </w:pPr>
            <w:r>
              <w:t>ML engineers and operators</w:t>
            </w:r>
          </w:p>
        </w:tc>
        <w:tc>
          <w:tcPr>
            <w:tcW w:w="0" w:type="auto"/>
          </w:tcPr>
          <w:p w14:paraId="77D29378" w14:textId="77777777" w:rsidR="008A25C9" w:rsidRDefault="00000000">
            <w:pPr>
              <w:pStyle w:val="Compact"/>
            </w:pPr>
            <w:r>
              <w:t>3</w:t>
            </w:r>
          </w:p>
        </w:tc>
        <w:tc>
          <w:tcPr>
            <w:tcW w:w="0" w:type="auto"/>
          </w:tcPr>
          <w:p w14:paraId="647059BB" w14:textId="77777777" w:rsidR="008A25C9" w:rsidRDefault="00000000">
            <w:pPr>
              <w:pStyle w:val="Compact"/>
            </w:pPr>
            <w:r>
              <w:t>A</w:t>
            </w:r>
          </w:p>
        </w:tc>
        <w:tc>
          <w:tcPr>
            <w:tcW w:w="0" w:type="auto"/>
          </w:tcPr>
          <w:p w14:paraId="452F445C" w14:textId="77777777" w:rsidR="008A25C9" w:rsidRDefault="00000000">
            <w:pPr>
              <w:pStyle w:val="Compact"/>
            </w:pPr>
            <w:r>
              <w:t>Production experience; qualified workforce size</w:t>
            </w:r>
          </w:p>
        </w:tc>
      </w:tr>
      <w:tr w:rsidR="008A25C9" w14:paraId="7C0A2FB5" w14:textId="77777777">
        <w:tc>
          <w:tcPr>
            <w:tcW w:w="0" w:type="auto"/>
          </w:tcPr>
          <w:p w14:paraId="58CB3397" w14:textId="77777777" w:rsidR="008A25C9" w:rsidRDefault="00000000">
            <w:pPr>
              <w:pStyle w:val="Compact"/>
            </w:pPr>
            <w:r>
              <w:t>Education pipeline</w:t>
            </w:r>
          </w:p>
        </w:tc>
        <w:tc>
          <w:tcPr>
            <w:tcW w:w="0" w:type="auto"/>
          </w:tcPr>
          <w:p w14:paraId="06871DA6" w14:textId="77777777" w:rsidR="008A25C9" w:rsidRDefault="00000000">
            <w:pPr>
              <w:pStyle w:val="Compact"/>
            </w:pPr>
            <w:r>
              <w:t>2</w:t>
            </w:r>
          </w:p>
        </w:tc>
        <w:tc>
          <w:tcPr>
            <w:tcW w:w="0" w:type="auto"/>
          </w:tcPr>
          <w:p w14:paraId="08890B1A" w14:textId="77777777" w:rsidR="008A25C9" w:rsidRDefault="00000000">
            <w:pPr>
              <w:pStyle w:val="Compact"/>
            </w:pPr>
            <w:r>
              <w:t>A</w:t>
            </w:r>
          </w:p>
        </w:tc>
        <w:tc>
          <w:tcPr>
            <w:tcW w:w="0" w:type="auto"/>
          </w:tcPr>
          <w:p w14:paraId="0C7B94DA" w14:textId="77777777" w:rsidR="008A25C9" w:rsidRDefault="00000000">
            <w:pPr>
              <w:pStyle w:val="Compact"/>
            </w:pPr>
            <w:r>
              <w:t>Strong programs and intake volumes</w:t>
            </w:r>
          </w:p>
        </w:tc>
      </w:tr>
      <w:tr w:rsidR="008A25C9" w14:paraId="169DD7F6" w14:textId="77777777">
        <w:tc>
          <w:tcPr>
            <w:tcW w:w="0" w:type="auto"/>
          </w:tcPr>
          <w:p w14:paraId="2DD51BA8" w14:textId="77777777" w:rsidR="008A25C9" w:rsidRDefault="00000000">
            <w:pPr>
              <w:pStyle w:val="Compact"/>
            </w:pPr>
            <w:r>
              <w:t>Retention against brain drain</w:t>
            </w:r>
          </w:p>
        </w:tc>
        <w:tc>
          <w:tcPr>
            <w:tcW w:w="0" w:type="auto"/>
          </w:tcPr>
          <w:p w14:paraId="6392BAE5" w14:textId="77777777" w:rsidR="008A25C9" w:rsidRDefault="00000000">
            <w:pPr>
              <w:pStyle w:val="Compact"/>
            </w:pPr>
            <w:r>
              <w:t>2</w:t>
            </w:r>
          </w:p>
        </w:tc>
        <w:tc>
          <w:tcPr>
            <w:tcW w:w="0" w:type="auto"/>
          </w:tcPr>
          <w:p w14:paraId="0F18CC3F" w14:textId="77777777" w:rsidR="008A25C9" w:rsidRDefault="00000000">
            <w:pPr>
              <w:pStyle w:val="Compact"/>
            </w:pPr>
            <w:r>
              <w:t>R</w:t>
            </w:r>
          </w:p>
        </w:tc>
        <w:tc>
          <w:tcPr>
            <w:tcW w:w="0" w:type="auto"/>
          </w:tcPr>
          <w:p w14:paraId="45603353" w14:textId="77777777" w:rsidR="008A25C9" w:rsidRDefault="00000000">
            <w:pPr>
              <w:pStyle w:val="Compact"/>
            </w:pPr>
            <w:r>
              <w:t>Pay competitiveness; career paths; track record</w:t>
            </w:r>
          </w:p>
        </w:tc>
      </w:tr>
      <w:tr w:rsidR="008A25C9" w14:paraId="0ABB4675" w14:textId="77777777">
        <w:tc>
          <w:tcPr>
            <w:tcW w:w="0" w:type="auto"/>
          </w:tcPr>
          <w:p w14:paraId="4072C5EB" w14:textId="77777777" w:rsidR="008A25C9" w:rsidRDefault="00000000">
            <w:pPr>
              <w:pStyle w:val="Compact"/>
            </w:pPr>
            <w:r>
              <w:t>AI literacy in the population</w:t>
            </w:r>
          </w:p>
        </w:tc>
        <w:tc>
          <w:tcPr>
            <w:tcW w:w="0" w:type="auto"/>
          </w:tcPr>
          <w:p w14:paraId="0E1FA223" w14:textId="77777777" w:rsidR="008A25C9" w:rsidRDefault="00000000">
            <w:pPr>
              <w:pStyle w:val="Compact"/>
            </w:pPr>
            <w:r>
              <w:t>1</w:t>
            </w:r>
          </w:p>
        </w:tc>
        <w:tc>
          <w:tcPr>
            <w:tcW w:w="0" w:type="auto"/>
          </w:tcPr>
          <w:p w14:paraId="6E9BE36A" w14:textId="77777777" w:rsidR="008A25C9" w:rsidRDefault="00000000">
            <w:pPr>
              <w:pStyle w:val="Compact"/>
            </w:pPr>
            <w:r>
              <w:t>A</w:t>
            </w:r>
          </w:p>
        </w:tc>
        <w:tc>
          <w:tcPr>
            <w:tcW w:w="0" w:type="auto"/>
          </w:tcPr>
          <w:p w14:paraId="6D705D61" w14:textId="77777777" w:rsidR="008A25C9" w:rsidRDefault="00000000">
            <w:pPr>
              <w:pStyle w:val="Compact"/>
            </w:pPr>
            <w:r>
              <w:t>Formal training reach; basic digital skills</w:t>
            </w:r>
          </w:p>
        </w:tc>
      </w:tr>
    </w:tbl>
    <w:p w14:paraId="4D8A9F7D" w14:textId="77777777" w:rsidR="008A25C9" w:rsidRDefault="00000000">
      <w:pPr>
        <w:pStyle w:val="Heading3"/>
      </w:pPr>
      <w:bookmarkStart w:id="83" w:name="X5145d75d6420ec0f5debf81991631281d4cb3de"/>
      <w:r>
        <w:lastRenderedPageBreak/>
        <w:t>Pillar 8. Regulatory (participation) — 8 points</w:t>
      </w:r>
      <w:bookmarkEnd w:id="83"/>
    </w:p>
    <w:p w14:paraId="5A1565F6" w14:textId="77777777" w:rsidR="008A25C9" w:rsidRDefault="00000000">
      <w:pPr>
        <w:pStyle w:val="FirstParagraph"/>
      </w:pPr>
      <w:r>
        <w:t>In the national variant this pillar measures the power to make the rules — the mirror image of the corporate variant (Framework §1.2). Reference instruments as of August 2026: the EU AI Act (GPAI obligations enforceable since 2 August 2026; high-risk obligations deferred by the Digital Omnibus to December 2027 / August 2028); the Council of Europe Framework Convention on AI (in force 1 November 2025 — the first binding international AI treaty); the summit series (Paris, February 2025; New Delhi, February 2026, whose Declaration was endorsed by 92 countries and organisations); and the sandbox obligation (at least one AI regulatory sandbox per member state).</w:t>
      </w:r>
    </w:p>
    <w:tbl>
      <w:tblPr>
        <w:tblStyle w:val="Table"/>
        <w:tblW w:w="5000" w:type="pct"/>
        <w:tblLook w:val="07E0" w:firstRow="1" w:lastRow="1" w:firstColumn="1" w:lastColumn="1" w:noHBand="1" w:noVBand="1"/>
      </w:tblPr>
      <w:tblGrid>
        <w:gridCol w:w="3164"/>
        <w:gridCol w:w="870"/>
        <w:gridCol w:w="585"/>
        <w:gridCol w:w="4741"/>
      </w:tblGrid>
      <w:tr w:rsidR="008A25C9" w14:paraId="6FF9F46D" w14:textId="77777777">
        <w:tc>
          <w:tcPr>
            <w:tcW w:w="0" w:type="auto"/>
            <w:tcBorders>
              <w:bottom w:val="single" w:sz="0" w:space="0" w:color="auto"/>
            </w:tcBorders>
            <w:vAlign w:val="bottom"/>
          </w:tcPr>
          <w:p w14:paraId="01F56942" w14:textId="77777777" w:rsidR="008A25C9" w:rsidRDefault="00000000">
            <w:pPr>
              <w:pStyle w:val="Compact"/>
            </w:pPr>
            <w:r>
              <w:t>Sub-indicator</w:t>
            </w:r>
          </w:p>
        </w:tc>
        <w:tc>
          <w:tcPr>
            <w:tcW w:w="0" w:type="auto"/>
            <w:tcBorders>
              <w:bottom w:val="single" w:sz="0" w:space="0" w:color="auto"/>
            </w:tcBorders>
            <w:vAlign w:val="bottom"/>
          </w:tcPr>
          <w:p w14:paraId="3ED3C91E" w14:textId="77777777" w:rsidR="008A25C9" w:rsidRDefault="00000000">
            <w:pPr>
              <w:pStyle w:val="Compact"/>
            </w:pPr>
            <w:r>
              <w:t>Points</w:t>
            </w:r>
          </w:p>
        </w:tc>
        <w:tc>
          <w:tcPr>
            <w:tcW w:w="0" w:type="auto"/>
            <w:tcBorders>
              <w:bottom w:val="single" w:sz="0" w:space="0" w:color="auto"/>
            </w:tcBorders>
            <w:vAlign w:val="bottom"/>
          </w:tcPr>
          <w:p w14:paraId="5DD749F5" w14:textId="77777777" w:rsidR="008A25C9" w:rsidRDefault="00000000">
            <w:pPr>
              <w:pStyle w:val="Compact"/>
            </w:pPr>
            <w:r>
              <w:t>R/A</w:t>
            </w:r>
          </w:p>
        </w:tc>
        <w:tc>
          <w:tcPr>
            <w:tcW w:w="0" w:type="auto"/>
            <w:tcBorders>
              <w:bottom w:val="single" w:sz="0" w:space="0" w:color="auto"/>
            </w:tcBorders>
            <w:vAlign w:val="bottom"/>
          </w:tcPr>
          <w:p w14:paraId="273D267B" w14:textId="77777777" w:rsidR="008A25C9" w:rsidRDefault="00000000">
            <w:pPr>
              <w:pStyle w:val="Compact"/>
            </w:pPr>
            <w:r>
              <w:t>Evidence expected</w:t>
            </w:r>
          </w:p>
        </w:tc>
      </w:tr>
      <w:tr w:rsidR="008A25C9" w14:paraId="5B0C9CD5" w14:textId="77777777">
        <w:tc>
          <w:tcPr>
            <w:tcW w:w="0" w:type="auto"/>
          </w:tcPr>
          <w:p w14:paraId="6322FF31" w14:textId="77777777" w:rsidR="008A25C9" w:rsidRDefault="00000000">
            <w:pPr>
              <w:pStyle w:val="Compact"/>
            </w:pPr>
            <w:r>
              <w:t>Rule-making seats</w:t>
            </w:r>
          </w:p>
        </w:tc>
        <w:tc>
          <w:tcPr>
            <w:tcW w:w="0" w:type="auto"/>
          </w:tcPr>
          <w:p w14:paraId="50A4F5E8" w14:textId="77777777" w:rsidR="008A25C9" w:rsidRDefault="00000000">
            <w:pPr>
              <w:pStyle w:val="Compact"/>
            </w:pPr>
            <w:r>
              <w:t>3</w:t>
            </w:r>
          </w:p>
        </w:tc>
        <w:tc>
          <w:tcPr>
            <w:tcW w:w="0" w:type="auto"/>
          </w:tcPr>
          <w:p w14:paraId="637AAFD4" w14:textId="77777777" w:rsidR="008A25C9" w:rsidRDefault="00000000">
            <w:pPr>
              <w:pStyle w:val="Compact"/>
            </w:pPr>
            <w:r>
              <w:t>A</w:t>
            </w:r>
          </w:p>
        </w:tc>
        <w:tc>
          <w:tcPr>
            <w:tcW w:w="0" w:type="auto"/>
          </w:tcPr>
          <w:p w14:paraId="74B83D17" w14:textId="77777777" w:rsidR="008A25C9" w:rsidRDefault="00000000">
            <w:pPr>
              <w:pStyle w:val="Compact"/>
            </w:pPr>
            <w:r>
              <w:t>Seats in bodies writing binding rules</w:t>
            </w:r>
          </w:p>
        </w:tc>
      </w:tr>
      <w:tr w:rsidR="008A25C9" w14:paraId="43416DCD" w14:textId="77777777">
        <w:tc>
          <w:tcPr>
            <w:tcW w:w="0" w:type="auto"/>
          </w:tcPr>
          <w:p w14:paraId="0DE96C6D" w14:textId="77777777" w:rsidR="008A25C9" w:rsidRDefault="00000000">
            <w:pPr>
              <w:pStyle w:val="Compact"/>
            </w:pPr>
            <w:r>
              <w:t>Own binding AI law</w:t>
            </w:r>
          </w:p>
        </w:tc>
        <w:tc>
          <w:tcPr>
            <w:tcW w:w="0" w:type="auto"/>
          </w:tcPr>
          <w:p w14:paraId="4EF14B4B" w14:textId="77777777" w:rsidR="008A25C9" w:rsidRDefault="00000000">
            <w:pPr>
              <w:pStyle w:val="Compact"/>
            </w:pPr>
            <w:r>
              <w:t>2</w:t>
            </w:r>
          </w:p>
        </w:tc>
        <w:tc>
          <w:tcPr>
            <w:tcW w:w="0" w:type="auto"/>
          </w:tcPr>
          <w:p w14:paraId="19E250D8" w14:textId="77777777" w:rsidR="008A25C9" w:rsidRDefault="00000000">
            <w:pPr>
              <w:pStyle w:val="Compact"/>
            </w:pPr>
            <w:r>
              <w:t>A</w:t>
            </w:r>
          </w:p>
        </w:tc>
        <w:tc>
          <w:tcPr>
            <w:tcW w:w="0" w:type="auto"/>
          </w:tcPr>
          <w:p w14:paraId="1A4424B8" w14:textId="77777777" w:rsidR="008A25C9" w:rsidRDefault="00000000">
            <w:pPr>
              <w:pStyle w:val="Compact"/>
            </w:pPr>
            <w:r>
              <w:t>Applying the AI Act plus national implementing law</w:t>
            </w:r>
          </w:p>
        </w:tc>
      </w:tr>
      <w:tr w:rsidR="008A25C9" w14:paraId="5CC8BE98" w14:textId="77777777">
        <w:tc>
          <w:tcPr>
            <w:tcW w:w="0" w:type="auto"/>
          </w:tcPr>
          <w:p w14:paraId="401E2BD6" w14:textId="77777777" w:rsidR="008A25C9" w:rsidRDefault="00000000">
            <w:pPr>
              <w:pStyle w:val="Compact"/>
            </w:pPr>
            <w:r>
              <w:t>Institutional presence</w:t>
            </w:r>
          </w:p>
        </w:tc>
        <w:tc>
          <w:tcPr>
            <w:tcW w:w="0" w:type="auto"/>
          </w:tcPr>
          <w:p w14:paraId="60848CD4" w14:textId="77777777" w:rsidR="008A25C9" w:rsidRDefault="00000000">
            <w:pPr>
              <w:pStyle w:val="Compact"/>
            </w:pPr>
            <w:r>
              <w:t>2</w:t>
            </w:r>
          </w:p>
        </w:tc>
        <w:tc>
          <w:tcPr>
            <w:tcW w:w="0" w:type="auto"/>
          </w:tcPr>
          <w:p w14:paraId="581B83EB" w14:textId="77777777" w:rsidR="008A25C9" w:rsidRDefault="00000000">
            <w:pPr>
              <w:pStyle w:val="Compact"/>
            </w:pPr>
            <w:r>
              <w:t>A</w:t>
            </w:r>
          </w:p>
        </w:tc>
        <w:tc>
          <w:tcPr>
            <w:tcW w:w="0" w:type="auto"/>
          </w:tcPr>
          <w:p w14:paraId="32A0C595" w14:textId="77777777" w:rsidR="008A25C9" w:rsidRDefault="00000000">
            <w:pPr>
              <w:pStyle w:val="Compact"/>
            </w:pPr>
            <w:r>
              <w:t>An AI safety/security institute; Council of Europe participation</w:t>
            </w:r>
          </w:p>
        </w:tc>
      </w:tr>
      <w:tr w:rsidR="008A25C9" w14:paraId="0A039212" w14:textId="77777777">
        <w:tc>
          <w:tcPr>
            <w:tcW w:w="0" w:type="auto"/>
          </w:tcPr>
          <w:p w14:paraId="1C44A26A" w14:textId="77777777" w:rsidR="008A25C9" w:rsidRDefault="00000000">
            <w:pPr>
              <w:pStyle w:val="Compact"/>
            </w:pPr>
            <w:r>
              <w:t>Summit hosting + bilateral frameworks</w:t>
            </w:r>
          </w:p>
        </w:tc>
        <w:tc>
          <w:tcPr>
            <w:tcW w:w="0" w:type="auto"/>
          </w:tcPr>
          <w:p w14:paraId="10178424" w14:textId="77777777" w:rsidR="008A25C9" w:rsidRDefault="00000000">
            <w:pPr>
              <w:pStyle w:val="Compact"/>
            </w:pPr>
            <w:r>
              <w:t>1</w:t>
            </w:r>
          </w:p>
        </w:tc>
        <w:tc>
          <w:tcPr>
            <w:tcW w:w="0" w:type="auto"/>
          </w:tcPr>
          <w:p w14:paraId="7135256D" w14:textId="77777777" w:rsidR="008A25C9" w:rsidRDefault="00000000">
            <w:pPr>
              <w:pStyle w:val="Compact"/>
            </w:pPr>
            <w:r>
              <w:t>A</w:t>
            </w:r>
          </w:p>
        </w:tc>
        <w:tc>
          <w:tcPr>
            <w:tcW w:w="0" w:type="auto"/>
          </w:tcPr>
          <w:p w14:paraId="1EE9CA53" w14:textId="77777777" w:rsidR="008A25C9" w:rsidRDefault="00000000">
            <w:pPr>
              <w:pStyle w:val="Compact"/>
            </w:pPr>
            <w:r>
              <w:t>Hosting summits; bilateral AI agreements</w:t>
            </w:r>
          </w:p>
        </w:tc>
      </w:tr>
    </w:tbl>
    <w:p w14:paraId="46076DB1" w14:textId="77777777" w:rsidR="008A25C9" w:rsidRDefault="00000000">
      <w:pPr>
        <w:pStyle w:val="Heading2"/>
      </w:pPr>
      <w:bookmarkStart w:id="84" w:name="part-ii.-nation-specific-modifiers"/>
      <w:bookmarkStart w:id="85" w:name="_Toc238848866"/>
      <w:r>
        <w:t>Part II. Nation-specific modifiers</w:t>
      </w:r>
      <w:bookmarkEnd w:id="84"/>
      <w:bookmarkEnd w:id="85"/>
    </w:p>
    <w:p w14:paraId="2607FF23" w14:textId="77777777" w:rsidR="008A25C9" w:rsidRDefault="00000000">
      <w:pPr>
        <w:pStyle w:val="FirstParagraph"/>
      </w:pPr>
      <w:r>
        <w:t xml:space="preserve">Four adjustments applied after the pillar scores, reflecting how unstable the rule environment has become. </w:t>
      </w:r>
      <w:r>
        <w:rPr>
          <w:b/>
        </w:rPr>
        <w:t>Apply them in this order, always, and all of them:</w:t>
      </w:r>
      <w:r>
        <w:t xml:space="preserve"> (1) rule-stability, (2) geopolitical-alliance, (3) operating-model. (Critical-minerals is scored inside Manufacturing and needs no separate step.) Worked examples must show each step explicitly; no other adjustments — bonuses, penalties, or otherwise — are permitted outside these four. If a strength seems to deserve extra credit (abundant energy, rule-making influence), it belongs inside the relevant pillar’s sub-indicators, where it is already counted.</w:t>
      </w:r>
    </w:p>
    <w:p w14:paraId="1BD3A168" w14:textId="77777777" w:rsidR="008A25C9" w:rsidRDefault="00000000">
      <w:pPr>
        <w:pStyle w:val="Heading3"/>
      </w:pPr>
      <w:bookmarkStart w:id="86" w:name="X40b920427831d16b7c0c3fc41462a40dc7a2858"/>
      <w:r>
        <w:t>2.1 Rule-stability modifier (×, on Hardware and Models)</w:t>
      </w:r>
      <w:bookmarkEnd w:id="86"/>
    </w:p>
    <w:p w14:paraId="20E3D565" w14:textId="77777777" w:rsidR="008A25C9" w:rsidRDefault="00000000">
      <w:pPr>
        <w:pStyle w:val="FirstParagraph"/>
      </w:pPr>
      <w:r>
        <w:t>The defining feature of 2025–2026 is one-off deals and reversible directives — exports banned, then taxed, then licensed; a frontier model suspended, then restored within a month. The modifier prices exposure to that volatility.</w:t>
      </w:r>
    </w:p>
    <w:tbl>
      <w:tblPr>
        <w:tblStyle w:val="Table"/>
        <w:tblW w:w="5000" w:type="pct"/>
        <w:tblLook w:val="07E0" w:firstRow="1" w:lastRow="1" w:firstColumn="1" w:lastColumn="1" w:noHBand="1" w:noVBand="1"/>
      </w:tblPr>
      <w:tblGrid>
        <w:gridCol w:w="3551"/>
        <w:gridCol w:w="1188"/>
        <w:gridCol w:w="4621"/>
      </w:tblGrid>
      <w:tr w:rsidR="008A25C9" w14:paraId="7337A91D" w14:textId="77777777">
        <w:tc>
          <w:tcPr>
            <w:tcW w:w="0" w:type="auto"/>
            <w:tcBorders>
              <w:bottom w:val="single" w:sz="0" w:space="0" w:color="auto"/>
            </w:tcBorders>
            <w:vAlign w:val="bottom"/>
          </w:tcPr>
          <w:p w14:paraId="5F7E4986" w14:textId="77777777" w:rsidR="008A25C9" w:rsidRDefault="00000000">
            <w:pPr>
              <w:pStyle w:val="Compact"/>
            </w:pPr>
            <w:r>
              <w:t>Exposure</w:t>
            </w:r>
          </w:p>
        </w:tc>
        <w:tc>
          <w:tcPr>
            <w:tcW w:w="0" w:type="auto"/>
            <w:tcBorders>
              <w:bottom w:val="single" w:sz="0" w:space="0" w:color="auto"/>
            </w:tcBorders>
            <w:vAlign w:val="bottom"/>
          </w:tcPr>
          <w:p w14:paraId="0AD77E9D" w14:textId="77777777" w:rsidR="008A25C9" w:rsidRDefault="00000000">
            <w:pPr>
              <w:pStyle w:val="Compact"/>
            </w:pPr>
            <w:r>
              <w:t>Multiplier</w:t>
            </w:r>
          </w:p>
        </w:tc>
        <w:tc>
          <w:tcPr>
            <w:tcW w:w="0" w:type="auto"/>
            <w:tcBorders>
              <w:bottom w:val="single" w:sz="0" w:space="0" w:color="auto"/>
            </w:tcBorders>
            <w:vAlign w:val="bottom"/>
          </w:tcPr>
          <w:p w14:paraId="0820F3DA" w14:textId="77777777" w:rsidR="008A25C9" w:rsidRDefault="00000000">
            <w:pPr>
              <w:pStyle w:val="Compact"/>
            </w:pPr>
            <w:r>
              <w:t>Example</w:t>
            </w:r>
          </w:p>
        </w:tc>
      </w:tr>
      <w:tr w:rsidR="008A25C9" w14:paraId="70D17717" w14:textId="77777777">
        <w:tc>
          <w:tcPr>
            <w:tcW w:w="0" w:type="auto"/>
          </w:tcPr>
          <w:p w14:paraId="395FC335" w14:textId="77777777" w:rsidR="008A25C9" w:rsidRDefault="00000000">
            <w:pPr>
              <w:pStyle w:val="Compact"/>
            </w:pPr>
            <w:r>
              <w:t>None — compute home-grown</w:t>
            </w:r>
          </w:p>
        </w:tc>
        <w:tc>
          <w:tcPr>
            <w:tcW w:w="0" w:type="auto"/>
          </w:tcPr>
          <w:p w14:paraId="29D0A3E5" w14:textId="77777777" w:rsidR="008A25C9" w:rsidRDefault="00000000">
            <w:pPr>
              <w:pStyle w:val="Compact"/>
            </w:pPr>
            <w:r>
              <w:t>1.00</w:t>
            </w:r>
          </w:p>
        </w:tc>
        <w:tc>
          <w:tcPr>
            <w:tcW w:w="0" w:type="auto"/>
          </w:tcPr>
          <w:p w14:paraId="442C4149" w14:textId="77777777" w:rsidR="008A25C9" w:rsidRDefault="00000000">
            <w:pPr>
              <w:pStyle w:val="Compact"/>
            </w:pPr>
            <w:r>
              <w:t>China (partly); countries with own large providers</w:t>
            </w:r>
          </w:p>
        </w:tc>
      </w:tr>
      <w:tr w:rsidR="008A25C9" w14:paraId="2550604C" w14:textId="77777777">
        <w:tc>
          <w:tcPr>
            <w:tcW w:w="0" w:type="auto"/>
          </w:tcPr>
          <w:p w14:paraId="2ED2AAF0" w14:textId="77777777" w:rsidR="008A25C9" w:rsidRDefault="00000000">
            <w:pPr>
              <w:pStyle w:val="Compact"/>
            </w:pPr>
            <w:r>
              <w:t>Low — deliberately multi-supplier</w:t>
            </w:r>
          </w:p>
        </w:tc>
        <w:tc>
          <w:tcPr>
            <w:tcW w:w="0" w:type="auto"/>
          </w:tcPr>
          <w:p w14:paraId="62F47D25" w14:textId="77777777" w:rsidR="008A25C9" w:rsidRDefault="00000000">
            <w:pPr>
              <w:pStyle w:val="Compact"/>
            </w:pPr>
            <w:r>
              <w:t>0.95</w:t>
            </w:r>
          </w:p>
        </w:tc>
        <w:tc>
          <w:tcPr>
            <w:tcW w:w="0" w:type="auto"/>
          </w:tcPr>
          <w:p w14:paraId="5871EAFA" w14:textId="77777777" w:rsidR="008A25C9" w:rsidRDefault="00000000">
            <w:pPr>
              <w:pStyle w:val="Compact"/>
            </w:pPr>
            <w:r>
              <w:t>European countries spreading purchases</w:t>
            </w:r>
          </w:p>
        </w:tc>
      </w:tr>
      <w:tr w:rsidR="008A25C9" w14:paraId="2022E6D4" w14:textId="77777777">
        <w:tc>
          <w:tcPr>
            <w:tcW w:w="0" w:type="auto"/>
          </w:tcPr>
          <w:p w14:paraId="178B1788" w14:textId="77777777" w:rsidR="008A25C9" w:rsidRDefault="00000000">
            <w:pPr>
              <w:pStyle w:val="Compact"/>
            </w:pPr>
            <w:r>
              <w:t>Moderate — mostly US-supplied</w:t>
            </w:r>
          </w:p>
        </w:tc>
        <w:tc>
          <w:tcPr>
            <w:tcW w:w="0" w:type="auto"/>
          </w:tcPr>
          <w:p w14:paraId="4E1280AA" w14:textId="77777777" w:rsidR="008A25C9" w:rsidRDefault="00000000">
            <w:pPr>
              <w:pStyle w:val="Compact"/>
            </w:pPr>
            <w:r>
              <w:t>0.90</w:t>
            </w:r>
          </w:p>
        </w:tc>
        <w:tc>
          <w:tcPr>
            <w:tcW w:w="0" w:type="auto"/>
          </w:tcPr>
          <w:p w14:paraId="36DEE5CE" w14:textId="77777777" w:rsidR="008A25C9" w:rsidRDefault="00000000">
            <w:pPr>
              <w:pStyle w:val="Compact"/>
            </w:pPr>
            <w:r>
              <w:t>Most EU states today</w:t>
            </w:r>
          </w:p>
        </w:tc>
      </w:tr>
      <w:tr w:rsidR="008A25C9" w14:paraId="311C97C9" w14:textId="77777777">
        <w:tc>
          <w:tcPr>
            <w:tcW w:w="0" w:type="auto"/>
          </w:tcPr>
          <w:p w14:paraId="75FE286E" w14:textId="77777777" w:rsidR="008A25C9" w:rsidRDefault="00000000">
            <w:pPr>
              <w:pStyle w:val="Compact"/>
            </w:pPr>
            <w:r>
              <w:t xml:space="preserve">High — case-by-case US </w:t>
            </w:r>
            <w:r>
              <w:lastRenderedPageBreak/>
              <w:t>permission</w:t>
            </w:r>
          </w:p>
        </w:tc>
        <w:tc>
          <w:tcPr>
            <w:tcW w:w="0" w:type="auto"/>
          </w:tcPr>
          <w:p w14:paraId="326206DD" w14:textId="77777777" w:rsidR="008A25C9" w:rsidRDefault="00000000">
            <w:pPr>
              <w:pStyle w:val="Compact"/>
            </w:pPr>
            <w:r>
              <w:lastRenderedPageBreak/>
              <w:t>0.85</w:t>
            </w:r>
          </w:p>
        </w:tc>
        <w:tc>
          <w:tcPr>
            <w:tcW w:w="0" w:type="auto"/>
          </w:tcPr>
          <w:p w14:paraId="75AE0C59" w14:textId="77777777" w:rsidR="008A25C9" w:rsidRDefault="00000000">
            <w:pPr>
              <w:pStyle w:val="Compact"/>
            </w:pPr>
            <w:r>
              <w:t>UAE; countries with no alternatives</w:t>
            </w:r>
          </w:p>
        </w:tc>
      </w:tr>
    </w:tbl>
    <w:p w14:paraId="30F7D19D" w14:textId="77777777" w:rsidR="008A25C9" w:rsidRDefault="00000000">
      <w:pPr>
        <w:pStyle w:val="Heading3"/>
      </w:pPr>
      <w:bookmarkStart w:id="87" w:name="Xb4ac7ffdb35ac0fc7fa9938faa85cce157a6fca"/>
      <w:r>
        <w:t>2.2 Geopolitical-alliance multiplier (×, on Hardware, Models, Infrastructure)</w:t>
      </w:r>
      <w:bookmarkEnd w:id="87"/>
    </w:p>
    <w:p w14:paraId="2E31347A" w14:textId="77777777" w:rsidR="008A25C9" w:rsidRDefault="00000000">
      <w:pPr>
        <w:pStyle w:val="FirstParagraph"/>
      </w:pPr>
      <w:r>
        <w:t xml:space="preserve">The closest US allies get better chip access. That access is not a built strength, so it multiplies rather than adds. Note the tension: Tier-1 alignment raises this multiplier </w:t>
      </w:r>
      <w:r>
        <w:rPr>
          <w:i/>
        </w:rPr>
        <w:t>and</w:t>
      </w:r>
      <w:r>
        <w:t xml:space="preserve"> typically raises rule-stability exposure — the two must both be applied, which is why the order is fixed.</w:t>
      </w:r>
    </w:p>
    <w:tbl>
      <w:tblPr>
        <w:tblStyle w:val="Table"/>
        <w:tblW w:w="5000" w:type="pct"/>
        <w:tblLook w:val="07E0" w:firstRow="1" w:lastRow="1" w:firstColumn="1" w:lastColumn="1" w:noHBand="1" w:noVBand="1"/>
      </w:tblPr>
      <w:tblGrid>
        <w:gridCol w:w="1874"/>
        <w:gridCol w:w="1268"/>
        <w:gridCol w:w="6218"/>
      </w:tblGrid>
      <w:tr w:rsidR="008A25C9" w14:paraId="11ECD090" w14:textId="77777777">
        <w:tc>
          <w:tcPr>
            <w:tcW w:w="0" w:type="auto"/>
            <w:tcBorders>
              <w:bottom w:val="single" w:sz="0" w:space="0" w:color="auto"/>
            </w:tcBorders>
            <w:vAlign w:val="bottom"/>
          </w:tcPr>
          <w:p w14:paraId="30B6E7E4" w14:textId="77777777" w:rsidR="008A25C9" w:rsidRDefault="00000000">
            <w:pPr>
              <w:pStyle w:val="Compact"/>
            </w:pPr>
            <w:r>
              <w:t>Position</w:t>
            </w:r>
          </w:p>
        </w:tc>
        <w:tc>
          <w:tcPr>
            <w:tcW w:w="0" w:type="auto"/>
            <w:tcBorders>
              <w:bottom w:val="single" w:sz="0" w:space="0" w:color="auto"/>
            </w:tcBorders>
            <w:vAlign w:val="bottom"/>
          </w:tcPr>
          <w:p w14:paraId="73EAD8D0" w14:textId="77777777" w:rsidR="008A25C9" w:rsidRDefault="00000000">
            <w:pPr>
              <w:pStyle w:val="Compact"/>
            </w:pPr>
            <w:r>
              <w:t>Multiplier</w:t>
            </w:r>
          </w:p>
        </w:tc>
        <w:tc>
          <w:tcPr>
            <w:tcW w:w="0" w:type="auto"/>
            <w:tcBorders>
              <w:bottom w:val="single" w:sz="0" w:space="0" w:color="auto"/>
            </w:tcBorders>
            <w:vAlign w:val="bottom"/>
          </w:tcPr>
          <w:p w14:paraId="138C8C3E" w14:textId="77777777" w:rsidR="008A25C9" w:rsidRDefault="00000000">
            <w:pPr>
              <w:pStyle w:val="Compact"/>
            </w:pPr>
            <w:r>
              <w:t>Examples</w:t>
            </w:r>
          </w:p>
        </w:tc>
      </w:tr>
      <w:tr w:rsidR="008A25C9" w14:paraId="0B3E4835" w14:textId="77777777">
        <w:tc>
          <w:tcPr>
            <w:tcW w:w="0" w:type="auto"/>
          </w:tcPr>
          <w:p w14:paraId="4509D3F8" w14:textId="77777777" w:rsidR="008A25C9" w:rsidRDefault="00000000">
            <w:pPr>
              <w:pStyle w:val="Compact"/>
            </w:pPr>
            <w:r>
              <w:t>Tier-1 US ally</w:t>
            </w:r>
          </w:p>
        </w:tc>
        <w:tc>
          <w:tcPr>
            <w:tcW w:w="0" w:type="auto"/>
          </w:tcPr>
          <w:p w14:paraId="251598A7" w14:textId="77777777" w:rsidR="008A25C9" w:rsidRDefault="00000000">
            <w:pPr>
              <w:pStyle w:val="Compact"/>
            </w:pPr>
            <w:r>
              <w:t>1.10–1.15</w:t>
            </w:r>
          </w:p>
        </w:tc>
        <w:tc>
          <w:tcPr>
            <w:tcW w:w="0" w:type="auto"/>
          </w:tcPr>
          <w:p w14:paraId="488E040D" w14:textId="77777777" w:rsidR="008A25C9" w:rsidRDefault="00000000">
            <w:pPr>
              <w:pStyle w:val="Compact"/>
            </w:pPr>
            <w:r>
              <w:t>Japan, UK, Canada, Australia, South Korea, Netherlands, Taiwan, Singapore, France, Germany</w:t>
            </w:r>
          </w:p>
        </w:tc>
      </w:tr>
      <w:tr w:rsidR="008A25C9" w14:paraId="5839A3C4" w14:textId="77777777">
        <w:tc>
          <w:tcPr>
            <w:tcW w:w="0" w:type="auto"/>
          </w:tcPr>
          <w:p w14:paraId="6F64D8CA" w14:textId="77777777" w:rsidR="008A25C9" w:rsidRDefault="00000000">
            <w:pPr>
              <w:pStyle w:val="Compact"/>
            </w:pPr>
            <w:r>
              <w:t>Special partnership</w:t>
            </w:r>
          </w:p>
        </w:tc>
        <w:tc>
          <w:tcPr>
            <w:tcW w:w="0" w:type="auto"/>
          </w:tcPr>
          <w:p w14:paraId="0ADDBECA" w14:textId="77777777" w:rsidR="008A25C9" w:rsidRDefault="00000000">
            <w:pPr>
              <w:pStyle w:val="Compact"/>
            </w:pPr>
            <w:r>
              <w:t>1.05–1.10</w:t>
            </w:r>
          </w:p>
        </w:tc>
        <w:tc>
          <w:tcPr>
            <w:tcW w:w="0" w:type="auto"/>
          </w:tcPr>
          <w:p w14:paraId="77ECF32B" w14:textId="77777777" w:rsidR="008A25C9" w:rsidRDefault="00000000">
            <w:pPr>
              <w:pStyle w:val="Compact"/>
            </w:pPr>
            <w:r>
              <w:t>UAE (US–UAE AI Acceleration Partnership)</w:t>
            </w:r>
          </w:p>
        </w:tc>
      </w:tr>
      <w:tr w:rsidR="008A25C9" w14:paraId="6624B145" w14:textId="77777777">
        <w:tc>
          <w:tcPr>
            <w:tcW w:w="0" w:type="auto"/>
          </w:tcPr>
          <w:p w14:paraId="364C8CAA" w14:textId="77777777" w:rsidR="008A25C9" w:rsidRDefault="00000000">
            <w:pPr>
              <w:pStyle w:val="Compact"/>
            </w:pPr>
            <w:r>
              <w:t>Neutral</w:t>
            </w:r>
          </w:p>
        </w:tc>
        <w:tc>
          <w:tcPr>
            <w:tcW w:w="0" w:type="auto"/>
          </w:tcPr>
          <w:p w14:paraId="31BD3644" w14:textId="77777777" w:rsidR="008A25C9" w:rsidRDefault="00000000">
            <w:pPr>
              <w:pStyle w:val="Compact"/>
            </w:pPr>
            <w:r>
              <w:t>1.00</w:t>
            </w:r>
          </w:p>
        </w:tc>
        <w:tc>
          <w:tcPr>
            <w:tcW w:w="0" w:type="auto"/>
          </w:tcPr>
          <w:p w14:paraId="42D7A6BE" w14:textId="77777777" w:rsidR="008A25C9" w:rsidRDefault="00000000">
            <w:pPr>
              <w:pStyle w:val="Compact"/>
            </w:pPr>
            <w:r>
              <w:t>Bulgaria, India, most developing nations</w:t>
            </w:r>
          </w:p>
        </w:tc>
      </w:tr>
      <w:tr w:rsidR="008A25C9" w14:paraId="2EACCBEF" w14:textId="77777777">
        <w:tc>
          <w:tcPr>
            <w:tcW w:w="0" w:type="auto"/>
          </w:tcPr>
          <w:p w14:paraId="28B193A3" w14:textId="77777777" w:rsidR="008A25C9" w:rsidRDefault="00000000">
            <w:pPr>
              <w:pStyle w:val="Compact"/>
            </w:pPr>
            <w:r>
              <w:t>Restricted access</w:t>
            </w:r>
          </w:p>
        </w:tc>
        <w:tc>
          <w:tcPr>
            <w:tcW w:w="0" w:type="auto"/>
          </w:tcPr>
          <w:p w14:paraId="3F799973" w14:textId="77777777" w:rsidR="008A25C9" w:rsidRDefault="00000000">
            <w:pPr>
              <w:pStyle w:val="Compact"/>
            </w:pPr>
            <w:r>
              <w:t>0.90–0.95</w:t>
            </w:r>
          </w:p>
        </w:tc>
        <w:tc>
          <w:tcPr>
            <w:tcW w:w="0" w:type="auto"/>
          </w:tcPr>
          <w:p w14:paraId="3700A453" w14:textId="77777777" w:rsidR="008A25C9" w:rsidRDefault="00000000">
            <w:pPr>
              <w:pStyle w:val="Compact"/>
            </w:pPr>
            <w:r>
              <w:t>Below-tier under export rules</w:t>
            </w:r>
          </w:p>
        </w:tc>
      </w:tr>
      <w:tr w:rsidR="008A25C9" w14:paraId="1A1BFD24" w14:textId="77777777">
        <w:tc>
          <w:tcPr>
            <w:tcW w:w="0" w:type="auto"/>
          </w:tcPr>
          <w:p w14:paraId="36186A1D" w14:textId="77777777" w:rsidR="008A25C9" w:rsidRDefault="00000000">
            <w:pPr>
              <w:pStyle w:val="Compact"/>
            </w:pPr>
            <w:r>
              <w:t>Sanctioned</w:t>
            </w:r>
          </w:p>
        </w:tc>
        <w:tc>
          <w:tcPr>
            <w:tcW w:w="0" w:type="auto"/>
          </w:tcPr>
          <w:p w14:paraId="61ABAFA7" w14:textId="77777777" w:rsidR="008A25C9" w:rsidRDefault="00000000">
            <w:pPr>
              <w:pStyle w:val="Compact"/>
            </w:pPr>
            <w:r>
              <w:t>0.70–0.80</w:t>
            </w:r>
          </w:p>
        </w:tc>
        <w:tc>
          <w:tcPr>
            <w:tcW w:w="0" w:type="auto"/>
          </w:tcPr>
          <w:p w14:paraId="127E80B3" w14:textId="77777777" w:rsidR="008A25C9" w:rsidRDefault="00000000">
            <w:pPr>
              <w:pStyle w:val="Compact"/>
            </w:pPr>
            <w:r>
              <w:t>Iran, Russia, (partially) China</w:t>
            </w:r>
          </w:p>
        </w:tc>
      </w:tr>
    </w:tbl>
    <w:p w14:paraId="3ECB04B4" w14:textId="77777777" w:rsidR="008A25C9" w:rsidRDefault="00000000">
      <w:pPr>
        <w:pStyle w:val="Heading3"/>
      </w:pPr>
      <w:bookmarkStart w:id="88" w:name="critical-minerals-modifier"/>
      <w:r>
        <w:t>2.3 Critical-minerals modifier</w:t>
      </w:r>
      <w:bookmarkEnd w:id="88"/>
    </w:p>
    <w:p w14:paraId="0D8030D4" w14:textId="77777777" w:rsidR="008A25C9" w:rsidRDefault="00000000">
      <w:pPr>
        <w:pStyle w:val="FirstParagraph"/>
      </w:pPr>
      <w:r>
        <w:t>Scored inside Manufacturing (2 of 12): domestic or allied refining capacity for gallium, germanium, heavy rare earths, high-purity silicon, and refined copper. China’s export-control campaign — gallium/germanium (December 2024), rare earths (October 2025, paused November 2025 for 12 months, with active enforcement through 2026) — shows the risk is present, not theoretical.</w:t>
      </w:r>
    </w:p>
    <w:p w14:paraId="09DDFAC7" w14:textId="77777777" w:rsidR="008A25C9" w:rsidRDefault="00000000">
      <w:pPr>
        <w:pStyle w:val="Heading3"/>
      </w:pPr>
      <w:bookmarkStart w:id="89" w:name="X3fa6097441e85f59c772c096e01ba17e16eae2b"/>
      <w:r>
        <w:t>2.4 Operating-model modifier (integer, −2 to +2, on the headline)</w:t>
      </w:r>
      <w:bookmarkEnd w:id="89"/>
    </w:p>
    <w:p w14:paraId="23EA5BE4" w14:textId="77777777" w:rsidR="008A25C9" w:rsidRDefault="00000000">
      <w:pPr>
        <w:pStyle w:val="FirstParagraph"/>
      </w:pPr>
      <w:r>
        <w:t>How a government organises itself to build and keep its own AI capability — durability across political change, legitimacy, exit costs, reproducibility, decision clarity. Four common forms: a public research institute (Bulgaria’s INSAIT), a state-owned company (several Chinese labs), a private national champion (France’s Mistral), a consortium (EuroHPC AI Factories). No form is favoured; any can earn +2 or −2. The modifier does take one side: a real, coherent setup of your own beats renting everything from foreign providers — disagreeing with that is disagreeing with AI-SAF as a whole.</w:t>
      </w:r>
    </w:p>
    <w:p w14:paraId="70D40B1F" w14:textId="77777777" w:rsidR="008A25C9" w:rsidRDefault="00000000">
      <w:pPr>
        <w:pStyle w:val="BodyText"/>
      </w:pPr>
      <w:r>
        <w:t xml:space="preserve">Scoring: </w:t>
      </w:r>
      <w:r>
        <w:rPr>
          <w:b/>
        </w:rPr>
        <w:t>−2</w:t>
      </w:r>
      <w:r>
        <w:t xml:space="preserve"> no real setup, or paper-only. </w:t>
      </w:r>
      <w:r>
        <w:rPr>
          <w:b/>
        </w:rPr>
        <w:t>−1</w:t>
      </w:r>
      <w:r>
        <w:t xml:space="preserve"> a setup exists but under-funded, badly run, or unclear. </w:t>
      </w:r>
      <w:r>
        <w:rPr>
          <w:b/>
        </w:rPr>
        <w:t>0</w:t>
      </w:r>
      <w:r>
        <w:t xml:space="preserve"> solid, funded, documented, producing results used at home; sovereignty as by-product. </w:t>
      </w:r>
      <w:r>
        <w:rPr>
          <w:b/>
        </w:rPr>
        <w:t>+1</w:t>
      </w:r>
      <w:r>
        <w:t xml:space="preserve"> all that, with sovereignty built in on purpose (openness, clear decision-making, reproducibility) but untested through a major upheaval. </w:t>
      </w:r>
      <w:r>
        <w:rPr>
          <w:b/>
        </w:rPr>
        <w:t>+2</w:t>
      </w:r>
      <w:r>
        <w:t xml:space="preserve"> proven through at least one real test — change of government, funding gap, major shock.</w:t>
      </w:r>
    </w:p>
    <w:p w14:paraId="11BBA78A" w14:textId="77777777" w:rsidR="008A25C9" w:rsidRDefault="00000000">
      <w:pPr>
        <w:pStyle w:val="BodyText"/>
      </w:pPr>
      <w:r>
        <w:lastRenderedPageBreak/>
        <w:t>Calibration: Bulgaria/INSAIT +1 (coherent, resourced, explicitly open; untested through political discontinuity). France/Mistral +1 (commercial discipline plus state alignment; also untested). A small state renting everything through foreign hyperscalers: −1 or −2.</w:t>
      </w:r>
    </w:p>
    <w:p w14:paraId="67171599" w14:textId="77777777" w:rsidR="008A25C9" w:rsidRDefault="00000000">
      <w:pPr>
        <w:pStyle w:val="Heading2"/>
      </w:pPr>
      <w:bookmarkStart w:id="90" w:name="part-iii.-worked-examples"/>
      <w:bookmarkStart w:id="91" w:name="_Toc238848867"/>
      <w:r>
        <w:t>Part III. Worked examples</w:t>
      </w:r>
      <w:bookmarkEnd w:id="90"/>
      <w:bookmarkEnd w:id="91"/>
    </w:p>
    <w:p w14:paraId="7BA47ED2" w14:textId="77777777" w:rsidR="008A25C9" w:rsidRDefault="00000000">
      <w:pPr>
        <w:pStyle w:val="FirstParagraph"/>
      </w:pPr>
      <w:r>
        <w:t>All three examples follow the same sequence: pillar table → rule-stability → alliance → operating-model → final. These are the authors’ estimates from public information, shown to demonstrate the method.</w:t>
      </w:r>
    </w:p>
    <w:p w14:paraId="70A2423C" w14:textId="77777777" w:rsidR="008A25C9" w:rsidRDefault="00000000">
      <w:pPr>
        <w:pStyle w:val="Heading3"/>
      </w:pPr>
      <w:bookmarkStart w:id="92" w:name="bulgaria-46"/>
      <w:r>
        <w:t>3.1 Bulgaria — ~46</w:t>
      </w:r>
      <w:bookmarkEnd w:id="92"/>
    </w:p>
    <w:p w14:paraId="1BD3F30E" w14:textId="77777777" w:rsidR="008A25C9" w:rsidRDefault="00000000">
      <w:pPr>
        <w:pStyle w:val="FirstParagraph"/>
      </w:pPr>
      <w:r>
        <w:t>Bulgaria punches above its weight: a small economy (~$100B) whose INSAIT institute built far more national capability than size suggests, by continuing to train Google’s Gemma models into BgGPT and putting the result into government use (7,000+ staff at the National Revenue Agency).</w:t>
      </w:r>
    </w:p>
    <w:tbl>
      <w:tblPr>
        <w:tblStyle w:val="Table"/>
        <w:tblW w:w="5000" w:type="pct"/>
        <w:tblLook w:val="07E0" w:firstRow="1" w:lastRow="1" w:firstColumn="1" w:lastColumn="1" w:noHBand="1" w:noVBand="1"/>
      </w:tblPr>
      <w:tblGrid>
        <w:gridCol w:w="1736"/>
        <w:gridCol w:w="951"/>
        <w:gridCol w:w="678"/>
        <w:gridCol w:w="834"/>
        <w:gridCol w:w="5161"/>
      </w:tblGrid>
      <w:tr w:rsidR="008A25C9" w14:paraId="0212F909" w14:textId="77777777">
        <w:tc>
          <w:tcPr>
            <w:tcW w:w="0" w:type="auto"/>
            <w:tcBorders>
              <w:bottom w:val="single" w:sz="0" w:space="0" w:color="auto"/>
            </w:tcBorders>
            <w:vAlign w:val="bottom"/>
          </w:tcPr>
          <w:p w14:paraId="2D203249" w14:textId="77777777" w:rsidR="008A25C9" w:rsidRDefault="00000000">
            <w:pPr>
              <w:pStyle w:val="Compact"/>
            </w:pPr>
            <w:r>
              <w:t>Pillar</w:t>
            </w:r>
          </w:p>
        </w:tc>
        <w:tc>
          <w:tcPr>
            <w:tcW w:w="0" w:type="auto"/>
            <w:tcBorders>
              <w:bottom w:val="single" w:sz="0" w:space="0" w:color="auto"/>
            </w:tcBorders>
            <w:vAlign w:val="bottom"/>
          </w:tcPr>
          <w:p w14:paraId="4735D7F6" w14:textId="77777777" w:rsidR="008A25C9" w:rsidRDefault="00000000">
            <w:pPr>
              <w:pStyle w:val="Compact"/>
            </w:pPr>
            <w:r>
              <w:t>Weight</w:t>
            </w:r>
          </w:p>
        </w:tc>
        <w:tc>
          <w:tcPr>
            <w:tcW w:w="0" w:type="auto"/>
            <w:tcBorders>
              <w:bottom w:val="single" w:sz="0" w:space="0" w:color="auto"/>
            </w:tcBorders>
            <w:vAlign w:val="bottom"/>
          </w:tcPr>
          <w:p w14:paraId="77AAD01B" w14:textId="77777777" w:rsidR="008A25C9" w:rsidRDefault="00000000">
            <w:pPr>
              <w:pStyle w:val="Compact"/>
            </w:pPr>
            <w:r>
              <w:t>Raw</w:t>
            </w:r>
          </w:p>
        </w:tc>
        <w:tc>
          <w:tcPr>
            <w:tcW w:w="0" w:type="auto"/>
            <w:tcBorders>
              <w:bottom w:val="single" w:sz="0" w:space="0" w:color="auto"/>
            </w:tcBorders>
            <w:vAlign w:val="bottom"/>
          </w:tcPr>
          <w:p w14:paraId="6EFE908B" w14:textId="77777777" w:rsidR="008A25C9" w:rsidRDefault="00000000">
            <w:pPr>
              <w:pStyle w:val="Compact"/>
            </w:pPr>
            <w:r>
              <w:t>Score</w:t>
            </w:r>
          </w:p>
        </w:tc>
        <w:tc>
          <w:tcPr>
            <w:tcW w:w="0" w:type="auto"/>
            <w:tcBorders>
              <w:bottom w:val="single" w:sz="0" w:space="0" w:color="auto"/>
            </w:tcBorders>
            <w:vAlign w:val="bottom"/>
          </w:tcPr>
          <w:p w14:paraId="36FC248D" w14:textId="77777777" w:rsidR="008A25C9" w:rsidRDefault="00000000">
            <w:pPr>
              <w:pStyle w:val="Compact"/>
            </w:pPr>
            <w:r>
              <w:t>Note</w:t>
            </w:r>
          </w:p>
        </w:tc>
      </w:tr>
      <w:tr w:rsidR="008A25C9" w14:paraId="78326B89" w14:textId="77777777">
        <w:tc>
          <w:tcPr>
            <w:tcW w:w="0" w:type="auto"/>
          </w:tcPr>
          <w:p w14:paraId="2CE89082" w14:textId="77777777" w:rsidR="008A25C9" w:rsidRDefault="00000000">
            <w:pPr>
              <w:pStyle w:val="Compact"/>
            </w:pPr>
            <w:r>
              <w:t>Data</w:t>
            </w:r>
          </w:p>
        </w:tc>
        <w:tc>
          <w:tcPr>
            <w:tcW w:w="0" w:type="auto"/>
          </w:tcPr>
          <w:p w14:paraId="70FC9495" w14:textId="77777777" w:rsidR="008A25C9" w:rsidRDefault="00000000">
            <w:pPr>
              <w:pStyle w:val="Compact"/>
            </w:pPr>
            <w:r>
              <w:t>10</w:t>
            </w:r>
          </w:p>
        </w:tc>
        <w:tc>
          <w:tcPr>
            <w:tcW w:w="0" w:type="auto"/>
          </w:tcPr>
          <w:p w14:paraId="24DD024E" w14:textId="77777777" w:rsidR="008A25C9" w:rsidRDefault="00000000">
            <w:pPr>
              <w:pStyle w:val="Compact"/>
            </w:pPr>
            <w:r>
              <w:t>0.70</w:t>
            </w:r>
          </w:p>
        </w:tc>
        <w:tc>
          <w:tcPr>
            <w:tcW w:w="0" w:type="auto"/>
          </w:tcPr>
          <w:p w14:paraId="4DAE2CA6" w14:textId="77777777" w:rsidR="008A25C9" w:rsidRDefault="00000000">
            <w:pPr>
              <w:pStyle w:val="Compact"/>
            </w:pPr>
            <w:r>
              <w:t>7.0</w:t>
            </w:r>
          </w:p>
        </w:tc>
        <w:tc>
          <w:tcPr>
            <w:tcW w:w="0" w:type="auto"/>
          </w:tcPr>
          <w:p w14:paraId="2DF3ACA1" w14:textId="77777777" w:rsidR="008A25C9" w:rsidRDefault="00000000">
            <w:pPr>
              <w:pStyle w:val="Compact"/>
            </w:pPr>
            <w:r>
              <w:t>&gt;100B Bulgarian tokens; NRA integration; planned BRAIN++ data lake</w:t>
            </w:r>
          </w:p>
        </w:tc>
      </w:tr>
      <w:tr w:rsidR="008A25C9" w14:paraId="16DCC036" w14:textId="77777777">
        <w:tc>
          <w:tcPr>
            <w:tcW w:w="0" w:type="auto"/>
          </w:tcPr>
          <w:p w14:paraId="415458D0" w14:textId="77777777" w:rsidR="008A25C9" w:rsidRDefault="00000000">
            <w:pPr>
              <w:pStyle w:val="Compact"/>
            </w:pPr>
            <w:r>
              <w:t>Models</w:t>
            </w:r>
          </w:p>
        </w:tc>
        <w:tc>
          <w:tcPr>
            <w:tcW w:w="0" w:type="auto"/>
          </w:tcPr>
          <w:p w14:paraId="5BDFE892" w14:textId="77777777" w:rsidR="008A25C9" w:rsidRDefault="00000000">
            <w:pPr>
              <w:pStyle w:val="Compact"/>
            </w:pPr>
            <w:r>
              <w:t>16</w:t>
            </w:r>
          </w:p>
        </w:tc>
        <w:tc>
          <w:tcPr>
            <w:tcW w:w="0" w:type="auto"/>
          </w:tcPr>
          <w:p w14:paraId="37EA0E0B" w14:textId="77777777" w:rsidR="008A25C9" w:rsidRDefault="00000000">
            <w:pPr>
              <w:pStyle w:val="Compact"/>
            </w:pPr>
            <w:r>
              <w:t>0.55</w:t>
            </w:r>
          </w:p>
        </w:tc>
        <w:tc>
          <w:tcPr>
            <w:tcW w:w="0" w:type="auto"/>
          </w:tcPr>
          <w:p w14:paraId="29299024" w14:textId="77777777" w:rsidR="008A25C9" w:rsidRDefault="00000000">
            <w:pPr>
              <w:pStyle w:val="Compact"/>
            </w:pPr>
            <w:r>
              <w:t>8.8</w:t>
            </w:r>
          </w:p>
        </w:tc>
        <w:tc>
          <w:tcPr>
            <w:tcW w:w="0" w:type="auto"/>
          </w:tcPr>
          <w:p w14:paraId="3A8B8E3E" w14:textId="77777777" w:rsidR="008A25C9" w:rsidRDefault="00000000">
            <w:pPr>
              <w:pStyle w:val="Compact"/>
            </w:pPr>
            <w:r>
              <w:t>BgGPT 3.0 on Gemma 3 = L2 (anchor 11); raw 0.55 after portfolio-depth deductions</w:t>
            </w:r>
          </w:p>
        </w:tc>
      </w:tr>
      <w:tr w:rsidR="008A25C9" w14:paraId="2D705760" w14:textId="77777777">
        <w:tc>
          <w:tcPr>
            <w:tcW w:w="0" w:type="auto"/>
          </w:tcPr>
          <w:p w14:paraId="2DC6895F" w14:textId="77777777" w:rsidR="008A25C9" w:rsidRDefault="00000000">
            <w:pPr>
              <w:pStyle w:val="Compact"/>
            </w:pPr>
            <w:r>
              <w:t>Infrastructure</w:t>
            </w:r>
          </w:p>
        </w:tc>
        <w:tc>
          <w:tcPr>
            <w:tcW w:w="0" w:type="auto"/>
          </w:tcPr>
          <w:p w14:paraId="3490CC5E" w14:textId="77777777" w:rsidR="008A25C9" w:rsidRDefault="00000000">
            <w:pPr>
              <w:pStyle w:val="Compact"/>
            </w:pPr>
            <w:r>
              <w:t>17</w:t>
            </w:r>
          </w:p>
        </w:tc>
        <w:tc>
          <w:tcPr>
            <w:tcW w:w="0" w:type="auto"/>
          </w:tcPr>
          <w:p w14:paraId="31FCF73C" w14:textId="77777777" w:rsidR="008A25C9" w:rsidRDefault="00000000">
            <w:pPr>
              <w:pStyle w:val="Compact"/>
            </w:pPr>
            <w:r>
              <w:t>0.55</w:t>
            </w:r>
          </w:p>
        </w:tc>
        <w:tc>
          <w:tcPr>
            <w:tcW w:w="0" w:type="auto"/>
          </w:tcPr>
          <w:p w14:paraId="50A57E68" w14:textId="77777777" w:rsidR="008A25C9" w:rsidRDefault="00000000">
            <w:pPr>
              <w:pStyle w:val="Compact"/>
            </w:pPr>
            <w:r>
              <w:t>9.4</w:t>
            </w:r>
          </w:p>
        </w:tc>
        <w:tc>
          <w:tcPr>
            <w:tcW w:w="0" w:type="auto"/>
          </w:tcPr>
          <w:p w14:paraId="77EF2BCD" w14:textId="77777777" w:rsidR="008A25C9" w:rsidRDefault="00000000">
            <w:pPr>
              <w:pStyle w:val="Compact"/>
            </w:pPr>
            <w:r>
              <w:t>BRAIN++ AI Factory €90M + Discoverer+ (domestic); no SecNumCloud equivalent</w:t>
            </w:r>
          </w:p>
        </w:tc>
      </w:tr>
      <w:tr w:rsidR="008A25C9" w14:paraId="27FC6A6E" w14:textId="77777777">
        <w:tc>
          <w:tcPr>
            <w:tcW w:w="0" w:type="auto"/>
          </w:tcPr>
          <w:p w14:paraId="49D4DA1D" w14:textId="77777777" w:rsidR="008A25C9" w:rsidRDefault="00000000">
            <w:pPr>
              <w:pStyle w:val="Compact"/>
            </w:pPr>
            <w:r>
              <w:t>Hardware</w:t>
            </w:r>
          </w:p>
        </w:tc>
        <w:tc>
          <w:tcPr>
            <w:tcW w:w="0" w:type="auto"/>
          </w:tcPr>
          <w:p w14:paraId="05C05505" w14:textId="77777777" w:rsidR="008A25C9" w:rsidRDefault="00000000">
            <w:pPr>
              <w:pStyle w:val="Compact"/>
            </w:pPr>
            <w:r>
              <w:t>17</w:t>
            </w:r>
          </w:p>
        </w:tc>
        <w:tc>
          <w:tcPr>
            <w:tcW w:w="0" w:type="auto"/>
          </w:tcPr>
          <w:p w14:paraId="3E8A430F" w14:textId="77777777" w:rsidR="008A25C9" w:rsidRDefault="00000000">
            <w:pPr>
              <w:pStyle w:val="Compact"/>
            </w:pPr>
            <w:r>
              <w:t>0.25</w:t>
            </w:r>
          </w:p>
        </w:tc>
        <w:tc>
          <w:tcPr>
            <w:tcW w:w="0" w:type="auto"/>
          </w:tcPr>
          <w:p w14:paraId="593B70A9" w14:textId="77777777" w:rsidR="008A25C9" w:rsidRDefault="00000000">
            <w:pPr>
              <w:pStyle w:val="Compact"/>
            </w:pPr>
            <w:r>
              <w:t>4.3</w:t>
            </w:r>
          </w:p>
        </w:tc>
        <w:tc>
          <w:tcPr>
            <w:tcW w:w="0" w:type="auto"/>
          </w:tcPr>
          <w:p w14:paraId="585DF7E8" w14:textId="77777777" w:rsidR="008A25C9" w:rsidRDefault="00000000">
            <w:pPr>
              <w:pStyle w:val="Compact"/>
            </w:pPr>
            <w:r>
              <w:t>No indigenous design; NVIDIA via TSMC</w:t>
            </w:r>
          </w:p>
        </w:tc>
      </w:tr>
      <w:tr w:rsidR="008A25C9" w14:paraId="2CB54FF4" w14:textId="77777777">
        <w:tc>
          <w:tcPr>
            <w:tcW w:w="0" w:type="auto"/>
          </w:tcPr>
          <w:p w14:paraId="198BCE10" w14:textId="77777777" w:rsidR="008A25C9" w:rsidRDefault="00000000">
            <w:pPr>
              <w:pStyle w:val="Compact"/>
            </w:pPr>
            <w:r>
              <w:t>Manufacturing</w:t>
            </w:r>
          </w:p>
        </w:tc>
        <w:tc>
          <w:tcPr>
            <w:tcW w:w="0" w:type="auto"/>
          </w:tcPr>
          <w:p w14:paraId="236CF5F5" w14:textId="77777777" w:rsidR="008A25C9" w:rsidRDefault="00000000">
            <w:pPr>
              <w:pStyle w:val="Compact"/>
            </w:pPr>
            <w:r>
              <w:t>12</w:t>
            </w:r>
          </w:p>
        </w:tc>
        <w:tc>
          <w:tcPr>
            <w:tcW w:w="0" w:type="auto"/>
          </w:tcPr>
          <w:p w14:paraId="2624900C" w14:textId="77777777" w:rsidR="008A25C9" w:rsidRDefault="00000000">
            <w:pPr>
              <w:pStyle w:val="Compact"/>
            </w:pPr>
            <w:r>
              <w:t>0.05</w:t>
            </w:r>
          </w:p>
        </w:tc>
        <w:tc>
          <w:tcPr>
            <w:tcW w:w="0" w:type="auto"/>
          </w:tcPr>
          <w:p w14:paraId="63B6E03E" w14:textId="77777777" w:rsidR="008A25C9" w:rsidRDefault="00000000">
            <w:pPr>
              <w:pStyle w:val="Compact"/>
            </w:pPr>
            <w:r>
              <w:t>0.6</w:t>
            </w:r>
          </w:p>
        </w:tc>
        <w:tc>
          <w:tcPr>
            <w:tcW w:w="0" w:type="auto"/>
          </w:tcPr>
          <w:p w14:paraId="79C59A17" w14:textId="77777777" w:rsidR="008A25C9" w:rsidRDefault="00000000">
            <w:pPr>
              <w:pStyle w:val="Compact"/>
            </w:pPr>
            <w:r>
              <w:t>No fabs, packaging, or refining</w:t>
            </w:r>
          </w:p>
        </w:tc>
      </w:tr>
      <w:tr w:rsidR="008A25C9" w14:paraId="663E9FBC" w14:textId="77777777">
        <w:tc>
          <w:tcPr>
            <w:tcW w:w="0" w:type="auto"/>
          </w:tcPr>
          <w:p w14:paraId="42C91730" w14:textId="77777777" w:rsidR="008A25C9" w:rsidRDefault="00000000">
            <w:pPr>
              <w:pStyle w:val="Compact"/>
            </w:pPr>
            <w:r>
              <w:t>Software</w:t>
            </w:r>
          </w:p>
        </w:tc>
        <w:tc>
          <w:tcPr>
            <w:tcW w:w="0" w:type="auto"/>
          </w:tcPr>
          <w:p w14:paraId="378B5438" w14:textId="77777777" w:rsidR="008A25C9" w:rsidRDefault="00000000">
            <w:pPr>
              <w:pStyle w:val="Compact"/>
            </w:pPr>
            <w:r>
              <w:t>8</w:t>
            </w:r>
          </w:p>
        </w:tc>
        <w:tc>
          <w:tcPr>
            <w:tcW w:w="0" w:type="auto"/>
          </w:tcPr>
          <w:p w14:paraId="772AC2A1" w14:textId="77777777" w:rsidR="008A25C9" w:rsidRDefault="00000000">
            <w:pPr>
              <w:pStyle w:val="Compact"/>
            </w:pPr>
            <w:r>
              <w:t>0.45</w:t>
            </w:r>
          </w:p>
        </w:tc>
        <w:tc>
          <w:tcPr>
            <w:tcW w:w="0" w:type="auto"/>
          </w:tcPr>
          <w:p w14:paraId="3E7995F8" w14:textId="77777777" w:rsidR="008A25C9" w:rsidRDefault="00000000">
            <w:pPr>
              <w:pStyle w:val="Compact"/>
            </w:pPr>
            <w:r>
              <w:t>3.6</w:t>
            </w:r>
          </w:p>
        </w:tc>
        <w:tc>
          <w:tcPr>
            <w:tcW w:w="0" w:type="auto"/>
          </w:tcPr>
          <w:p w14:paraId="597B321E" w14:textId="77777777" w:rsidR="008A25C9" w:rsidRDefault="00000000">
            <w:pPr>
              <w:pStyle w:val="Compact"/>
            </w:pPr>
            <w:r>
              <w:t>Strong open-source culture; COMPL-AI toolkit</w:t>
            </w:r>
          </w:p>
        </w:tc>
      </w:tr>
      <w:tr w:rsidR="008A25C9" w14:paraId="0AB6D87B" w14:textId="77777777">
        <w:tc>
          <w:tcPr>
            <w:tcW w:w="0" w:type="auto"/>
          </w:tcPr>
          <w:p w14:paraId="0B82CC49" w14:textId="77777777" w:rsidR="008A25C9" w:rsidRDefault="00000000">
            <w:pPr>
              <w:pStyle w:val="Compact"/>
            </w:pPr>
            <w:r>
              <w:t>Human capital</w:t>
            </w:r>
          </w:p>
        </w:tc>
        <w:tc>
          <w:tcPr>
            <w:tcW w:w="0" w:type="auto"/>
          </w:tcPr>
          <w:p w14:paraId="33E3CFF5" w14:textId="77777777" w:rsidR="008A25C9" w:rsidRDefault="00000000">
            <w:pPr>
              <w:pStyle w:val="Compact"/>
            </w:pPr>
            <w:r>
              <w:t>12</w:t>
            </w:r>
          </w:p>
        </w:tc>
        <w:tc>
          <w:tcPr>
            <w:tcW w:w="0" w:type="auto"/>
          </w:tcPr>
          <w:p w14:paraId="45ADAFC3" w14:textId="77777777" w:rsidR="008A25C9" w:rsidRDefault="00000000">
            <w:pPr>
              <w:pStyle w:val="Compact"/>
            </w:pPr>
            <w:r>
              <w:t>0.65</w:t>
            </w:r>
          </w:p>
        </w:tc>
        <w:tc>
          <w:tcPr>
            <w:tcW w:w="0" w:type="auto"/>
          </w:tcPr>
          <w:p w14:paraId="333CA9CD" w14:textId="77777777" w:rsidR="008A25C9" w:rsidRDefault="00000000">
            <w:pPr>
              <w:pStyle w:val="Compact"/>
            </w:pPr>
            <w:r>
              <w:t>7.8</w:t>
            </w:r>
          </w:p>
        </w:tc>
        <w:tc>
          <w:tcPr>
            <w:tcW w:w="0" w:type="auto"/>
          </w:tcPr>
          <w:p w14:paraId="394AEEC5" w14:textId="77777777" w:rsidR="008A25C9" w:rsidRDefault="00000000">
            <w:pPr>
              <w:pStyle w:val="Compact"/>
            </w:pPr>
            <w:r>
              <w:t>INSAIT at CSRankings #14 Europe, #1 Eastern Europe</w:t>
            </w:r>
          </w:p>
        </w:tc>
      </w:tr>
      <w:tr w:rsidR="008A25C9" w14:paraId="3A6D25BC" w14:textId="77777777">
        <w:tc>
          <w:tcPr>
            <w:tcW w:w="0" w:type="auto"/>
          </w:tcPr>
          <w:p w14:paraId="239BA327" w14:textId="77777777" w:rsidR="008A25C9" w:rsidRDefault="00000000">
            <w:pPr>
              <w:pStyle w:val="Compact"/>
            </w:pPr>
            <w:r>
              <w:t>Regulatory</w:t>
            </w:r>
          </w:p>
        </w:tc>
        <w:tc>
          <w:tcPr>
            <w:tcW w:w="0" w:type="auto"/>
          </w:tcPr>
          <w:p w14:paraId="24CED90D" w14:textId="77777777" w:rsidR="008A25C9" w:rsidRDefault="00000000">
            <w:pPr>
              <w:pStyle w:val="Compact"/>
            </w:pPr>
            <w:r>
              <w:t>8</w:t>
            </w:r>
          </w:p>
        </w:tc>
        <w:tc>
          <w:tcPr>
            <w:tcW w:w="0" w:type="auto"/>
          </w:tcPr>
          <w:p w14:paraId="2E697EF2" w14:textId="77777777" w:rsidR="008A25C9" w:rsidRDefault="00000000">
            <w:pPr>
              <w:pStyle w:val="Compact"/>
            </w:pPr>
            <w:r>
              <w:t>0.55</w:t>
            </w:r>
          </w:p>
        </w:tc>
        <w:tc>
          <w:tcPr>
            <w:tcW w:w="0" w:type="auto"/>
          </w:tcPr>
          <w:p w14:paraId="2037DEBC" w14:textId="77777777" w:rsidR="008A25C9" w:rsidRDefault="00000000">
            <w:pPr>
              <w:pStyle w:val="Compact"/>
            </w:pPr>
            <w:r>
              <w:t>4.4</w:t>
            </w:r>
          </w:p>
        </w:tc>
        <w:tc>
          <w:tcPr>
            <w:tcW w:w="0" w:type="auto"/>
          </w:tcPr>
          <w:p w14:paraId="1A689D74" w14:textId="77777777" w:rsidR="008A25C9" w:rsidRDefault="00000000">
            <w:pPr>
              <w:pStyle w:val="Compact"/>
            </w:pPr>
            <w:r>
              <w:t>AI Act applies automatically; limited rule-making weight</w:t>
            </w:r>
          </w:p>
        </w:tc>
      </w:tr>
      <w:tr w:rsidR="008A25C9" w14:paraId="0624B45A" w14:textId="77777777">
        <w:tc>
          <w:tcPr>
            <w:tcW w:w="0" w:type="auto"/>
          </w:tcPr>
          <w:p w14:paraId="084D78CA" w14:textId="77777777" w:rsidR="008A25C9" w:rsidRDefault="00000000">
            <w:pPr>
              <w:pStyle w:val="Compact"/>
            </w:pPr>
            <w:r>
              <w:rPr>
                <w:b/>
              </w:rPr>
              <w:t>Pillar total</w:t>
            </w:r>
          </w:p>
        </w:tc>
        <w:tc>
          <w:tcPr>
            <w:tcW w:w="0" w:type="auto"/>
          </w:tcPr>
          <w:p w14:paraId="1F1F888B" w14:textId="77777777" w:rsidR="008A25C9" w:rsidRDefault="00000000">
            <w:pPr>
              <w:pStyle w:val="Compact"/>
            </w:pPr>
            <w:r>
              <w:rPr>
                <w:b/>
              </w:rPr>
              <w:t>100</w:t>
            </w:r>
          </w:p>
        </w:tc>
        <w:tc>
          <w:tcPr>
            <w:tcW w:w="0" w:type="auto"/>
          </w:tcPr>
          <w:p w14:paraId="17C607F4" w14:textId="77777777" w:rsidR="008A25C9" w:rsidRDefault="008A25C9"/>
        </w:tc>
        <w:tc>
          <w:tcPr>
            <w:tcW w:w="0" w:type="auto"/>
          </w:tcPr>
          <w:p w14:paraId="232BCBBF" w14:textId="77777777" w:rsidR="008A25C9" w:rsidRDefault="00000000">
            <w:pPr>
              <w:pStyle w:val="Compact"/>
            </w:pPr>
            <w:r>
              <w:rPr>
                <w:b/>
              </w:rPr>
              <w:t>~45.9</w:t>
            </w:r>
          </w:p>
        </w:tc>
        <w:tc>
          <w:tcPr>
            <w:tcW w:w="0" w:type="auto"/>
          </w:tcPr>
          <w:p w14:paraId="62342963" w14:textId="77777777" w:rsidR="008A25C9" w:rsidRDefault="008A25C9"/>
        </w:tc>
      </w:tr>
    </w:tbl>
    <w:p w14:paraId="49279E10" w14:textId="77777777" w:rsidR="008A25C9" w:rsidRDefault="00000000">
      <w:pPr>
        <w:pStyle w:val="BodyText"/>
      </w:pPr>
      <w:r>
        <w:t xml:space="preserve">Modifiers, in order: rule-stability ×0.95 (low-moderate exposure as an EU state deliberately in the EU procurement fold) on Hardware (4.3→4.1) and Models (8.8→8.4), total ~45.2; alliance ×1.00 (neutral EU position) — unchanged; operating-model </w:t>
      </w:r>
      <w:r>
        <w:rPr>
          <w:b/>
        </w:rPr>
        <w:t>+1</w:t>
      </w:r>
      <w:r>
        <w:t xml:space="preserve"> (INSAIT coherent, resourced, explicitly open; untested through a change of government). </w:t>
      </w:r>
      <w:r>
        <w:rPr>
          <w:b/>
        </w:rPr>
        <w:t>Final ~46</w:t>
      </w:r>
      <w:r>
        <w:t xml:space="preserve"> — just inside Partially autonomous (45–64). What holds Bulgaria back is structural: no chip industry, no manufacturing; that gap closes only through Europe-wide infrastructure.</w:t>
      </w:r>
    </w:p>
    <w:p w14:paraId="0FE79C97" w14:textId="77777777" w:rsidR="008A25C9" w:rsidRDefault="00000000">
      <w:pPr>
        <w:pStyle w:val="Heading3"/>
      </w:pPr>
      <w:bookmarkStart w:id="93" w:name="france-70"/>
      <w:r>
        <w:t>3.2 France — ~70</w:t>
      </w:r>
      <w:bookmarkEnd w:id="93"/>
    </w:p>
    <w:p w14:paraId="436EF8FD" w14:textId="77777777" w:rsidR="008A25C9" w:rsidRDefault="00000000">
      <w:pPr>
        <w:pStyle w:val="FirstParagraph"/>
      </w:pPr>
      <w:r>
        <w:t>Europe’s clearest example of sovereign AI: Mistral (valued €11.7B after the ASML-led round), SecNumCloud with qualified providers including S3NS, SiPearl building a home-</w:t>
      </w:r>
      <w:r>
        <w:lastRenderedPageBreak/>
        <w:t>grown CPU, €109B announced at the 2025 summit, and an active hand in writing the EU’s rules.</w:t>
      </w:r>
    </w:p>
    <w:tbl>
      <w:tblPr>
        <w:tblStyle w:val="Table"/>
        <w:tblW w:w="5000" w:type="pct"/>
        <w:tblLook w:val="07E0" w:firstRow="1" w:lastRow="1" w:firstColumn="1" w:lastColumn="1" w:noHBand="1" w:noVBand="1"/>
      </w:tblPr>
      <w:tblGrid>
        <w:gridCol w:w="1736"/>
        <w:gridCol w:w="951"/>
        <w:gridCol w:w="690"/>
        <w:gridCol w:w="840"/>
        <w:gridCol w:w="5143"/>
      </w:tblGrid>
      <w:tr w:rsidR="008A25C9" w14:paraId="3C269169" w14:textId="77777777">
        <w:tc>
          <w:tcPr>
            <w:tcW w:w="0" w:type="auto"/>
            <w:tcBorders>
              <w:bottom w:val="single" w:sz="0" w:space="0" w:color="auto"/>
            </w:tcBorders>
            <w:vAlign w:val="bottom"/>
          </w:tcPr>
          <w:p w14:paraId="1352DB3A" w14:textId="77777777" w:rsidR="008A25C9" w:rsidRDefault="00000000">
            <w:pPr>
              <w:pStyle w:val="Compact"/>
            </w:pPr>
            <w:r>
              <w:t>Pillar</w:t>
            </w:r>
          </w:p>
        </w:tc>
        <w:tc>
          <w:tcPr>
            <w:tcW w:w="0" w:type="auto"/>
            <w:tcBorders>
              <w:bottom w:val="single" w:sz="0" w:space="0" w:color="auto"/>
            </w:tcBorders>
            <w:vAlign w:val="bottom"/>
          </w:tcPr>
          <w:p w14:paraId="6CB10753" w14:textId="77777777" w:rsidR="008A25C9" w:rsidRDefault="00000000">
            <w:pPr>
              <w:pStyle w:val="Compact"/>
            </w:pPr>
            <w:r>
              <w:t>Weight</w:t>
            </w:r>
          </w:p>
        </w:tc>
        <w:tc>
          <w:tcPr>
            <w:tcW w:w="0" w:type="auto"/>
            <w:tcBorders>
              <w:bottom w:val="single" w:sz="0" w:space="0" w:color="auto"/>
            </w:tcBorders>
            <w:vAlign w:val="bottom"/>
          </w:tcPr>
          <w:p w14:paraId="5E72F163" w14:textId="77777777" w:rsidR="008A25C9" w:rsidRDefault="00000000">
            <w:pPr>
              <w:pStyle w:val="Compact"/>
            </w:pPr>
            <w:r>
              <w:t>Raw</w:t>
            </w:r>
          </w:p>
        </w:tc>
        <w:tc>
          <w:tcPr>
            <w:tcW w:w="0" w:type="auto"/>
            <w:tcBorders>
              <w:bottom w:val="single" w:sz="0" w:space="0" w:color="auto"/>
            </w:tcBorders>
            <w:vAlign w:val="bottom"/>
          </w:tcPr>
          <w:p w14:paraId="7AA354ED" w14:textId="77777777" w:rsidR="008A25C9" w:rsidRDefault="00000000">
            <w:pPr>
              <w:pStyle w:val="Compact"/>
            </w:pPr>
            <w:r>
              <w:t>Score</w:t>
            </w:r>
          </w:p>
        </w:tc>
        <w:tc>
          <w:tcPr>
            <w:tcW w:w="0" w:type="auto"/>
            <w:tcBorders>
              <w:bottom w:val="single" w:sz="0" w:space="0" w:color="auto"/>
            </w:tcBorders>
            <w:vAlign w:val="bottom"/>
          </w:tcPr>
          <w:p w14:paraId="66FE12DD" w14:textId="77777777" w:rsidR="008A25C9" w:rsidRDefault="00000000">
            <w:pPr>
              <w:pStyle w:val="Compact"/>
            </w:pPr>
            <w:r>
              <w:t>Note</w:t>
            </w:r>
          </w:p>
        </w:tc>
      </w:tr>
      <w:tr w:rsidR="008A25C9" w14:paraId="047BBCC1" w14:textId="77777777">
        <w:tc>
          <w:tcPr>
            <w:tcW w:w="0" w:type="auto"/>
          </w:tcPr>
          <w:p w14:paraId="2EA53CEA" w14:textId="77777777" w:rsidR="008A25C9" w:rsidRDefault="00000000">
            <w:pPr>
              <w:pStyle w:val="Compact"/>
            </w:pPr>
            <w:r>
              <w:t>Data</w:t>
            </w:r>
          </w:p>
        </w:tc>
        <w:tc>
          <w:tcPr>
            <w:tcW w:w="0" w:type="auto"/>
          </w:tcPr>
          <w:p w14:paraId="141EB9B2" w14:textId="77777777" w:rsidR="008A25C9" w:rsidRDefault="00000000">
            <w:pPr>
              <w:pStyle w:val="Compact"/>
            </w:pPr>
            <w:r>
              <w:t>10</w:t>
            </w:r>
          </w:p>
        </w:tc>
        <w:tc>
          <w:tcPr>
            <w:tcW w:w="0" w:type="auto"/>
          </w:tcPr>
          <w:p w14:paraId="79C6AF96" w14:textId="77777777" w:rsidR="008A25C9" w:rsidRDefault="00000000">
            <w:pPr>
              <w:pStyle w:val="Compact"/>
            </w:pPr>
            <w:r>
              <w:t>0.70</w:t>
            </w:r>
          </w:p>
        </w:tc>
        <w:tc>
          <w:tcPr>
            <w:tcW w:w="0" w:type="auto"/>
          </w:tcPr>
          <w:p w14:paraId="564B0A19" w14:textId="77777777" w:rsidR="008A25C9" w:rsidRDefault="00000000">
            <w:pPr>
              <w:pStyle w:val="Compact"/>
            </w:pPr>
            <w:r>
              <w:t>7.0</w:t>
            </w:r>
          </w:p>
        </w:tc>
        <w:tc>
          <w:tcPr>
            <w:tcW w:w="0" w:type="auto"/>
          </w:tcPr>
          <w:p w14:paraId="17CF3D9F" w14:textId="77777777" w:rsidR="008A25C9" w:rsidRDefault="00000000">
            <w:pPr>
              <w:pStyle w:val="Compact"/>
            </w:pPr>
            <w:r>
              <w:t>Strong public data; excellent French corpus</w:t>
            </w:r>
          </w:p>
        </w:tc>
      </w:tr>
      <w:tr w:rsidR="008A25C9" w14:paraId="11532800" w14:textId="77777777">
        <w:tc>
          <w:tcPr>
            <w:tcW w:w="0" w:type="auto"/>
          </w:tcPr>
          <w:p w14:paraId="1A04F03D" w14:textId="77777777" w:rsidR="008A25C9" w:rsidRDefault="00000000">
            <w:pPr>
              <w:pStyle w:val="Compact"/>
            </w:pPr>
            <w:r>
              <w:t>Models</w:t>
            </w:r>
          </w:p>
        </w:tc>
        <w:tc>
          <w:tcPr>
            <w:tcW w:w="0" w:type="auto"/>
          </w:tcPr>
          <w:p w14:paraId="4A810982" w14:textId="77777777" w:rsidR="008A25C9" w:rsidRDefault="00000000">
            <w:pPr>
              <w:pStyle w:val="Compact"/>
            </w:pPr>
            <w:r>
              <w:t>16</w:t>
            </w:r>
          </w:p>
        </w:tc>
        <w:tc>
          <w:tcPr>
            <w:tcW w:w="0" w:type="auto"/>
          </w:tcPr>
          <w:p w14:paraId="5356A6A7" w14:textId="77777777" w:rsidR="008A25C9" w:rsidRDefault="00000000">
            <w:pPr>
              <w:pStyle w:val="Compact"/>
            </w:pPr>
            <w:r>
              <w:t>0.85</w:t>
            </w:r>
          </w:p>
        </w:tc>
        <w:tc>
          <w:tcPr>
            <w:tcW w:w="0" w:type="auto"/>
          </w:tcPr>
          <w:p w14:paraId="3E443A1F" w14:textId="77777777" w:rsidR="008A25C9" w:rsidRDefault="00000000">
            <w:pPr>
              <w:pStyle w:val="Compact"/>
            </w:pPr>
            <w:r>
              <w:t>13.6</w:t>
            </w:r>
          </w:p>
        </w:tc>
        <w:tc>
          <w:tcPr>
            <w:tcW w:w="0" w:type="auto"/>
          </w:tcPr>
          <w:p w14:paraId="5A768EDA" w14:textId="77777777" w:rsidR="008A25C9" w:rsidRDefault="00000000">
            <w:pPr>
              <w:pStyle w:val="Compact"/>
            </w:pPr>
            <w:r>
              <w:t>Mistral Large/Medium/Le Chat; Europe’s only top-10 global firm</w:t>
            </w:r>
          </w:p>
        </w:tc>
      </w:tr>
      <w:tr w:rsidR="008A25C9" w14:paraId="479AD6EC" w14:textId="77777777">
        <w:tc>
          <w:tcPr>
            <w:tcW w:w="0" w:type="auto"/>
          </w:tcPr>
          <w:p w14:paraId="3E324392" w14:textId="77777777" w:rsidR="008A25C9" w:rsidRDefault="00000000">
            <w:pPr>
              <w:pStyle w:val="Compact"/>
            </w:pPr>
            <w:r>
              <w:t>Infrastructure</w:t>
            </w:r>
          </w:p>
        </w:tc>
        <w:tc>
          <w:tcPr>
            <w:tcW w:w="0" w:type="auto"/>
          </w:tcPr>
          <w:p w14:paraId="2956FB07" w14:textId="77777777" w:rsidR="008A25C9" w:rsidRDefault="00000000">
            <w:pPr>
              <w:pStyle w:val="Compact"/>
            </w:pPr>
            <w:r>
              <w:t>17</w:t>
            </w:r>
          </w:p>
        </w:tc>
        <w:tc>
          <w:tcPr>
            <w:tcW w:w="0" w:type="auto"/>
          </w:tcPr>
          <w:p w14:paraId="08E8FDDC" w14:textId="77777777" w:rsidR="008A25C9" w:rsidRDefault="00000000">
            <w:pPr>
              <w:pStyle w:val="Compact"/>
            </w:pPr>
            <w:r>
              <w:t>0.80</w:t>
            </w:r>
          </w:p>
        </w:tc>
        <w:tc>
          <w:tcPr>
            <w:tcW w:w="0" w:type="auto"/>
          </w:tcPr>
          <w:p w14:paraId="6D5F8AE1" w14:textId="77777777" w:rsidR="008A25C9" w:rsidRDefault="00000000">
            <w:pPr>
              <w:pStyle w:val="Compact"/>
            </w:pPr>
            <w:r>
              <w:t>13.6</w:t>
            </w:r>
          </w:p>
        </w:tc>
        <w:tc>
          <w:tcPr>
            <w:tcW w:w="0" w:type="auto"/>
          </w:tcPr>
          <w:p w14:paraId="055FCF28" w14:textId="77777777" w:rsidR="008A25C9" w:rsidRDefault="00000000">
            <w:pPr>
              <w:pStyle w:val="Compact"/>
            </w:pPr>
            <w:r>
              <w:t>UAE-MGX campus + Mistral Essonne + SecNumCloud + Alice Recoque exascale</w:t>
            </w:r>
          </w:p>
        </w:tc>
      </w:tr>
      <w:tr w:rsidR="008A25C9" w14:paraId="32D1E867" w14:textId="77777777">
        <w:tc>
          <w:tcPr>
            <w:tcW w:w="0" w:type="auto"/>
          </w:tcPr>
          <w:p w14:paraId="1A33E7B7" w14:textId="77777777" w:rsidR="008A25C9" w:rsidRDefault="00000000">
            <w:pPr>
              <w:pStyle w:val="Compact"/>
            </w:pPr>
            <w:r>
              <w:t>Hardware</w:t>
            </w:r>
          </w:p>
        </w:tc>
        <w:tc>
          <w:tcPr>
            <w:tcW w:w="0" w:type="auto"/>
          </w:tcPr>
          <w:p w14:paraId="544D1200" w14:textId="77777777" w:rsidR="008A25C9" w:rsidRDefault="00000000">
            <w:pPr>
              <w:pStyle w:val="Compact"/>
            </w:pPr>
            <w:r>
              <w:t>17</w:t>
            </w:r>
          </w:p>
        </w:tc>
        <w:tc>
          <w:tcPr>
            <w:tcW w:w="0" w:type="auto"/>
          </w:tcPr>
          <w:p w14:paraId="2BB85E85" w14:textId="77777777" w:rsidR="008A25C9" w:rsidRDefault="00000000">
            <w:pPr>
              <w:pStyle w:val="Compact"/>
            </w:pPr>
            <w:r>
              <w:t>0.50</w:t>
            </w:r>
          </w:p>
        </w:tc>
        <w:tc>
          <w:tcPr>
            <w:tcW w:w="0" w:type="auto"/>
          </w:tcPr>
          <w:p w14:paraId="5B0EE9F5" w14:textId="77777777" w:rsidR="008A25C9" w:rsidRDefault="00000000">
            <w:pPr>
              <w:pStyle w:val="Compact"/>
            </w:pPr>
            <w:r>
              <w:t>8.5</w:t>
            </w:r>
          </w:p>
        </w:tc>
        <w:tc>
          <w:tcPr>
            <w:tcW w:w="0" w:type="auto"/>
          </w:tcPr>
          <w:p w14:paraId="66324D71" w14:textId="77777777" w:rsidR="008A25C9" w:rsidRDefault="00000000">
            <w:pPr>
              <w:pStyle w:val="Compact"/>
            </w:pPr>
            <w:r>
              <w:t>SiPearl Rhea1 sampling; still TSMC/ARM underneath</w:t>
            </w:r>
          </w:p>
        </w:tc>
      </w:tr>
      <w:tr w:rsidR="008A25C9" w14:paraId="1AF606E8" w14:textId="77777777">
        <w:tc>
          <w:tcPr>
            <w:tcW w:w="0" w:type="auto"/>
          </w:tcPr>
          <w:p w14:paraId="39CD9707" w14:textId="77777777" w:rsidR="008A25C9" w:rsidRDefault="00000000">
            <w:pPr>
              <w:pStyle w:val="Compact"/>
            </w:pPr>
            <w:r>
              <w:t>Manufacturing</w:t>
            </w:r>
          </w:p>
        </w:tc>
        <w:tc>
          <w:tcPr>
            <w:tcW w:w="0" w:type="auto"/>
          </w:tcPr>
          <w:p w14:paraId="1F27B8B1" w14:textId="77777777" w:rsidR="008A25C9" w:rsidRDefault="00000000">
            <w:pPr>
              <w:pStyle w:val="Compact"/>
            </w:pPr>
            <w:r>
              <w:t>12</w:t>
            </w:r>
          </w:p>
        </w:tc>
        <w:tc>
          <w:tcPr>
            <w:tcW w:w="0" w:type="auto"/>
          </w:tcPr>
          <w:p w14:paraId="51E52D46" w14:textId="77777777" w:rsidR="008A25C9" w:rsidRDefault="00000000">
            <w:pPr>
              <w:pStyle w:val="Compact"/>
            </w:pPr>
            <w:r>
              <w:t>0.15</w:t>
            </w:r>
          </w:p>
        </w:tc>
        <w:tc>
          <w:tcPr>
            <w:tcW w:w="0" w:type="auto"/>
          </w:tcPr>
          <w:p w14:paraId="6006C180" w14:textId="77777777" w:rsidR="008A25C9" w:rsidRDefault="00000000">
            <w:pPr>
              <w:pStyle w:val="Compact"/>
            </w:pPr>
            <w:r>
              <w:t>1.8</w:t>
            </w:r>
          </w:p>
        </w:tc>
        <w:tc>
          <w:tcPr>
            <w:tcW w:w="0" w:type="auto"/>
          </w:tcPr>
          <w:p w14:paraId="7E3A3AFD" w14:textId="77777777" w:rsidR="008A25C9" w:rsidRDefault="00000000">
            <w:pPr>
              <w:pStyle w:val="Compact"/>
            </w:pPr>
            <w:r>
              <w:t>No leading edge; STMicro mature nodes; Soitec wafers</w:t>
            </w:r>
          </w:p>
        </w:tc>
      </w:tr>
      <w:tr w:rsidR="008A25C9" w14:paraId="45D3903A" w14:textId="77777777">
        <w:tc>
          <w:tcPr>
            <w:tcW w:w="0" w:type="auto"/>
          </w:tcPr>
          <w:p w14:paraId="6B73A3A8" w14:textId="77777777" w:rsidR="008A25C9" w:rsidRDefault="00000000">
            <w:pPr>
              <w:pStyle w:val="Compact"/>
            </w:pPr>
            <w:r>
              <w:t>Software</w:t>
            </w:r>
          </w:p>
        </w:tc>
        <w:tc>
          <w:tcPr>
            <w:tcW w:w="0" w:type="auto"/>
          </w:tcPr>
          <w:p w14:paraId="4E5A58C5" w14:textId="77777777" w:rsidR="008A25C9" w:rsidRDefault="00000000">
            <w:pPr>
              <w:pStyle w:val="Compact"/>
            </w:pPr>
            <w:r>
              <w:t>8</w:t>
            </w:r>
          </w:p>
        </w:tc>
        <w:tc>
          <w:tcPr>
            <w:tcW w:w="0" w:type="auto"/>
          </w:tcPr>
          <w:p w14:paraId="7B0C5741" w14:textId="77777777" w:rsidR="008A25C9" w:rsidRDefault="00000000">
            <w:pPr>
              <w:pStyle w:val="Compact"/>
            </w:pPr>
            <w:r>
              <w:t>0.55</w:t>
            </w:r>
          </w:p>
        </w:tc>
        <w:tc>
          <w:tcPr>
            <w:tcW w:w="0" w:type="auto"/>
          </w:tcPr>
          <w:p w14:paraId="237C42B7" w14:textId="77777777" w:rsidR="008A25C9" w:rsidRDefault="00000000">
            <w:pPr>
              <w:pStyle w:val="Compact"/>
            </w:pPr>
            <w:r>
              <w:t>4.4</w:t>
            </w:r>
          </w:p>
        </w:tc>
        <w:tc>
          <w:tcPr>
            <w:tcW w:w="0" w:type="auto"/>
          </w:tcPr>
          <w:p w14:paraId="711821BF" w14:textId="77777777" w:rsidR="008A25C9" w:rsidRDefault="00000000">
            <w:pPr>
              <w:pStyle w:val="Compact"/>
            </w:pPr>
            <w:r>
              <w:t>Strong FOSS; orchestration US-dominated</w:t>
            </w:r>
          </w:p>
        </w:tc>
      </w:tr>
      <w:tr w:rsidR="008A25C9" w14:paraId="46CB2982" w14:textId="77777777">
        <w:tc>
          <w:tcPr>
            <w:tcW w:w="0" w:type="auto"/>
          </w:tcPr>
          <w:p w14:paraId="6050D3DD" w14:textId="77777777" w:rsidR="008A25C9" w:rsidRDefault="00000000">
            <w:pPr>
              <w:pStyle w:val="Compact"/>
            </w:pPr>
            <w:r>
              <w:t>Human capital</w:t>
            </w:r>
          </w:p>
        </w:tc>
        <w:tc>
          <w:tcPr>
            <w:tcW w:w="0" w:type="auto"/>
          </w:tcPr>
          <w:p w14:paraId="17DCBA7A" w14:textId="77777777" w:rsidR="008A25C9" w:rsidRDefault="00000000">
            <w:pPr>
              <w:pStyle w:val="Compact"/>
            </w:pPr>
            <w:r>
              <w:t>12</w:t>
            </w:r>
          </w:p>
        </w:tc>
        <w:tc>
          <w:tcPr>
            <w:tcW w:w="0" w:type="auto"/>
          </w:tcPr>
          <w:p w14:paraId="09EA9119" w14:textId="77777777" w:rsidR="008A25C9" w:rsidRDefault="00000000">
            <w:pPr>
              <w:pStyle w:val="Compact"/>
            </w:pPr>
            <w:r>
              <w:t>0.85</w:t>
            </w:r>
          </w:p>
        </w:tc>
        <w:tc>
          <w:tcPr>
            <w:tcW w:w="0" w:type="auto"/>
          </w:tcPr>
          <w:p w14:paraId="06CD1718" w14:textId="77777777" w:rsidR="008A25C9" w:rsidRDefault="00000000">
            <w:pPr>
              <w:pStyle w:val="Compact"/>
            </w:pPr>
            <w:r>
              <w:t>10.2</w:t>
            </w:r>
          </w:p>
        </w:tc>
        <w:tc>
          <w:tcPr>
            <w:tcW w:w="0" w:type="auto"/>
          </w:tcPr>
          <w:p w14:paraId="04FBB13D" w14:textId="77777777" w:rsidR="008A25C9" w:rsidRDefault="00000000">
            <w:pPr>
              <w:pStyle w:val="Compact"/>
            </w:pPr>
            <w:r>
              <w:t>Polytechnique, ENS, Inria, CNRS; returnee pipeline at Mistral</w:t>
            </w:r>
          </w:p>
        </w:tc>
      </w:tr>
      <w:tr w:rsidR="008A25C9" w14:paraId="5061D634" w14:textId="77777777">
        <w:tc>
          <w:tcPr>
            <w:tcW w:w="0" w:type="auto"/>
          </w:tcPr>
          <w:p w14:paraId="7B042A7A" w14:textId="77777777" w:rsidR="008A25C9" w:rsidRDefault="00000000">
            <w:pPr>
              <w:pStyle w:val="Compact"/>
            </w:pPr>
            <w:r>
              <w:t>Regulatory</w:t>
            </w:r>
          </w:p>
        </w:tc>
        <w:tc>
          <w:tcPr>
            <w:tcW w:w="0" w:type="auto"/>
          </w:tcPr>
          <w:p w14:paraId="69DE8ABF" w14:textId="77777777" w:rsidR="008A25C9" w:rsidRDefault="00000000">
            <w:pPr>
              <w:pStyle w:val="Compact"/>
            </w:pPr>
            <w:r>
              <w:t>8</w:t>
            </w:r>
          </w:p>
        </w:tc>
        <w:tc>
          <w:tcPr>
            <w:tcW w:w="0" w:type="auto"/>
          </w:tcPr>
          <w:p w14:paraId="197DA7F7" w14:textId="77777777" w:rsidR="008A25C9" w:rsidRDefault="00000000">
            <w:pPr>
              <w:pStyle w:val="Compact"/>
            </w:pPr>
            <w:r>
              <w:t>0.90</w:t>
            </w:r>
          </w:p>
        </w:tc>
        <w:tc>
          <w:tcPr>
            <w:tcW w:w="0" w:type="auto"/>
          </w:tcPr>
          <w:p w14:paraId="04A17BC3" w14:textId="77777777" w:rsidR="008A25C9" w:rsidRDefault="00000000">
            <w:pPr>
              <w:pStyle w:val="Compact"/>
            </w:pPr>
            <w:r>
              <w:t>7.2</w:t>
            </w:r>
          </w:p>
        </w:tc>
        <w:tc>
          <w:tcPr>
            <w:tcW w:w="0" w:type="auto"/>
          </w:tcPr>
          <w:p w14:paraId="421590D3" w14:textId="77777777" w:rsidR="008A25C9" w:rsidRDefault="00000000">
            <w:pPr>
              <w:pStyle w:val="Compact"/>
            </w:pPr>
            <w:r>
              <w:t>Summit host; AI Act leadership; SecNumCloud as exported standard</w:t>
            </w:r>
          </w:p>
        </w:tc>
      </w:tr>
      <w:tr w:rsidR="008A25C9" w14:paraId="059158E5" w14:textId="77777777">
        <w:tc>
          <w:tcPr>
            <w:tcW w:w="0" w:type="auto"/>
          </w:tcPr>
          <w:p w14:paraId="546363C7" w14:textId="77777777" w:rsidR="008A25C9" w:rsidRDefault="00000000">
            <w:pPr>
              <w:pStyle w:val="Compact"/>
            </w:pPr>
            <w:r>
              <w:rPr>
                <w:b/>
              </w:rPr>
              <w:t>Pillar total</w:t>
            </w:r>
          </w:p>
        </w:tc>
        <w:tc>
          <w:tcPr>
            <w:tcW w:w="0" w:type="auto"/>
          </w:tcPr>
          <w:p w14:paraId="03F7AFCD" w14:textId="77777777" w:rsidR="008A25C9" w:rsidRDefault="00000000">
            <w:pPr>
              <w:pStyle w:val="Compact"/>
            </w:pPr>
            <w:r>
              <w:rPr>
                <w:b/>
              </w:rPr>
              <w:t>100</w:t>
            </w:r>
          </w:p>
        </w:tc>
        <w:tc>
          <w:tcPr>
            <w:tcW w:w="0" w:type="auto"/>
          </w:tcPr>
          <w:p w14:paraId="501FEB2B" w14:textId="77777777" w:rsidR="008A25C9" w:rsidRDefault="008A25C9"/>
        </w:tc>
        <w:tc>
          <w:tcPr>
            <w:tcW w:w="0" w:type="auto"/>
          </w:tcPr>
          <w:p w14:paraId="738DA417" w14:textId="77777777" w:rsidR="008A25C9" w:rsidRDefault="00000000">
            <w:pPr>
              <w:pStyle w:val="Compact"/>
            </w:pPr>
            <w:r>
              <w:rPr>
                <w:b/>
              </w:rPr>
              <w:t>~66.3</w:t>
            </w:r>
          </w:p>
        </w:tc>
        <w:tc>
          <w:tcPr>
            <w:tcW w:w="0" w:type="auto"/>
          </w:tcPr>
          <w:p w14:paraId="1BDCED89" w14:textId="77777777" w:rsidR="008A25C9" w:rsidRDefault="008A25C9"/>
        </w:tc>
      </w:tr>
    </w:tbl>
    <w:p w14:paraId="340BFE8B" w14:textId="77777777" w:rsidR="008A25C9" w:rsidRDefault="00000000">
      <w:pPr>
        <w:pStyle w:val="BodyText"/>
      </w:pPr>
      <w:r>
        <w:t xml:space="preserve">Modifiers, in order: rule-stability ×0.95 (low exposure — deliberately multi-supplier, with domestic model capability, but US-supplied accelerators) on Hardware (8.5→8.1) and Models (13.6→12.9), total ~65.2; alliance ×1.12 (Tier-1 ally) on Hardware, Models, Infrastructure (8.1 + 12.9 + 13.6 = 34.6 → 38.7), total ~69.4; operating-model </w:t>
      </w:r>
      <w:r>
        <w:rPr>
          <w:b/>
        </w:rPr>
        <w:t>+1</w:t>
      </w:r>
      <w:r>
        <w:t xml:space="preserve"> (Mistral as national champion — disciplined and state-aligned, untested through upheaval). </w:t>
      </w:r>
      <w:r>
        <w:rPr>
          <w:b/>
        </w:rPr>
        <w:t>Final ~70</w:t>
      </w:r>
      <w:r>
        <w:t xml:space="preserve"> — Strategically autonomous. Note what the two multipliers did: alliance added ~4 points of borrowed access, and rule-stability took ~1 back for the exposure that comes with it. What keeps France below 80 is manufacturing and home-grown accelerators. (Earlier revisions added an ad-hoc “+5 rule-setting bonus” here; v0.7.1 removes it — rule-making strength is already priced in the 0.90 Regulatory raw score.)</w:t>
      </w:r>
    </w:p>
    <w:p w14:paraId="4B30DA8F" w14:textId="77777777" w:rsidR="008A25C9" w:rsidRDefault="00000000">
      <w:pPr>
        <w:pStyle w:val="Heading3"/>
      </w:pPr>
      <w:bookmarkStart w:id="94" w:name="uae-57"/>
      <w:r>
        <w:t>3.3 UAE — ~57</w:t>
      </w:r>
      <w:bookmarkEnd w:id="94"/>
    </w:p>
    <w:p w14:paraId="2C3D8567" w14:textId="77777777" w:rsidR="008A25C9" w:rsidRDefault="00000000">
      <w:pPr>
        <w:pStyle w:val="FirstParagraph"/>
      </w:pPr>
      <w:r>
        <w:t>The most interesting case outside the US and China: cheap energy, deep state funds, and political flexibility, channelled through G42 into genuinely cutting-edge infrastructure.</w:t>
      </w:r>
    </w:p>
    <w:tbl>
      <w:tblPr>
        <w:tblStyle w:val="Table"/>
        <w:tblW w:w="5000" w:type="pct"/>
        <w:tblLook w:val="07E0" w:firstRow="1" w:lastRow="1" w:firstColumn="1" w:lastColumn="1" w:noHBand="1" w:noVBand="1"/>
      </w:tblPr>
      <w:tblGrid>
        <w:gridCol w:w="1736"/>
        <w:gridCol w:w="951"/>
        <w:gridCol w:w="687"/>
        <w:gridCol w:w="835"/>
        <w:gridCol w:w="5151"/>
      </w:tblGrid>
      <w:tr w:rsidR="008A25C9" w14:paraId="344A64EA" w14:textId="77777777">
        <w:tc>
          <w:tcPr>
            <w:tcW w:w="0" w:type="auto"/>
            <w:tcBorders>
              <w:bottom w:val="single" w:sz="0" w:space="0" w:color="auto"/>
            </w:tcBorders>
            <w:vAlign w:val="bottom"/>
          </w:tcPr>
          <w:p w14:paraId="4F339802" w14:textId="77777777" w:rsidR="008A25C9" w:rsidRDefault="00000000">
            <w:pPr>
              <w:pStyle w:val="Compact"/>
            </w:pPr>
            <w:r>
              <w:t>Pillar</w:t>
            </w:r>
          </w:p>
        </w:tc>
        <w:tc>
          <w:tcPr>
            <w:tcW w:w="0" w:type="auto"/>
            <w:tcBorders>
              <w:bottom w:val="single" w:sz="0" w:space="0" w:color="auto"/>
            </w:tcBorders>
            <w:vAlign w:val="bottom"/>
          </w:tcPr>
          <w:p w14:paraId="095B6B88" w14:textId="77777777" w:rsidR="008A25C9" w:rsidRDefault="00000000">
            <w:pPr>
              <w:pStyle w:val="Compact"/>
            </w:pPr>
            <w:r>
              <w:t>Weight</w:t>
            </w:r>
          </w:p>
        </w:tc>
        <w:tc>
          <w:tcPr>
            <w:tcW w:w="0" w:type="auto"/>
            <w:tcBorders>
              <w:bottom w:val="single" w:sz="0" w:space="0" w:color="auto"/>
            </w:tcBorders>
            <w:vAlign w:val="bottom"/>
          </w:tcPr>
          <w:p w14:paraId="1338FBFA" w14:textId="77777777" w:rsidR="008A25C9" w:rsidRDefault="00000000">
            <w:pPr>
              <w:pStyle w:val="Compact"/>
            </w:pPr>
            <w:r>
              <w:t>Raw</w:t>
            </w:r>
          </w:p>
        </w:tc>
        <w:tc>
          <w:tcPr>
            <w:tcW w:w="0" w:type="auto"/>
            <w:tcBorders>
              <w:bottom w:val="single" w:sz="0" w:space="0" w:color="auto"/>
            </w:tcBorders>
            <w:vAlign w:val="bottom"/>
          </w:tcPr>
          <w:p w14:paraId="0C2768CF" w14:textId="77777777" w:rsidR="008A25C9" w:rsidRDefault="00000000">
            <w:pPr>
              <w:pStyle w:val="Compact"/>
            </w:pPr>
            <w:r>
              <w:t>Score</w:t>
            </w:r>
          </w:p>
        </w:tc>
        <w:tc>
          <w:tcPr>
            <w:tcW w:w="0" w:type="auto"/>
            <w:tcBorders>
              <w:bottom w:val="single" w:sz="0" w:space="0" w:color="auto"/>
            </w:tcBorders>
            <w:vAlign w:val="bottom"/>
          </w:tcPr>
          <w:p w14:paraId="5EEC8F82" w14:textId="77777777" w:rsidR="008A25C9" w:rsidRDefault="00000000">
            <w:pPr>
              <w:pStyle w:val="Compact"/>
            </w:pPr>
            <w:r>
              <w:t>Note</w:t>
            </w:r>
          </w:p>
        </w:tc>
      </w:tr>
      <w:tr w:rsidR="008A25C9" w14:paraId="38ABDD5F" w14:textId="77777777">
        <w:tc>
          <w:tcPr>
            <w:tcW w:w="0" w:type="auto"/>
          </w:tcPr>
          <w:p w14:paraId="250E340F" w14:textId="77777777" w:rsidR="008A25C9" w:rsidRDefault="00000000">
            <w:pPr>
              <w:pStyle w:val="Compact"/>
            </w:pPr>
            <w:r>
              <w:t>Data</w:t>
            </w:r>
          </w:p>
        </w:tc>
        <w:tc>
          <w:tcPr>
            <w:tcW w:w="0" w:type="auto"/>
          </w:tcPr>
          <w:p w14:paraId="2CEFEF21" w14:textId="77777777" w:rsidR="008A25C9" w:rsidRDefault="00000000">
            <w:pPr>
              <w:pStyle w:val="Compact"/>
            </w:pPr>
            <w:r>
              <w:t>10</w:t>
            </w:r>
          </w:p>
        </w:tc>
        <w:tc>
          <w:tcPr>
            <w:tcW w:w="0" w:type="auto"/>
          </w:tcPr>
          <w:p w14:paraId="0BB58A00" w14:textId="77777777" w:rsidR="008A25C9" w:rsidRDefault="00000000">
            <w:pPr>
              <w:pStyle w:val="Compact"/>
            </w:pPr>
            <w:r>
              <w:t>0.50</w:t>
            </w:r>
          </w:p>
        </w:tc>
        <w:tc>
          <w:tcPr>
            <w:tcW w:w="0" w:type="auto"/>
          </w:tcPr>
          <w:p w14:paraId="4E7BE0A4" w14:textId="77777777" w:rsidR="008A25C9" w:rsidRDefault="00000000">
            <w:pPr>
              <w:pStyle w:val="Compact"/>
            </w:pPr>
            <w:r>
              <w:t>5.0</w:t>
            </w:r>
          </w:p>
        </w:tc>
        <w:tc>
          <w:tcPr>
            <w:tcW w:w="0" w:type="auto"/>
          </w:tcPr>
          <w:p w14:paraId="0165C7BA" w14:textId="77777777" w:rsidR="008A25C9" w:rsidRDefault="00000000">
            <w:pPr>
              <w:pStyle w:val="Compact"/>
            </w:pPr>
            <w:r>
              <w:t>Arabic via MBZUAI; weak open-data regime</w:t>
            </w:r>
          </w:p>
        </w:tc>
      </w:tr>
      <w:tr w:rsidR="008A25C9" w14:paraId="67A76D7B" w14:textId="77777777">
        <w:tc>
          <w:tcPr>
            <w:tcW w:w="0" w:type="auto"/>
          </w:tcPr>
          <w:p w14:paraId="34586533" w14:textId="77777777" w:rsidR="008A25C9" w:rsidRDefault="00000000">
            <w:pPr>
              <w:pStyle w:val="Compact"/>
            </w:pPr>
            <w:r>
              <w:t>Models</w:t>
            </w:r>
          </w:p>
        </w:tc>
        <w:tc>
          <w:tcPr>
            <w:tcW w:w="0" w:type="auto"/>
          </w:tcPr>
          <w:p w14:paraId="3E2F12BF" w14:textId="77777777" w:rsidR="008A25C9" w:rsidRDefault="00000000">
            <w:pPr>
              <w:pStyle w:val="Compact"/>
            </w:pPr>
            <w:r>
              <w:t>16</w:t>
            </w:r>
          </w:p>
        </w:tc>
        <w:tc>
          <w:tcPr>
            <w:tcW w:w="0" w:type="auto"/>
          </w:tcPr>
          <w:p w14:paraId="2EEEEC39" w14:textId="77777777" w:rsidR="008A25C9" w:rsidRDefault="00000000">
            <w:pPr>
              <w:pStyle w:val="Compact"/>
            </w:pPr>
            <w:r>
              <w:t>0.70</w:t>
            </w:r>
          </w:p>
        </w:tc>
        <w:tc>
          <w:tcPr>
            <w:tcW w:w="0" w:type="auto"/>
          </w:tcPr>
          <w:p w14:paraId="1EE92173" w14:textId="77777777" w:rsidR="008A25C9" w:rsidRDefault="00000000">
            <w:pPr>
              <w:pStyle w:val="Compact"/>
            </w:pPr>
            <w:r>
              <w:t>11.2</w:t>
            </w:r>
          </w:p>
        </w:tc>
        <w:tc>
          <w:tcPr>
            <w:tcW w:w="0" w:type="auto"/>
          </w:tcPr>
          <w:p w14:paraId="70B4EAFA" w14:textId="77777777" w:rsidR="008A25C9" w:rsidRDefault="00000000">
            <w:pPr>
              <w:pStyle w:val="Compact"/>
            </w:pPr>
            <w:r>
              <w:t>Falcon open-source series; Jais; +2 reasoning bonus included</w:t>
            </w:r>
          </w:p>
        </w:tc>
      </w:tr>
      <w:tr w:rsidR="008A25C9" w14:paraId="31D1CED8" w14:textId="77777777">
        <w:tc>
          <w:tcPr>
            <w:tcW w:w="0" w:type="auto"/>
          </w:tcPr>
          <w:p w14:paraId="1D2000D8" w14:textId="77777777" w:rsidR="008A25C9" w:rsidRDefault="00000000">
            <w:pPr>
              <w:pStyle w:val="Compact"/>
            </w:pPr>
            <w:r>
              <w:t>Infrastructure</w:t>
            </w:r>
          </w:p>
        </w:tc>
        <w:tc>
          <w:tcPr>
            <w:tcW w:w="0" w:type="auto"/>
          </w:tcPr>
          <w:p w14:paraId="6FCD2D4A" w14:textId="77777777" w:rsidR="008A25C9" w:rsidRDefault="00000000">
            <w:pPr>
              <w:pStyle w:val="Compact"/>
            </w:pPr>
            <w:r>
              <w:t>17</w:t>
            </w:r>
          </w:p>
        </w:tc>
        <w:tc>
          <w:tcPr>
            <w:tcW w:w="0" w:type="auto"/>
          </w:tcPr>
          <w:p w14:paraId="2D4F7362" w14:textId="77777777" w:rsidR="008A25C9" w:rsidRDefault="00000000">
            <w:pPr>
              <w:pStyle w:val="Compact"/>
            </w:pPr>
            <w:r>
              <w:t>0.85</w:t>
            </w:r>
          </w:p>
        </w:tc>
        <w:tc>
          <w:tcPr>
            <w:tcW w:w="0" w:type="auto"/>
          </w:tcPr>
          <w:p w14:paraId="5C0A480C" w14:textId="77777777" w:rsidR="008A25C9" w:rsidRDefault="00000000">
            <w:pPr>
              <w:pStyle w:val="Compact"/>
            </w:pPr>
            <w:r>
              <w:t>14.5</w:t>
            </w:r>
          </w:p>
        </w:tc>
        <w:tc>
          <w:tcPr>
            <w:tcW w:w="0" w:type="auto"/>
          </w:tcPr>
          <w:p w14:paraId="117ADF36" w14:textId="77777777" w:rsidR="008A25C9" w:rsidRDefault="00000000">
            <w:pPr>
              <w:pStyle w:val="Compact"/>
            </w:pPr>
            <w:r>
              <w:t xml:space="preserve">Stargate-UAE 1 GW (first 200 MW 2026); 5 GW campus; Khazna; energy strength (Barakah + </w:t>
            </w:r>
            <w:r>
              <w:lastRenderedPageBreak/>
              <w:t>solar) is inside this raw score</w:t>
            </w:r>
          </w:p>
        </w:tc>
      </w:tr>
      <w:tr w:rsidR="008A25C9" w14:paraId="020B2A23" w14:textId="77777777">
        <w:tc>
          <w:tcPr>
            <w:tcW w:w="0" w:type="auto"/>
          </w:tcPr>
          <w:p w14:paraId="58F8FF19" w14:textId="77777777" w:rsidR="008A25C9" w:rsidRDefault="00000000">
            <w:pPr>
              <w:pStyle w:val="Compact"/>
            </w:pPr>
            <w:r>
              <w:lastRenderedPageBreak/>
              <w:t>Hardware</w:t>
            </w:r>
          </w:p>
        </w:tc>
        <w:tc>
          <w:tcPr>
            <w:tcW w:w="0" w:type="auto"/>
          </w:tcPr>
          <w:p w14:paraId="635F389F" w14:textId="77777777" w:rsidR="008A25C9" w:rsidRDefault="00000000">
            <w:pPr>
              <w:pStyle w:val="Compact"/>
            </w:pPr>
            <w:r>
              <w:t>17</w:t>
            </w:r>
          </w:p>
        </w:tc>
        <w:tc>
          <w:tcPr>
            <w:tcW w:w="0" w:type="auto"/>
          </w:tcPr>
          <w:p w14:paraId="570C2418" w14:textId="77777777" w:rsidR="008A25C9" w:rsidRDefault="00000000">
            <w:pPr>
              <w:pStyle w:val="Compact"/>
            </w:pPr>
            <w:r>
              <w:t>0.45</w:t>
            </w:r>
          </w:p>
        </w:tc>
        <w:tc>
          <w:tcPr>
            <w:tcW w:w="0" w:type="auto"/>
          </w:tcPr>
          <w:p w14:paraId="07D1A1FC" w14:textId="77777777" w:rsidR="008A25C9" w:rsidRDefault="00000000">
            <w:pPr>
              <w:pStyle w:val="Compact"/>
            </w:pPr>
            <w:r>
              <w:t>7.7</w:t>
            </w:r>
          </w:p>
        </w:tc>
        <w:tc>
          <w:tcPr>
            <w:tcW w:w="0" w:type="auto"/>
          </w:tcPr>
          <w:p w14:paraId="103FFE4B" w14:textId="77777777" w:rsidR="008A25C9" w:rsidRDefault="00000000">
            <w:pPr>
              <w:pStyle w:val="Compact"/>
            </w:pPr>
            <w:r>
              <w:t>~35,000 GB300 via G42; access is political, not owned</w:t>
            </w:r>
          </w:p>
        </w:tc>
      </w:tr>
      <w:tr w:rsidR="008A25C9" w14:paraId="1F6D827A" w14:textId="77777777">
        <w:tc>
          <w:tcPr>
            <w:tcW w:w="0" w:type="auto"/>
          </w:tcPr>
          <w:p w14:paraId="015C3E9C" w14:textId="77777777" w:rsidR="008A25C9" w:rsidRDefault="00000000">
            <w:pPr>
              <w:pStyle w:val="Compact"/>
            </w:pPr>
            <w:r>
              <w:t>Manufacturing</w:t>
            </w:r>
          </w:p>
        </w:tc>
        <w:tc>
          <w:tcPr>
            <w:tcW w:w="0" w:type="auto"/>
          </w:tcPr>
          <w:p w14:paraId="4ADA9B80" w14:textId="77777777" w:rsidR="008A25C9" w:rsidRDefault="00000000">
            <w:pPr>
              <w:pStyle w:val="Compact"/>
            </w:pPr>
            <w:r>
              <w:t>12</w:t>
            </w:r>
          </w:p>
        </w:tc>
        <w:tc>
          <w:tcPr>
            <w:tcW w:w="0" w:type="auto"/>
          </w:tcPr>
          <w:p w14:paraId="3F8C4A25" w14:textId="77777777" w:rsidR="008A25C9" w:rsidRDefault="00000000">
            <w:pPr>
              <w:pStyle w:val="Compact"/>
            </w:pPr>
            <w:r>
              <w:t>0.15</w:t>
            </w:r>
          </w:p>
        </w:tc>
        <w:tc>
          <w:tcPr>
            <w:tcW w:w="0" w:type="auto"/>
          </w:tcPr>
          <w:p w14:paraId="04055393" w14:textId="77777777" w:rsidR="008A25C9" w:rsidRDefault="00000000">
            <w:pPr>
              <w:pStyle w:val="Compact"/>
            </w:pPr>
            <w:r>
              <w:t>1.8</w:t>
            </w:r>
          </w:p>
        </w:tc>
        <w:tc>
          <w:tcPr>
            <w:tcW w:w="0" w:type="auto"/>
          </w:tcPr>
          <w:p w14:paraId="5B63D19E" w14:textId="77777777" w:rsidR="008A25C9" w:rsidRDefault="00000000">
            <w:pPr>
              <w:pStyle w:val="Compact"/>
            </w:pPr>
            <w:r>
              <w:t>No advanced node</w:t>
            </w:r>
          </w:p>
        </w:tc>
      </w:tr>
      <w:tr w:rsidR="008A25C9" w14:paraId="050C8F8E" w14:textId="77777777">
        <w:tc>
          <w:tcPr>
            <w:tcW w:w="0" w:type="auto"/>
          </w:tcPr>
          <w:p w14:paraId="47334143" w14:textId="77777777" w:rsidR="008A25C9" w:rsidRDefault="00000000">
            <w:pPr>
              <w:pStyle w:val="Compact"/>
            </w:pPr>
            <w:r>
              <w:t>Software</w:t>
            </w:r>
          </w:p>
        </w:tc>
        <w:tc>
          <w:tcPr>
            <w:tcW w:w="0" w:type="auto"/>
          </w:tcPr>
          <w:p w14:paraId="145B70FF" w14:textId="77777777" w:rsidR="008A25C9" w:rsidRDefault="00000000">
            <w:pPr>
              <w:pStyle w:val="Compact"/>
            </w:pPr>
            <w:r>
              <w:t>8</w:t>
            </w:r>
          </w:p>
        </w:tc>
        <w:tc>
          <w:tcPr>
            <w:tcW w:w="0" w:type="auto"/>
          </w:tcPr>
          <w:p w14:paraId="130AAF52" w14:textId="77777777" w:rsidR="008A25C9" w:rsidRDefault="00000000">
            <w:pPr>
              <w:pStyle w:val="Compact"/>
            </w:pPr>
            <w:r>
              <w:t>0.40</w:t>
            </w:r>
          </w:p>
        </w:tc>
        <w:tc>
          <w:tcPr>
            <w:tcW w:w="0" w:type="auto"/>
          </w:tcPr>
          <w:p w14:paraId="1BF4979C" w14:textId="77777777" w:rsidR="008A25C9" w:rsidRDefault="00000000">
            <w:pPr>
              <w:pStyle w:val="Compact"/>
            </w:pPr>
            <w:r>
              <w:t>3.2</w:t>
            </w:r>
          </w:p>
        </w:tc>
        <w:tc>
          <w:tcPr>
            <w:tcW w:w="0" w:type="auto"/>
          </w:tcPr>
          <w:p w14:paraId="116905B4" w14:textId="77777777" w:rsidR="008A25C9" w:rsidRDefault="00000000">
            <w:pPr>
              <w:pStyle w:val="Compact"/>
            </w:pPr>
            <w:r>
              <w:t>Azure and Oracle dependency</w:t>
            </w:r>
          </w:p>
        </w:tc>
      </w:tr>
      <w:tr w:rsidR="008A25C9" w14:paraId="13C6D761" w14:textId="77777777">
        <w:tc>
          <w:tcPr>
            <w:tcW w:w="0" w:type="auto"/>
          </w:tcPr>
          <w:p w14:paraId="4DEBE0CD" w14:textId="77777777" w:rsidR="008A25C9" w:rsidRDefault="00000000">
            <w:pPr>
              <w:pStyle w:val="Compact"/>
            </w:pPr>
            <w:r>
              <w:t>Human capital</w:t>
            </w:r>
          </w:p>
        </w:tc>
        <w:tc>
          <w:tcPr>
            <w:tcW w:w="0" w:type="auto"/>
          </w:tcPr>
          <w:p w14:paraId="6D1BE45F" w14:textId="77777777" w:rsidR="008A25C9" w:rsidRDefault="00000000">
            <w:pPr>
              <w:pStyle w:val="Compact"/>
            </w:pPr>
            <w:r>
              <w:t>12</w:t>
            </w:r>
          </w:p>
        </w:tc>
        <w:tc>
          <w:tcPr>
            <w:tcW w:w="0" w:type="auto"/>
          </w:tcPr>
          <w:p w14:paraId="621510CA" w14:textId="77777777" w:rsidR="008A25C9" w:rsidRDefault="00000000">
            <w:pPr>
              <w:pStyle w:val="Compact"/>
            </w:pPr>
            <w:r>
              <w:t>0.60</w:t>
            </w:r>
          </w:p>
        </w:tc>
        <w:tc>
          <w:tcPr>
            <w:tcW w:w="0" w:type="auto"/>
          </w:tcPr>
          <w:p w14:paraId="5D31EE06" w14:textId="77777777" w:rsidR="008A25C9" w:rsidRDefault="00000000">
            <w:pPr>
              <w:pStyle w:val="Compact"/>
            </w:pPr>
            <w:r>
              <w:t>7.2</w:t>
            </w:r>
          </w:p>
        </w:tc>
        <w:tc>
          <w:tcPr>
            <w:tcW w:w="0" w:type="auto"/>
          </w:tcPr>
          <w:p w14:paraId="5F853172" w14:textId="77777777" w:rsidR="008A25C9" w:rsidRDefault="00000000">
            <w:pPr>
              <w:pStyle w:val="Compact"/>
            </w:pPr>
            <w:r>
              <w:t>MBZUAI operational; imported talent; small citizen base</w:t>
            </w:r>
          </w:p>
        </w:tc>
      </w:tr>
      <w:tr w:rsidR="008A25C9" w14:paraId="384CF282" w14:textId="77777777">
        <w:tc>
          <w:tcPr>
            <w:tcW w:w="0" w:type="auto"/>
          </w:tcPr>
          <w:p w14:paraId="4E416C78" w14:textId="77777777" w:rsidR="008A25C9" w:rsidRDefault="00000000">
            <w:pPr>
              <w:pStyle w:val="Compact"/>
            </w:pPr>
            <w:r>
              <w:t>Regulatory</w:t>
            </w:r>
          </w:p>
        </w:tc>
        <w:tc>
          <w:tcPr>
            <w:tcW w:w="0" w:type="auto"/>
          </w:tcPr>
          <w:p w14:paraId="3EEB1554" w14:textId="77777777" w:rsidR="008A25C9" w:rsidRDefault="00000000">
            <w:pPr>
              <w:pStyle w:val="Compact"/>
            </w:pPr>
            <w:r>
              <w:t>8</w:t>
            </w:r>
          </w:p>
        </w:tc>
        <w:tc>
          <w:tcPr>
            <w:tcW w:w="0" w:type="auto"/>
          </w:tcPr>
          <w:p w14:paraId="5B9E1A45" w14:textId="77777777" w:rsidR="008A25C9" w:rsidRDefault="00000000">
            <w:pPr>
              <w:pStyle w:val="Compact"/>
            </w:pPr>
            <w:r>
              <w:t>0.75</w:t>
            </w:r>
          </w:p>
        </w:tc>
        <w:tc>
          <w:tcPr>
            <w:tcW w:w="0" w:type="auto"/>
          </w:tcPr>
          <w:p w14:paraId="5B62B257" w14:textId="77777777" w:rsidR="008A25C9" w:rsidRDefault="00000000">
            <w:pPr>
              <w:pStyle w:val="Compact"/>
            </w:pPr>
            <w:r>
              <w:t>6.0</w:t>
            </w:r>
          </w:p>
        </w:tc>
        <w:tc>
          <w:tcPr>
            <w:tcW w:w="0" w:type="auto"/>
          </w:tcPr>
          <w:p w14:paraId="7460954F" w14:textId="77777777" w:rsidR="008A25C9" w:rsidRDefault="00000000">
            <w:pPr>
              <w:pStyle w:val="Compact"/>
            </w:pPr>
            <w:r>
              <w:t>US–UAE AI Acceleration Partnership; assurance agreement</w:t>
            </w:r>
          </w:p>
        </w:tc>
      </w:tr>
      <w:tr w:rsidR="008A25C9" w14:paraId="3E562597" w14:textId="77777777">
        <w:tc>
          <w:tcPr>
            <w:tcW w:w="0" w:type="auto"/>
          </w:tcPr>
          <w:p w14:paraId="7B0033F9" w14:textId="77777777" w:rsidR="008A25C9" w:rsidRDefault="00000000">
            <w:pPr>
              <w:pStyle w:val="Compact"/>
            </w:pPr>
            <w:r>
              <w:rPr>
                <w:b/>
              </w:rPr>
              <w:t>Pillar total</w:t>
            </w:r>
          </w:p>
        </w:tc>
        <w:tc>
          <w:tcPr>
            <w:tcW w:w="0" w:type="auto"/>
          </w:tcPr>
          <w:p w14:paraId="51D6D3FD" w14:textId="77777777" w:rsidR="008A25C9" w:rsidRDefault="00000000">
            <w:pPr>
              <w:pStyle w:val="Compact"/>
            </w:pPr>
            <w:r>
              <w:rPr>
                <w:b/>
              </w:rPr>
              <w:t>100</w:t>
            </w:r>
          </w:p>
        </w:tc>
        <w:tc>
          <w:tcPr>
            <w:tcW w:w="0" w:type="auto"/>
          </w:tcPr>
          <w:p w14:paraId="398F6667" w14:textId="77777777" w:rsidR="008A25C9" w:rsidRDefault="008A25C9"/>
        </w:tc>
        <w:tc>
          <w:tcPr>
            <w:tcW w:w="0" w:type="auto"/>
          </w:tcPr>
          <w:p w14:paraId="4D5860EC" w14:textId="77777777" w:rsidR="008A25C9" w:rsidRDefault="00000000">
            <w:pPr>
              <w:pStyle w:val="Compact"/>
            </w:pPr>
            <w:r>
              <w:rPr>
                <w:b/>
              </w:rPr>
              <w:t>~56.6</w:t>
            </w:r>
          </w:p>
        </w:tc>
        <w:tc>
          <w:tcPr>
            <w:tcW w:w="0" w:type="auto"/>
          </w:tcPr>
          <w:p w14:paraId="528B1FF7" w14:textId="77777777" w:rsidR="008A25C9" w:rsidRDefault="008A25C9"/>
        </w:tc>
      </w:tr>
    </w:tbl>
    <w:p w14:paraId="09ECEA0D" w14:textId="77777777" w:rsidR="008A25C9" w:rsidRDefault="00000000">
      <w:pPr>
        <w:pStyle w:val="BodyText"/>
      </w:pPr>
      <w:r>
        <w:t xml:space="preserve">Modifiers, in order: rule-stability </w:t>
      </w:r>
      <w:r>
        <w:rPr>
          <w:b/>
        </w:rPr>
        <w:t>×0.85</w:t>
      </w:r>
      <w:r>
        <w:t xml:space="preserve"> (high exposure — access rests on case-by-case US permission, as the modifier table itself uses the UAE to illustrate) on Hardware (7.7→6.5) and Models (11.2→9.5), total ~53.8; alliance ×1.08 (special partnership) on Hardware, Models, Infrastructure (6.5 + 9.5 + 14.5 = 30.5 → 33.0), total ~56.2; operating-model </w:t>
      </w:r>
      <w:r>
        <w:rPr>
          <w:b/>
        </w:rPr>
        <w:t>+1</w:t>
      </w:r>
      <w:r>
        <w:t xml:space="preserve"> (G42 as a coherent, well-funded state-linked vehicle with explicit sovereignty intent; the arrangement has weathered the China-pullback pivot but not a genuine access crisis). </w:t>
      </w:r>
      <w:r>
        <w:rPr>
          <w:b/>
        </w:rPr>
        <w:t>Final ~57</w:t>
      </w:r>
      <w:r>
        <w:t xml:space="preserve"> — mid Partially autonomous. (Earlier revisions reached ~62 via an ad-hoc “+5 energy bonus” and by skipping rule-stability; v0.7.1 applies the framework’s own rules. Energy is already credited inside the 0.85 Infrastructure raw score, and the UAE’s defining exposure — access by permission — is exactly what the rule-stability modifier exists to price.) The honest reading: the UAE is building infrastructure faster than Europe, and remains one deal-by-deal decision away from losing the access that infrastructure depends on. The gaps are models at L2–L3, manufacturing, and a small citizen talent base.</w:t>
      </w:r>
    </w:p>
    <w:p w14:paraId="60DBA02E" w14:textId="77777777" w:rsidR="008A25C9" w:rsidRDefault="00000000">
      <w:pPr>
        <w:pStyle w:val="Heading2"/>
      </w:pPr>
      <w:bookmarkStart w:id="95" w:name="part-iv.-case-study-insait-and-bggpt"/>
      <w:bookmarkStart w:id="96" w:name="_Toc238848868"/>
      <w:r>
        <w:t>Part IV. Case study: INSAIT and BgGPT</w:t>
      </w:r>
      <w:bookmarkEnd w:id="95"/>
      <w:bookmarkEnd w:id="96"/>
    </w:p>
    <w:p w14:paraId="649CEC09" w14:textId="77777777" w:rsidR="008A25C9" w:rsidRDefault="00000000">
      <w:pPr>
        <w:pStyle w:val="FirstParagraph"/>
      </w:pPr>
      <w:r>
        <w:t xml:space="preserve">BgGPT is the clearest real-world example of </w:t>
      </w:r>
      <w:r>
        <w:rPr>
          <w:b/>
        </w:rPr>
        <w:t>L2</w:t>
      </w:r>
      <w:r>
        <w:t xml:space="preserve"> on the Models ladder — how a small economy gains real control over its models without the cost of training from scratch.</w:t>
      </w:r>
    </w:p>
    <w:p w14:paraId="7318019D" w14:textId="77777777" w:rsidR="008A25C9" w:rsidRDefault="00000000">
      <w:pPr>
        <w:pStyle w:val="Heading3"/>
      </w:pPr>
      <w:bookmarkStart w:id="97" w:name="bggpt-in-brief"/>
      <w:r>
        <w:t>4.1 BgGPT in brief</w:t>
      </w:r>
      <w:bookmarkEnd w:id="97"/>
    </w:p>
    <w:p w14:paraId="7B02D6E6" w14:textId="77777777" w:rsidR="008A25C9" w:rsidRDefault="00000000">
      <w:pPr>
        <w:pStyle w:val="FirstParagraph"/>
      </w:pPr>
      <w:r>
        <w:t>INSAIT (Sofia, part of Sofia University) builds BgGPT, a family of Bulgarian-language models: v0.1/0.2 on Mistral-7B (March 2024); BgGPT 1.0 on Gemma 2 (November 2024); BgGPT 3.0 on Gemma 3 in 4B/12B/27B sizes (March 2026) — multimodal, ~131k context, trained on &gt;100B Bulgarian tokens plus balanced English. Its Branch-and-Merge method (EMNLP 2024) prevents catastrophic forgetting while adding a language. On Bulgarian tasks the 27B model holds its own against models three times its size and, for Bulgarian chat, against leading commercial models on INSAIT’s benchmarks. Distributed in full precision, GPTQ W4A16, and GGUF (runnable locally via llama.cpp). First large institutional user: the National Revenue Agency, 7,000+ staff.</w:t>
      </w:r>
    </w:p>
    <w:p w14:paraId="36FB20EE" w14:textId="77777777" w:rsidR="008A25C9" w:rsidRDefault="00000000">
      <w:pPr>
        <w:pStyle w:val="Heading3"/>
      </w:pPr>
      <w:bookmarkStart w:id="98" w:name="why-bggpt-is-exactly-l2"/>
      <w:r>
        <w:t>4.2 Why BgGPT is exactly L2</w:t>
      </w:r>
      <w:bookmarkEnd w:id="98"/>
    </w:p>
    <w:tbl>
      <w:tblPr>
        <w:tblStyle w:val="Table"/>
        <w:tblW w:w="5000" w:type="pct"/>
        <w:tblLook w:val="07E0" w:firstRow="1" w:lastRow="1" w:firstColumn="1" w:lastColumn="1" w:noHBand="1" w:noVBand="1"/>
      </w:tblPr>
      <w:tblGrid>
        <w:gridCol w:w="755"/>
        <w:gridCol w:w="956"/>
        <w:gridCol w:w="7649"/>
      </w:tblGrid>
      <w:tr w:rsidR="008A25C9" w14:paraId="2FEEAFB4" w14:textId="77777777">
        <w:tc>
          <w:tcPr>
            <w:tcW w:w="0" w:type="auto"/>
            <w:tcBorders>
              <w:bottom w:val="single" w:sz="0" w:space="0" w:color="auto"/>
            </w:tcBorders>
            <w:vAlign w:val="bottom"/>
          </w:tcPr>
          <w:p w14:paraId="5B2B092D" w14:textId="77777777" w:rsidR="008A25C9" w:rsidRDefault="00000000">
            <w:pPr>
              <w:pStyle w:val="Compact"/>
            </w:pPr>
            <w:r>
              <w:t>Level</w:t>
            </w:r>
          </w:p>
        </w:tc>
        <w:tc>
          <w:tcPr>
            <w:tcW w:w="0" w:type="auto"/>
            <w:tcBorders>
              <w:bottom w:val="single" w:sz="0" w:space="0" w:color="auto"/>
            </w:tcBorders>
            <w:vAlign w:val="bottom"/>
          </w:tcPr>
          <w:p w14:paraId="1D0BDE77" w14:textId="77777777" w:rsidR="008A25C9" w:rsidRDefault="00000000">
            <w:pPr>
              <w:pStyle w:val="Compact"/>
            </w:pPr>
            <w:r>
              <w:t>Anchor</w:t>
            </w:r>
          </w:p>
        </w:tc>
        <w:tc>
          <w:tcPr>
            <w:tcW w:w="0" w:type="auto"/>
            <w:tcBorders>
              <w:bottom w:val="single" w:sz="0" w:space="0" w:color="auto"/>
            </w:tcBorders>
            <w:vAlign w:val="bottom"/>
          </w:tcPr>
          <w:p w14:paraId="6B6229E9" w14:textId="77777777" w:rsidR="008A25C9" w:rsidRDefault="00000000">
            <w:pPr>
              <w:pStyle w:val="Compact"/>
            </w:pPr>
            <w:r>
              <w:t>Why BgGPT is / is not at this level</w:t>
            </w:r>
          </w:p>
        </w:tc>
      </w:tr>
      <w:tr w:rsidR="008A25C9" w14:paraId="7C03648E" w14:textId="77777777">
        <w:tc>
          <w:tcPr>
            <w:tcW w:w="0" w:type="auto"/>
          </w:tcPr>
          <w:p w14:paraId="72D760FB" w14:textId="77777777" w:rsidR="008A25C9" w:rsidRDefault="00000000">
            <w:pPr>
              <w:pStyle w:val="Compact"/>
            </w:pPr>
            <w:r>
              <w:lastRenderedPageBreak/>
              <w:t>L0</w:t>
            </w:r>
          </w:p>
        </w:tc>
        <w:tc>
          <w:tcPr>
            <w:tcW w:w="0" w:type="auto"/>
          </w:tcPr>
          <w:p w14:paraId="4BB08028" w14:textId="77777777" w:rsidR="008A25C9" w:rsidRDefault="00000000">
            <w:pPr>
              <w:pStyle w:val="Compact"/>
            </w:pPr>
            <w:r>
              <w:t>0</w:t>
            </w:r>
          </w:p>
        </w:tc>
        <w:tc>
          <w:tcPr>
            <w:tcW w:w="0" w:type="auto"/>
          </w:tcPr>
          <w:p w14:paraId="4D316BDA" w14:textId="77777777" w:rsidR="008A25C9" w:rsidRDefault="00000000">
            <w:pPr>
              <w:pStyle w:val="Compact"/>
            </w:pPr>
            <w:r>
              <w:t>BgGPT runs on own machines with open weights — no outside provider</w:t>
            </w:r>
          </w:p>
        </w:tc>
      </w:tr>
      <w:tr w:rsidR="008A25C9" w14:paraId="36A4E685" w14:textId="77777777">
        <w:tc>
          <w:tcPr>
            <w:tcW w:w="0" w:type="auto"/>
          </w:tcPr>
          <w:p w14:paraId="29359E0A" w14:textId="77777777" w:rsidR="008A25C9" w:rsidRDefault="00000000">
            <w:pPr>
              <w:pStyle w:val="Compact"/>
            </w:pPr>
            <w:r>
              <w:t>L1</w:t>
            </w:r>
          </w:p>
        </w:tc>
        <w:tc>
          <w:tcPr>
            <w:tcW w:w="0" w:type="auto"/>
          </w:tcPr>
          <w:p w14:paraId="08FCA241" w14:textId="77777777" w:rsidR="008A25C9" w:rsidRDefault="00000000">
            <w:pPr>
              <w:pStyle w:val="Compact"/>
            </w:pPr>
            <w:r>
              <w:t>4</w:t>
            </w:r>
          </w:p>
        </w:tc>
        <w:tc>
          <w:tcPr>
            <w:tcW w:w="0" w:type="auto"/>
          </w:tcPr>
          <w:p w14:paraId="5EE94910" w14:textId="77777777" w:rsidR="008A25C9" w:rsidRDefault="00000000">
            <w:pPr>
              <w:pStyle w:val="Compact"/>
            </w:pPr>
            <w:r>
              <w:t>More than a local copy: further trained on &gt;100B Bulgarian tokens</w:t>
            </w:r>
          </w:p>
        </w:tc>
      </w:tr>
      <w:tr w:rsidR="008A25C9" w14:paraId="4C572EB2" w14:textId="77777777">
        <w:tc>
          <w:tcPr>
            <w:tcW w:w="0" w:type="auto"/>
          </w:tcPr>
          <w:p w14:paraId="6F2C51E2" w14:textId="77777777" w:rsidR="008A25C9" w:rsidRDefault="00000000">
            <w:pPr>
              <w:pStyle w:val="Compact"/>
            </w:pPr>
            <w:r>
              <w:rPr>
                <w:b/>
              </w:rPr>
              <w:t>L2</w:t>
            </w:r>
          </w:p>
        </w:tc>
        <w:tc>
          <w:tcPr>
            <w:tcW w:w="0" w:type="auto"/>
          </w:tcPr>
          <w:p w14:paraId="124E3594" w14:textId="77777777" w:rsidR="008A25C9" w:rsidRDefault="00000000">
            <w:pPr>
              <w:pStyle w:val="Compact"/>
            </w:pPr>
            <w:r>
              <w:rPr>
                <w:b/>
              </w:rPr>
              <w:t>11</w:t>
            </w:r>
          </w:p>
        </w:tc>
        <w:tc>
          <w:tcPr>
            <w:tcW w:w="0" w:type="auto"/>
          </w:tcPr>
          <w:p w14:paraId="5D6A2696" w14:textId="77777777" w:rsidR="008A25C9" w:rsidRDefault="00000000">
            <w:pPr>
              <w:pStyle w:val="Compact"/>
            </w:pPr>
            <w:r>
              <w:rPr>
                <w:b/>
              </w:rPr>
              <w:t>Exactly this: heavy continued pre-training + instruction tuning on Gemma 3 weights, via Branch-and-Merge</w:t>
            </w:r>
          </w:p>
        </w:tc>
      </w:tr>
      <w:tr w:rsidR="008A25C9" w14:paraId="3512590D" w14:textId="77777777">
        <w:tc>
          <w:tcPr>
            <w:tcW w:w="0" w:type="auto"/>
          </w:tcPr>
          <w:p w14:paraId="47A73336" w14:textId="77777777" w:rsidR="008A25C9" w:rsidRDefault="00000000">
            <w:pPr>
              <w:pStyle w:val="Compact"/>
            </w:pPr>
            <w:r>
              <w:t>L3</w:t>
            </w:r>
          </w:p>
        </w:tc>
        <w:tc>
          <w:tcPr>
            <w:tcW w:w="0" w:type="auto"/>
          </w:tcPr>
          <w:p w14:paraId="74648292" w14:textId="77777777" w:rsidR="008A25C9" w:rsidRDefault="00000000">
            <w:pPr>
              <w:pStyle w:val="Compact"/>
            </w:pPr>
            <w:r>
              <w:t>13</w:t>
            </w:r>
          </w:p>
        </w:tc>
        <w:tc>
          <w:tcPr>
            <w:tcW w:w="0" w:type="auto"/>
          </w:tcPr>
          <w:p w14:paraId="4EF200B7" w14:textId="77777777" w:rsidR="008A25C9" w:rsidRDefault="00000000">
            <w:pPr>
              <w:pStyle w:val="Compact"/>
            </w:pPr>
            <w:r>
              <w:t>Architecture and tokeniser are Gemma 3’s — no structural modifications</w:t>
            </w:r>
          </w:p>
        </w:tc>
      </w:tr>
      <w:tr w:rsidR="008A25C9" w14:paraId="6ADD07E4" w14:textId="77777777">
        <w:tc>
          <w:tcPr>
            <w:tcW w:w="0" w:type="auto"/>
          </w:tcPr>
          <w:p w14:paraId="1BEF2922" w14:textId="77777777" w:rsidR="008A25C9" w:rsidRDefault="00000000">
            <w:pPr>
              <w:pStyle w:val="Compact"/>
            </w:pPr>
            <w:r>
              <w:t>L4</w:t>
            </w:r>
          </w:p>
        </w:tc>
        <w:tc>
          <w:tcPr>
            <w:tcW w:w="0" w:type="auto"/>
          </w:tcPr>
          <w:p w14:paraId="4109B5EC" w14:textId="77777777" w:rsidR="008A25C9" w:rsidRDefault="00000000">
            <w:pPr>
              <w:pStyle w:val="Compact"/>
            </w:pPr>
            <w:r>
              <w:t>16</w:t>
            </w:r>
          </w:p>
        </w:tc>
        <w:tc>
          <w:tcPr>
            <w:tcW w:w="0" w:type="auto"/>
          </w:tcPr>
          <w:p w14:paraId="2C94FDE5" w14:textId="77777777" w:rsidR="008A25C9" w:rsidRDefault="00000000">
            <w:pPr>
              <w:pStyle w:val="Compact"/>
            </w:pPr>
            <w:r>
              <w:t>Starting weights come from Google; no from-scratch training</w:t>
            </w:r>
          </w:p>
        </w:tc>
      </w:tr>
    </w:tbl>
    <w:p w14:paraId="3C849D88" w14:textId="77777777" w:rsidR="008A25C9" w:rsidRDefault="00000000">
      <w:pPr>
        <w:pStyle w:val="Heading3"/>
      </w:pPr>
      <w:bookmarkStart w:id="99" w:name="ai-saf-n-profile-for-insait-bggpt"/>
      <w:r>
        <w:t>4.3 AI-SAF-N profile for INSAIT / BgGPT</w:t>
      </w:r>
      <w:bookmarkEnd w:id="99"/>
    </w:p>
    <w:p w14:paraId="469C2CDE" w14:textId="77777777" w:rsidR="008A25C9" w:rsidRDefault="00000000">
      <w:pPr>
        <w:pStyle w:val="FirstParagraph"/>
      </w:pPr>
      <w:r>
        <w:t>Scored as an institutional profile (the institute, not the country — Bulgaria’s national profile in Part III applies portfolio-depth deductions this focused profile does not):</w:t>
      </w:r>
    </w:p>
    <w:tbl>
      <w:tblPr>
        <w:tblStyle w:val="Table"/>
        <w:tblW w:w="0" w:type="pct"/>
        <w:tblLook w:val="07E0" w:firstRow="1" w:lastRow="1" w:firstColumn="1" w:lastColumn="1" w:noHBand="1" w:noVBand="1"/>
      </w:tblPr>
      <w:tblGrid>
        <w:gridCol w:w="1736"/>
        <w:gridCol w:w="816"/>
        <w:gridCol w:w="634"/>
        <w:gridCol w:w="6174"/>
      </w:tblGrid>
      <w:tr w:rsidR="008A25C9" w14:paraId="119C466A" w14:textId="77777777">
        <w:tc>
          <w:tcPr>
            <w:tcW w:w="0" w:type="auto"/>
            <w:tcBorders>
              <w:bottom w:val="single" w:sz="0" w:space="0" w:color="auto"/>
            </w:tcBorders>
            <w:vAlign w:val="bottom"/>
          </w:tcPr>
          <w:p w14:paraId="70721EE8" w14:textId="77777777" w:rsidR="008A25C9" w:rsidRDefault="00000000">
            <w:pPr>
              <w:pStyle w:val="Compact"/>
            </w:pPr>
            <w:r>
              <w:t>Pillar</w:t>
            </w:r>
          </w:p>
        </w:tc>
        <w:tc>
          <w:tcPr>
            <w:tcW w:w="0" w:type="auto"/>
            <w:tcBorders>
              <w:bottom w:val="single" w:sz="0" w:space="0" w:color="auto"/>
            </w:tcBorders>
            <w:vAlign w:val="bottom"/>
          </w:tcPr>
          <w:p w14:paraId="65189773" w14:textId="77777777" w:rsidR="008A25C9" w:rsidRDefault="00000000">
            <w:pPr>
              <w:pStyle w:val="Compact"/>
            </w:pPr>
            <w:r>
              <w:t>Score</w:t>
            </w:r>
          </w:p>
        </w:tc>
        <w:tc>
          <w:tcPr>
            <w:tcW w:w="0" w:type="auto"/>
            <w:tcBorders>
              <w:bottom w:val="single" w:sz="0" w:space="0" w:color="auto"/>
            </w:tcBorders>
            <w:vAlign w:val="bottom"/>
          </w:tcPr>
          <w:p w14:paraId="7B7709A4" w14:textId="77777777" w:rsidR="008A25C9" w:rsidRDefault="00000000">
            <w:pPr>
              <w:pStyle w:val="Compact"/>
            </w:pPr>
            <w:r>
              <w:t>Max</w:t>
            </w:r>
          </w:p>
        </w:tc>
        <w:tc>
          <w:tcPr>
            <w:tcW w:w="0" w:type="auto"/>
            <w:tcBorders>
              <w:bottom w:val="single" w:sz="0" w:space="0" w:color="auto"/>
            </w:tcBorders>
            <w:vAlign w:val="bottom"/>
          </w:tcPr>
          <w:p w14:paraId="20B9C3E1" w14:textId="77777777" w:rsidR="008A25C9" w:rsidRDefault="00000000">
            <w:pPr>
              <w:pStyle w:val="Compact"/>
            </w:pPr>
            <w:r>
              <w:t>Rationale</w:t>
            </w:r>
          </w:p>
        </w:tc>
      </w:tr>
      <w:tr w:rsidR="008A25C9" w14:paraId="3A6648AF" w14:textId="77777777">
        <w:tc>
          <w:tcPr>
            <w:tcW w:w="0" w:type="auto"/>
          </w:tcPr>
          <w:p w14:paraId="33460269" w14:textId="77777777" w:rsidR="008A25C9" w:rsidRDefault="00000000">
            <w:pPr>
              <w:pStyle w:val="Compact"/>
            </w:pPr>
            <w:r>
              <w:t>Data</w:t>
            </w:r>
          </w:p>
        </w:tc>
        <w:tc>
          <w:tcPr>
            <w:tcW w:w="0" w:type="auto"/>
          </w:tcPr>
          <w:p w14:paraId="1FD74EF0" w14:textId="77777777" w:rsidR="008A25C9" w:rsidRDefault="00000000">
            <w:pPr>
              <w:pStyle w:val="Compact"/>
            </w:pPr>
            <w:r>
              <w:t>7</w:t>
            </w:r>
          </w:p>
        </w:tc>
        <w:tc>
          <w:tcPr>
            <w:tcW w:w="0" w:type="auto"/>
          </w:tcPr>
          <w:p w14:paraId="21FC0A08" w14:textId="77777777" w:rsidR="008A25C9" w:rsidRDefault="00000000">
            <w:pPr>
              <w:pStyle w:val="Compact"/>
            </w:pPr>
            <w:r>
              <w:t>10</w:t>
            </w:r>
          </w:p>
        </w:tc>
        <w:tc>
          <w:tcPr>
            <w:tcW w:w="0" w:type="auto"/>
          </w:tcPr>
          <w:p w14:paraId="5D199B43" w14:textId="77777777" w:rsidR="008A25C9" w:rsidRDefault="00000000">
            <w:pPr>
              <w:pStyle w:val="Compact"/>
            </w:pPr>
            <w:r>
              <w:t>&gt;100B curated Bulgarian tokens; instruction data</w:t>
            </w:r>
          </w:p>
        </w:tc>
      </w:tr>
      <w:tr w:rsidR="008A25C9" w14:paraId="1F2FECF4" w14:textId="77777777">
        <w:tc>
          <w:tcPr>
            <w:tcW w:w="0" w:type="auto"/>
          </w:tcPr>
          <w:p w14:paraId="00FF3845" w14:textId="77777777" w:rsidR="008A25C9" w:rsidRDefault="00000000">
            <w:pPr>
              <w:pStyle w:val="Compact"/>
            </w:pPr>
            <w:r>
              <w:t>Models</w:t>
            </w:r>
          </w:p>
        </w:tc>
        <w:tc>
          <w:tcPr>
            <w:tcW w:w="0" w:type="auto"/>
          </w:tcPr>
          <w:p w14:paraId="5A1E689C" w14:textId="77777777" w:rsidR="008A25C9" w:rsidRDefault="00000000">
            <w:pPr>
              <w:pStyle w:val="Compact"/>
            </w:pPr>
            <w:r>
              <w:t>11</w:t>
            </w:r>
          </w:p>
        </w:tc>
        <w:tc>
          <w:tcPr>
            <w:tcW w:w="0" w:type="auto"/>
          </w:tcPr>
          <w:p w14:paraId="5BA015B1" w14:textId="77777777" w:rsidR="008A25C9" w:rsidRDefault="00000000">
            <w:pPr>
              <w:pStyle w:val="Compact"/>
            </w:pPr>
            <w:r>
              <w:t>16</w:t>
            </w:r>
          </w:p>
        </w:tc>
        <w:tc>
          <w:tcPr>
            <w:tcW w:w="0" w:type="auto"/>
          </w:tcPr>
          <w:p w14:paraId="276D179F" w14:textId="77777777" w:rsidR="008A25C9" w:rsidRDefault="00000000">
            <w:pPr>
              <w:pStyle w:val="Compact"/>
            </w:pPr>
            <w:r>
              <w:t>L2 anchor (fine-tune/CPT on Gemma 3); Branch-and-Merge</w:t>
            </w:r>
          </w:p>
        </w:tc>
      </w:tr>
      <w:tr w:rsidR="008A25C9" w14:paraId="1A6A931A" w14:textId="77777777">
        <w:tc>
          <w:tcPr>
            <w:tcW w:w="0" w:type="auto"/>
          </w:tcPr>
          <w:p w14:paraId="0CA21D58" w14:textId="77777777" w:rsidR="008A25C9" w:rsidRDefault="00000000">
            <w:pPr>
              <w:pStyle w:val="Compact"/>
            </w:pPr>
            <w:r>
              <w:t>Infrastructure</w:t>
            </w:r>
          </w:p>
        </w:tc>
        <w:tc>
          <w:tcPr>
            <w:tcW w:w="0" w:type="auto"/>
          </w:tcPr>
          <w:p w14:paraId="424C5E22" w14:textId="77777777" w:rsidR="008A25C9" w:rsidRDefault="00000000">
            <w:pPr>
              <w:pStyle w:val="Compact"/>
            </w:pPr>
            <w:r>
              <w:t>9</w:t>
            </w:r>
          </w:p>
        </w:tc>
        <w:tc>
          <w:tcPr>
            <w:tcW w:w="0" w:type="auto"/>
          </w:tcPr>
          <w:p w14:paraId="06C41BCA" w14:textId="77777777" w:rsidR="008A25C9" w:rsidRDefault="00000000">
            <w:pPr>
              <w:pStyle w:val="Compact"/>
            </w:pPr>
            <w:r>
              <w:t>17</w:t>
            </w:r>
          </w:p>
        </w:tc>
        <w:tc>
          <w:tcPr>
            <w:tcW w:w="0" w:type="auto"/>
          </w:tcPr>
          <w:p w14:paraId="2C6ADB44" w14:textId="77777777" w:rsidR="008A25C9" w:rsidRDefault="00000000">
            <w:pPr>
              <w:pStyle w:val="Compact"/>
            </w:pPr>
            <w:r>
              <w:t>H100 compute via partnerships; limited own capacity</w:t>
            </w:r>
          </w:p>
        </w:tc>
      </w:tr>
      <w:tr w:rsidR="008A25C9" w14:paraId="6FEDC03C" w14:textId="77777777">
        <w:tc>
          <w:tcPr>
            <w:tcW w:w="0" w:type="auto"/>
          </w:tcPr>
          <w:p w14:paraId="059A064B" w14:textId="77777777" w:rsidR="008A25C9" w:rsidRDefault="00000000">
            <w:pPr>
              <w:pStyle w:val="Compact"/>
            </w:pPr>
            <w:r>
              <w:t>Hardware</w:t>
            </w:r>
          </w:p>
        </w:tc>
        <w:tc>
          <w:tcPr>
            <w:tcW w:w="0" w:type="auto"/>
          </w:tcPr>
          <w:p w14:paraId="00F0276B" w14:textId="77777777" w:rsidR="008A25C9" w:rsidRDefault="00000000">
            <w:pPr>
              <w:pStyle w:val="Compact"/>
            </w:pPr>
            <w:r>
              <w:t>4</w:t>
            </w:r>
          </w:p>
        </w:tc>
        <w:tc>
          <w:tcPr>
            <w:tcW w:w="0" w:type="auto"/>
          </w:tcPr>
          <w:p w14:paraId="1824E1E1" w14:textId="77777777" w:rsidR="008A25C9" w:rsidRDefault="00000000">
            <w:pPr>
              <w:pStyle w:val="Compact"/>
            </w:pPr>
            <w:r>
              <w:t>17</w:t>
            </w:r>
          </w:p>
        </w:tc>
        <w:tc>
          <w:tcPr>
            <w:tcW w:w="0" w:type="auto"/>
          </w:tcPr>
          <w:p w14:paraId="59FA3C72" w14:textId="77777777" w:rsidR="008A25C9" w:rsidRDefault="00000000">
            <w:pPr>
              <w:pStyle w:val="Compact"/>
            </w:pPr>
            <w:r>
              <w:t>Full NVIDIA/CUDA dependency</w:t>
            </w:r>
          </w:p>
        </w:tc>
      </w:tr>
      <w:tr w:rsidR="008A25C9" w14:paraId="2E51296C" w14:textId="77777777">
        <w:tc>
          <w:tcPr>
            <w:tcW w:w="0" w:type="auto"/>
          </w:tcPr>
          <w:p w14:paraId="0EF4A5BA" w14:textId="77777777" w:rsidR="008A25C9" w:rsidRDefault="00000000">
            <w:pPr>
              <w:pStyle w:val="Compact"/>
            </w:pPr>
            <w:r>
              <w:t>Manufacturing</w:t>
            </w:r>
          </w:p>
        </w:tc>
        <w:tc>
          <w:tcPr>
            <w:tcW w:w="0" w:type="auto"/>
          </w:tcPr>
          <w:p w14:paraId="5A8681A6" w14:textId="77777777" w:rsidR="008A25C9" w:rsidRDefault="00000000">
            <w:pPr>
              <w:pStyle w:val="Compact"/>
            </w:pPr>
            <w:r>
              <w:t>1</w:t>
            </w:r>
          </w:p>
        </w:tc>
        <w:tc>
          <w:tcPr>
            <w:tcW w:w="0" w:type="auto"/>
          </w:tcPr>
          <w:p w14:paraId="7528962B" w14:textId="77777777" w:rsidR="008A25C9" w:rsidRDefault="00000000">
            <w:pPr>
              <w:pStyle w:val="Compact"/>
            </w:pPr>
            <w:r>
              <w:t>12</w:t>
            </w:r>
          </w:p>
        </w:tc>
        <w:tc>
          <w:tcPr>
            <w:tcW w:w="0" w:type="auto"/>
          </w:tcPr>
          <w:p w14:paraId="3115D9CC" w14:textId="77777777" w:rsidR="008A25C9" w:rsidRDefault="00000000">
            <w:pPr>
              <w:pStyle w:val="Compact"/>
            </w:pPr>
            <w:r>
              <w:t>No foundry access</w:t>
            </w:r>
          </w:p>
        </w:tc>
      </w:tr>
      <w:tr w:rsidR="008A25C9" w14:paraId="6349E33C" w14:textId="77777777">
        <w:tc>
          <w:tcPr>
            <w:tcW w:w="0" w:type="auto"/>
          </w:tcPr>
          <w:p w14:paraId="7AAEE48E" w14:textId="77777777" w:rsidR="008A25C9" w:rsidRDefault="00000000">
            <w:pPr>
              <w:pStyle w:val="Compact"/>
            </w:pPr>
            <w:r>
              <w:t>Software</w:t>
            </w:r>
          </w:p>
        </w:tc>
        <w:tc>
          <w:tcPr>
            <w:tcW w:w="0" w:type="auto"/>
          </w:tcPr>
          <w:p w14:paraId="22831100" w14:textId="77777777" w:rsidR="008A25C9" w:rsidRDefault="00000000">
            <w:pPr>
              <w:pStyle w:val="Compact"/>
            </w:pPr>
            <w:r>
              <w:t>4</w:t>
            </w:r>
          </w:p>
        </w:tc>
        <w:tc>
          <w:tcPr>
            <w:tcW w:w="0" w:type="auto"/>
          </w:tcPr>
          <w:p w14:paraId="192FF8C1" w14:textId="77777777" w:rsidR="008A25C9" w:rsidRDefault="00000000">
            <w:pPr>
              <w:pStyle w:val="Compact"/>
            </w:pPr>
            <w:r>
              <w:t>8</w:t>
            </w:r>
          </w:p>
        </w:tc>
        <w:tc>
          <w:tcPr>
            <w:tcW w:w="0" w:type="auto"/>
          </w:tcPr>
          <w:p w14:paraId="6066D017" w14:textId="77777777" w:rsidR="008A25C9" w:rsidRDefault="00000000">
            <w:pPr>
              <w:pStyle w:val="Compact"/>
            </w:pPr>
            <w:r>
              <w:t>PyTorch + open inference; open-source contributions</w:t>
            </w:r>
          </w:p>
        </w:tc>
      </w:tr>
      <w:tr w:rsidR="008A25C9" w14:paraId="77FA187F" w14:textId="77777777">
        <w:tc>
          <w:tcPr>
            <w:tcW w:w="0" w:type="auto"/>
          </w:tcPr>
          <w:p w14:paraId="249F6FAE" w14:textId="77777777" w:rsidR="008A25C9" w:rsidRDefault="00000000">
            <w:pPr>
              <w:pStyle w:val="Compact"/>
            </w:pPr>
            <w:r>
              <w:t>Human capital</w:t>
            </w:r>
          </w:p>
        </w:tc>
        <w:tc>
          <w:tcPr>
            <w:tcW w:w="0" w:type="auto"/>
          </w:tcPr>
          <w:p w14:paraId="138C3BDB" w14:textId="77777777" w:rsidR="008A25C9" w:rsidRDefault="00000000">
            <w:pPr>
              <w:pStyle w:val="Compact"/>
            </w:pPr>
            <w:r>
              <w:t>8</w:t>
            </w:r>
          </w:p>
        </w:tc>
        <w:tc>
          <w:tcPr>
            <w:tcW w:w="0" w:type="auto"/>
          </w:tcPr>
          <w:p w14:paraId="05E10BA4" w14:textId="77777777" w:rsidR="008A25C9" w:rsidRDefault="00000000">
            <w:pPr>
              <w:pStyle w:val="Compact"/>
            </w:pPr>
            <w:r>
              <w:t>12</w:t>
            </w:r>
          </w:p>
        </w:tc>
        <w:tc>
          <w:tcPr>
            <w:tcW w:w="0" w:type="auto"/>
          </w:tcPr>
          <w:p w14:paraId="25884635" w14:textId="77777777" w:rsidR="008A25C9" w:rsidRDefault="00000000">
            <w:pPr>
              <w:pStyle w:val="Compact"/>
            </w:pPr>
            <w:r>
              <w:t>Top-venue publications; Sofia University pipeline</w:t>
            </w:r>
          </w:p>
        </w:tc>
      </w:tr>
      <w:tr w:rsidR="008A25C9" w14:paraId="15C91021" w14:textId="77777777">
        <w:tc>
          <w:tcPr>
            <w:tcW w:w="0" w:type="auto"/>
          </w:tcPr>
          <w:p w14:paraId="508AB7A6" w14:textId="77777777" w:rsidR="008A25C9" w:rsidRDefault="00000000">
            <w:pPr>
              <w:pStyle w:val="Compact"/>
            </w:pPr>
            <w:r>
              <w:t>Regulatory</w:t>
            </w:r>
          </w:p>
        </w:tc>
        <w:tc>
          <w:tcPr>
            <w:tcW w:w="0" w:type="auto"/>
          </w:tcPr>
          <w:p w14:paraId="74B42A5A" w14:textId="77777777" w:rsidR="008A25C9" w:rsidRDefault="00000000">
            <w:pPr>
              <w:pStyle w:val="Compact"/>
            </w:pPr>
            <w:r>
              <w:t>4</w:t>
            </w:r>
          </w:p>
        </w:tc>
        <w:tc>
          <w:tcPr>
            <w:tcW w:w="0" w:type="auto"/>
          </w:tcPr>
          <w:p w14:paraId="3EC9B0BD" w14:textId="77777777" w:rsidR="008A25C9" w:rsidRDefault="00000000">
            <w:pPr>
              <w:pStyle w:val="Compact"/>
            </w:pPr>
            <w:r>
              <w:t>8</w:t>
            </w:r>
          </w:p>
        </w:tc>
        <w:tc>
          <w:tcPr>
            <w:tcW w:w="0" w:type="auto"/>
          </w:tcPr>
          <w:p w14:paraId="5A8E07AB" w14:textId="77777777" w:rsidR="008A25C9" w:rsidRDefault="00000000">
            <w:pPr>
              <w:pStyle w:val="Compact"/>
            </w:pPr>
            <w:r>
              <w:t>EU membership; rule-taker internationally</w:t>
            </w:r>
          </w:p>
        </w:tc>
      </w:tr>
      <w:tr w:rsidR="008A25C9" w14:paraId="20D325CF" w14:textId="77777777">
        <w:tc>
          <w:tcPr>
            <w:tcW w:w="0" w:type="auto"/>
          </w:tcPr>
          <w:p w14:paraId="5D7C6FC5" w14:textId="77777777" w:rsidR="008A25C9" w:rsidRDefault="00000000">
            <w:pPr>
              <w:pStyle w:val="Compact"/>
            </w:pPr>
            <w:r>
              <w:rPr>
                <w:b/>
              </w:rPr>
              <w:t>Total</w:t>
            </w:r>
          </w:p>
        </w:tc>
        <w:tc>
          <w:tcPr>
            <w:tcW w:w="0" w:type="auto"/>
          </w:tcPr>
          <w:p w14:paraId="09D8B1BC" w14:textId="77777777" w:rsidR="008A25C9" w:rsidRDefault="00000000">
            <w:pPr>
              <w:pStyle w:val="Compact"/>
            </w:pPr>
            <w:r>
              <w:rPr>
                <w:b/>
              </w:rPr>
              <w:t>48</w:t>
            </w:r>
          </w:p>
        </w:tc>
        <w:tc>
          <w:tcPr>
            <w:tcW w:w="0" w:type="auto"/>
          </w:tcPr>
          <w:p w14:paraId="5927329E" w14:textId="77777777" w:rsidR="008A25C9" w:rsidRDefault="00000000">
            <w:pPr>
              <w:pStyle w:val="Compact"/>
            </w:pPr>
            <w:r>
              <w:rPr>
                <w:b/>
              </w:rPr>
              <w:t>100</w:t>
            </w:r>
          </w:p>
        </w:tc>
        <w:tc>
          <w:tcPr>
            <w:tcW w:w="0" w:type="auto"/>
          </w:tcPr>
          <w:p w14:paraId="4FCDAF83" w14:textId="77777777" w:rsidR="008A25C9" w:rsidRDefault="00000000">
            <w:pPr>
              <w:pStyle w:val="Compact"/>
            </w:pPr>
            <w:r>
              <w:t>Upper end of Partially autonomous</w:t>
            </w:r>
          </w:p>
        </w:tc>
      </w:tr>
    </w:tbl>
    <w:p w14:paraId="5F5E3B48" w14:textId="77777777" w:rsidR="008A25C9" w:rsidRDefault="00000000">
      <w:pPr>
        <w:pStyle w:val="Heading3"/>
      </w:pPr>
      <w:bookmarkStart w:id="100" w:name="effect-on-a-bulgarian-enterprise"/>
      <w:r>
        <w:t>4.4 Effect on a Bulgarian enterprise</w:t>
      </w:r>
      <w:bookmarkEnd w:id="100"/>
    </w:p>
    <w:p w14:paraId="3D152521" w14:textId="77777777" w:rsidR="008A25C9" w:rsidRDefault="00000000">
      <w:pPr>
        <w:pStyle w:val="FirstParagraph"/>
      </w:pPr>
      <w:r>
        <w:t>For a Bulgarian company, BgGPT opens a genuine new choice. Two options for a typical firm in a regulated industry:</w:t>
      </w:r>
    </w:p>
    <w:tbl>
      <w:tblPr>
        <w:tblStyle w:val="Table"/>
        <w:tblW w:w="0" w:type="pct"/>
        <w:tblLook w:val="07E0" w:firstRow="1" w:lastRow="1" w:firstColumn="1" w:lastColumn="1" w:noHBand="1" w:noVBand="1"/>
      </w:tblPr>
      <w:tblGrid>
        <w:gridCol w:w="1909"/>
        <w:gridCol w:w="3020"/>
        <w:gridCol w:w="3252"/>
      </w:tblGrid>
      <w:tr w:rsidR="008A25C9" w14:paraId="049BE10E" w14:textId="77777777">
        <w:tc>
          <w:tcPr>
            <w:tcW w:w="0" w:type="auto"/>
            <w:tcBorders>
              <w:bottom w:val="single" w:sz="0" w:space="0" w:color="auto"/>
            </w:tcBorders>
            <w:vAlign w:val="bottom"/>
          </w:tcPr>
          <w:p w14:paraId="6F3E3302" w14:textId="77777777" w:rsidR="008A25C9" w:rsidRDefault="00000000">
            <w:pPr>
              <w:pStyle w:val="Compact"/>
            </w:pPr>
            <w:r>
              <w:t>Pillar</w:t>
            </w:r>
          </w:p>
        </w:tc>
        <w:tc>
          <w:tcPr>
            <w:tcW w:w="0" w:type="auto"/>
            <w:tcBorders>
              <w:bottom w:val="single" w:sz="0" w:space="0" w:color="auto"/>
            </w:tcBorders>
            <w:vAlign w:val="bottom"/>
          </w:tcPr>
          <w:p w14:paraId="4037D3A1" w14:textId="77777777" w:rsidR="008A25C9" w:rsidRDefault="00000000">
            <w:pPr>
              <w:pStyle w:val="Compact"/>
            </w:pPr>
            <w:r>
              <w:t>Scenario A: foreign API only</w:t>
            </w:r>
          </w:p>
        </w:tc>
        <w:tc>
          <w:tcPr>
            <w:tcW w:w="0" w:type="auto"/>
            <w:tcBorders>
              <w:bottom w:val="single" w:sz="0" w:space="0" w:color="auto"/>
            </w:tcBorders>
            <w:vAlign w:val="bottom"/>
          </w:tcPr>
          <w:p w14:paraId="38BEA3BA" w14:textId="77777777" w:rsidR="008A25C9" w:rsidRDefault="00000000">
            <w:pPr>
              <w:pStyle w:val="Compact"/>
            </w:pPr>
            <w:r>
              <w:t>Scenario B: local BgGPT 27B</w:t>
            </w:r>
          </w:p>
        </w:tc>
      </w:tr>
      <w:tr w:rsidR="008A25C9" w14:paraId="6C315CC6" w14:textId="77777777">
        <w:tc>
          <w:tcPr>
            <w:tcW w:w="0" w:type="auto"/>
          </w:tcPr>
          <w:p w14:paraId="6B157853" w14:textId="77777777" w:rsidR="008A25C9" w:rsidRDefault="00000000">
            <w:pPr>
              <w:pStyle w:val="Compact"/>
            </w:pPr>
            <w:r>
              <w:t>Data</w:t>
            </w:r>
          </w:p>
        </w:tc>
        <w:tc>
          <w:tcPr>
            <w:tcW w:w="0" w:type="auto"/>
          </w:tcPr>
          <w:p w14:paraId="31B608BB" w14:textId="77777777" w:rsidR="008A25C9" w:rsidRDefault="00000000">
            <w:pPr>
              <w:pStyle w:val="Compact"/>
            </w:pPr>
            <w:r>
              <w:t>3 (residency risk)</w:t>
            </w:r>
          </w:p>
        </w:tc>
        <w:tc>
          <w:tcPr>
            <w:tcW w:w="0" w:type="auto"/>
          </w:tcPr>
          <w:p w14:paraId="2F79BC16" w14:textId="77777777" w:rsidR="008A25C9" w:rsidRDefault="00000000">
            <w:pPr>
              <w:pStyle w:val="Compact"/>
            </w:pPr>
            <w:r>
              <w:t>8 (data stays local)</w:t>
            </w:r>
          </w:p>
        </w:tc>
      </w:tr>
      <w:tr w:rsidR="008A25C9" w14:paraId="1E58F3CC" w14:textId="77777777">
        <w:tc>
          <w:tcPr>
            <w:tcW w:w="0" w:type="auto"/>
          </w:tcPr>
          <w:p w14:paraId="3CC10E64" w14:textId="77777777" w:rsidR="008A25C9" w:rsidRDefault="00000000">
            <w:pPr>
              <w:pStyle w:val="Compact"/>
            </w:pPr>
            <w:r>
              <w:t>Models</w:t>
            </w:r>
          </w:p>
        </w:tc>
        <w:tc>
          <w:tcPr>
            <w:tcW w:w="0" w:type="auto"/>
          </w:tcPr>
          <w:p w14:paraId="5551F2E9" w14:textId="77777777" w:rsidR="008A25C9" w:rsidRDefault="00000000">
            <w:pPr>
              <w:pStyle w:val="Compact"/>
            </w:pPr>
            <w:r>
              <w:t>0 (L0 — foreign API)</w:t>
            </w:r>
          </w:p>
        </w:tc>
        <w:tc>
          <w:tcPr>
            <w:tcW w:w="0" w:type="auto"/>
          </w:tcPr>
          <w:p w14:paraId="43E0B3A7" w14:textId="77777777" w:rsidR="008A25C9" w:rsidRDefault="00000000">
            <w:pPr>
              <w:pStyle w:val="Compact"/>
            </w:pPr>
            <w:r>
              <w:t>11 (L2 — fine-tune capable)</w:t>
            </w:r>
          </w:p>
        </w:tc>
      </w:tr>
      <w:tr w:rsidR="008A25C9" w14:paraId="4C589658" w14:textId="77777777">
        <w:tc>
          <w:tcPr>
            <w:tcW w:w="0" w:type="auto"/>
          </w:tcPr>
          <w:p w14:paraId="558DA2B0" w14:textId="77777777" w:rsidR="008A25C9" w:rsidRDefault="00000000">
            <w:pPr>
              <w:pStyle w:val="Compact"/>
            </w:pPr>
            <w:r>
              <w:t>Infrastructure</w:t>
            </w:r>
          </w:p>
        </w:tc>
        <w:tc>
          <w:tcPr>
            <w:tcW w:w="0" w:type="auto"/>
          </w:tcPr>
          <w:p w14:paraId="35A72204" w14:textId="77777777" w:rsidR="008A25C9" w:rsidRDefault="00000000">
            <w:pPr>
              <w:pStyle w:val="Compact"/>
            </w:pPr>
            <w:r>
              <w:t>3 (cloud dependent)</w:t>
            </w:r>
          </w:p>
        </w:tc>
        <w:tc>
          <w:tcPr>
            <w:tcW w:w="0" w:type="auto"/>
          </w:tcPr>
          <w:p w14:paraId="67D0B264" w14:textId="77777777" w:rsidR="008A25C9" w:rsidRDefault="00000000">
            <w:pPr>
              <w:pStyle w:val="Compact"/>
            </w:pPr>
            <w:r>
              <w:t>6 (local inference feasible)</w:t>
            </w:r>
          </w:p>
        </w:tc>
      </w:tr>
      <w:tr w:rsidR="008A25C9" w14:paraId="5D0223E5" w14:textId="77777777">
        <w:tc>
          <w:tcPr>
            <w:tcW w:w="0" w:type="auto"/>
          </w:tcPr>
          <w:p w14:paraId="7D8C9D02" w14:textId="77777777" w:rsidR="008A25C9" w:rsidRDefault="00000000">
            <w:pPr>
              <w:pStyle w:val="Compact"/>
            </w:pPr>
            <w:r>
              <w:t>Software</w:t>
            </w:r>
          </w:p>
        </w:tc>
        <w:tc>
          <w:tcPr>
            <w:tcW w:w="0" w:type="auto"/>
          </w:tcPr>
          <w:p w14:paraId="16705D46" w14:textId="77777777" w:rsidR="008A25C9" w:rsidRDefault="00000000">
            <w:pPr>
              <w:pStyle w:val="Compact"/>
            </w:pPr>
            <w:r>
              <w:t>1 (API wrapper)</w:t>
            </w:r>
          </w:p>
        </w:tc>
        <w:tc>
          <w:tcPr>
            <w:tcW w:w="0" w:type="auto"/>
          </w:tcPr>
          <w:p w14:paraId="6FB71088" w14:textId="77777777" w:rsidR="008A25C9" w:rsidRDefault="00000000">
            <w:pPr>
              <w:pStyle w:val="Compact"/>
            </w:pPr>
            <w:r>
              <w:t>4 (vLLM / llama.cpp expertise)</w:t>
            </w:r>
          </w:p>
        </w:tc>
      </w:tr>
      <w:tr w:rsidR="008A25C9" w14:paraId="559A9E88" w14:textId="77777777">
        <w:tc>
          <w:tcPr>
            <w:tcW w:w="0" w:type="auto"/>
          </w:tcPr>
          <w:p w14:paraId="3627F703" w14:textId="77777777" w:rsidR="008A25C9" w:rsidRDefault="00000000">
            <w:pPr>
              <w:pStyle w:val="Compact"/>
            </w:pPr>
            <w:r>
              <w:t>Other five pillars</w:t>
            </w:r>
          </w:p>
        </w:tc>
        <w:tc>
          <w:tcPr>
            <w:tcW w:w="0" w:type="auto"/>
          </w:tcPr>
          <w:p w14:paraId="363BFA5E" w14:textId="77777777" w:rsidR="008A25C9" w:rsidRDefault="00000000">
            <w:pPr>
              <w:pStyle w:val="Compact"/>
            </w:pPr>
            <w:r>
              <w:t>~10</w:t>
            </w:r>
          </w:p>
        </w:tc>
        <w:tc>
          <w:tcPr>
            <w:tcW w:w="0" w:type="auto"/>
          </w:tcPr>
          <w:p w14:paraId="3600BE8B" w14:textId="77777777" w:rsidR="008A25C9" w:rsidRDefault="00000000">
            <w:pPr>
              <w:pStyle w:val="Compact"/>
            </w:pPr>
            <w:r>
              <w:t>~10</w:t>
            </w:r>
          </w:p>
        </w:tc>
      </w:tr>
      <w:tr w:rsidR="008A25C9" w14:paraId="7F1B5287" w14:textId="77777777">
        <w:tc>
          <w:tcPr>
            <w:tcW w:w="0" w:type="auto"/>
          </w:tcPr>
          <w:p w14:paraId="27C09E8D" w14:textId="77777777" w:rsidR="008A25C9" w:rsidRDefault="00000000">
            <w:pPr>
              <w:pStyle w:val="Compact"/>
            </w:pPr>
            <w:r>
              <w:rPr>
                <w:b/>
              </w:rPr>
              <w:t>Total</w:t>
            </w:r>
          </w:p>
        </w:tc>
        <w:tc>
          <w:tcPr>
            <w:tcW w:w="0" w:type="auto"/>
          </w:tcPr>
          <w:p w14:paraId="238F4437" w14:textId="77777777" w:rsidR="008A25C9" w:rsidRDefault="00000000">
            <w:pPr>
              <w:pStyle w:val="Compact"/>
            </w:pPr>
            <w:r>
              <w:rPr>
                <w:b/>
              </w:rPr>
              <w:t>~17</w:t>
            </w:r>
          </w:p>
        </w:tc>
        <w:tc>
          <w:tcPr>
            <w:tcW w:w="0" w:type="auto"/>
          </w:tcPr>
          <w:p w14:paraId="4A38C646" w14:textId="77777777" w:rsidR="008A25C9" w:rsidRDefault="00000000">
            <w:pPr>
              <w:pStyle w:val="Compact"/>
            </w:pPr>
            <w:r>
              <w:rPr>
                <w:b/>
              </w:rPr>
              <w:t>~39</w:t>
            </w:r>
          </w:p>
        </w:tc>
      </w:tr>
    </w:tbl>
    <w:p w14:paraId="563A02D9" w14:textId="77777777" w:rsidR="008A25C9" w:rsidRDefault="00000000">
      <w:pPr>
        <w:pStyle w:val="BodyText"/>
      </w:pPr>
      <w:r>
        <w:t>Moving from A to B adds about 22 points — from Fully dependent to Dependent-with-reserves, nearly Partially autonomous: the single biggest improvement available to a Bulgarian company without heavy spending on data centres or a large talent build.</w:t>
      </w:r>
    </w:p>
    <w:p w14:paraId="0A8C17C7" w14:textId="77777777" w:rsidR="008A25C9" w:rsidRDefault="00000000">
      <w:pPr>
        <w:pStyle w:val="Heading3"/>
      </w:pPr>
      <w:bookmarkStart w:id="101" w:name="strategic-implications"/>
      <w:r>
        <w:lastRenderedPageBreak/>
        <w:t>4.5 Strategic implications</w:t>
      </w:r>
      <w:bookmarkEnd w:id="101"/>
    </w:p>
    <w:p w14:paraId="3B78D1B5" w14:textId="77777777" w:rsidR="008A25C9" w:rsidRDefault="00000000">
      <w:pPr>
        <w:pStyle w:val="FirstParagraph"/>
      </w:pPr>
      <w:r>
        <w:rPr>
          <w:b/>
        </w:rPr>
        <w:t>L2 is within reach for a small economy</w:t>
      </w:r>
      <w:r>
        <w:t xml:space="preserve"> — continued pre-training plus instruction tuning matches commercial quality for tens of millions of euros, not hundreds. </w:t>
      </w:r>
      <w:r>
        <w:rPr>
          <w:b/>
        </w:rPr>
        <w:t>People are the multiplier</w:t>
      </w:r>
      <w:r>
        <w:t xml:space="preserve"> — INSAIT’s results come from a core team of roughly 20–30, which is why Human capital carries 12 points. </w:t>
      </w:r>
      <w:r>
        <w:rPr>
          <w:b/>
        </w:rPr>
        <w:t>Resilience stays limited until the lower layers diversify</w:t>
      </w:r>
      <w:r>
        <w:t xml:space="preserve"> — BgGPT fixes the Models pillar; NVIDIA and CUDA dependence underneath remains, so the Version Deadlock risk shifts down a layer, to hardware export controls, where it unfolds more slowly. </w:t>
      </w:r>
      <w:r>
        <w:rPr>
          <w:b/>
        </w:rPr>
        <w:t>The template transfers</w:t>
      </w:r>
      <w:r>
        <w:t xml:space="preserve"> — a state-backed academic centre + continued pre-training on the strongest open base + public weights is directly transposable to Portugal, Greece, Finland, the Baltics, Hungary, and most states with 5–15 million speakers, and raises an AI-SAF-N score by 5–10 points for a modest outlay.</w:t>
      </w:r>
    </w:p>
    <w:p w14:paraId="2511F13C" w14:textId="77777777" w:rsidR="008A25C9" w:rsidRDefault="00000000">
      <w:pPr>
        <w:pStyle w:val="BodyText"/>
      </w:pPr>
      <w:r>
        <w:rPr>
          <w:i/>
        </w:rPr>
        <w:t>For the master glossary, see Document 1.</w:t>
      </w:r>
      <w:r>
        <w:t xml:space="preserve"> # Document 4 · State of Play</w:t>
      </w:r>
    </w:p>
    <w:p w14:paraId="3C605487" w14:textId="77777777" w:rsidR="008A25C9" w:rsidRDefault="00000000">
      <w:pPr>
        <w:pStyle w:val="BodyText"/>
      </w:pPr>
      <w:r>
        <w:rPr>
          <w:i/>
        </w:rPr>
        <w:t>The dated market snapshot. Factual snapshot: August 2026. This document ages by design — it is refreshed each revision so the rubrics in Documents 2 and 3 do not have to be. Sources for every dated claim: Document 5, Evidence Base.</w:t>
      </w:r>
    </w:p>
    <w:p w14:paraId="56978EB1" w14:textId="77777777" w:rsidR="008A25C9" w:rsidRDefault="00000000">
      <w:pPr>
        <w:pStyle w:val="Heading2"/>
      </w:pPr>
      <w:bookmarkStart w:id="102" w:name="models"/>
      <w:bookmarkStart w:id="103" w:name="_Toc238848869"/>
      <w:r>
        <w:t>1. Models</w:t>
      </w:r>
      <w:bookmarkEnd w:id="102"/>
      <w:bookmarkEnd w:id="103"/>
    </w:p>
    <w:p w14:paraId="0F49F95D" w14:textId="77777777" w:rsidR="008A25C9" w:rsidRDefault="00000000">
      <w:pPr>
        <w:pStyle w:val="FirstParagraph"/>
      </w:pPr>
      <w:r>
        <w:rPr>
          <w:b/>
        </w:rPr>
        <w:t>Frontier and open weights.</w:t>
      </w:r>
      <w:r>
        <w:t xml:space="preserve"> Capable open-weights models are cheap and common: Llama 4, Gemma 3, Qwen 3, DeepSeek V3/V4, Mistral. DeepSeek-V4 (April 2026 preview; reported 1.6T-parameter MoE, ~1M-token context, MIT-licensed weights) shipped with day-0 adaptation to Huawei Ascend, Cambricon, Hygon, and Moore Threads — the first top-tier model optimised for a fully non-NVIDIA stack rather than treating it as fallback. Reasoning-capable models (DeepSeek R1, EXAONE Deep, Sarvam-M, Qwen thinking mode) are now a separate marker of national capability.</w:t>
      </w:r>
    </w:p>
    <w:p w14:paraId="23F02F31" w14:textId="77777777" w:rsidR="008A25C9" w:rsidRDefault="00000000">
      <w:pPr>
        <w:pStyle w:val="BodyText"/>
      </w:pPr>
      <w:r>
        <w:rPr>
          <w:b/>
        </w:rPr>
        <w:t>The Fable 5 / Mythos 5 episode (June–July 2026).</w:t>
      </w:r>
      <w:r>
        <w:t xml:space="preserve"> A US export-control directive suspended all foreign-national access to Anthropic’s frontier models on 12 June; the directive was lifted 30 June and Fable 5 restored globally 1 July, with Mythos 5 limited to approved US organisations. The 19-day outage is the framework’s flagship live Version Deadlock case (Framework §3.4) and drove a wave of European sovereign-AI initiatives: Austria’s proposal that the EU host Anthropic capacity, the UK’s Isambard-trained “Lumen Sovereign” frontier model, and accelerated German investment around Aleph Alpha.</w:t>
      </w:r>
    </w:p>
    <w:p w14:paraId="504F2C70" w14:textId="77777777" w:rsidR="008A25C9" w:rsidRDefault="00000000">
      <w:pPr>
        <w:pStyle w:val="BodyText"/>
      </w:pPr>
      <w:r>
        <w:rPr>
          <w:b/>
        </w:rPr>
        <w:t>National models.</w:t>
      </w:r>
      <w:r>
        <w:t xml:space="preserve"> BgGPT 3.0 (Bulgaria, March 2026) on Gemma 3; Meltemi (Greece), Sarvam-M (India), TAIDE (Taiwan) at L2; EuroLLM, Teuken, Poro, Aya-Expanse, EXAONE at L3; Falcon/Jais (UAE), Fugaku-LLM (Japan), DeepSeek/Qwen-on-Ascend (China) at L4. Mistral remains Europe’s only top-10 global model firm (€11.7B valuation after the September 2025 ASML-led €1.7B Series C).</w:t>
      </w:r>
    </w:p>
    <w:p w14:paraId="0868A307" w14:textId="77777777" w:rsidR="008A25C9" w:rsidRDefault="00000000">
      <w:pPr>
        <w:pStyle w:val="BodyText"/>
      </w:pPr>
      <w:r>
        <w:rPr>
          <w:b/>
        </w:rPr>
        <w:t>Reference costs.</w:t>
      </w:r>
      <w:r>
        <w:t xml:space="preserve"> DeepSeek-V3’s reported training cost (~$5.6M rented compute, 2.788M H800 GPU-hours) is the floor for replicating a top model; ~$500M/year approximates a full national ecosystem.</w:t>
      </w:r>
    </w:p>
    <w:p w14:paraId="3142EAF5" w14:textId="77777777" w:rsidR="008A25C9" w:rsidRDefault="00000000">
      <w:pPr>
        <w:pStyle w:val="Heading2"/>
      </w:pPr>
      <w:bookmarkStart w:id="104" w:name="cloud-and-sovereign-infrastructure"/>
      <w:bookmarkStart w:id="105" w:name="_Toc238848870"/>
      <w:r>
        <w:lastRenderedPageBreak/>
        <w:t>2. Cloud and sovereign infrastructure</w:t>
      </w:r>
      <w:bookmarkEnd w:id="104"/>
      <w:bookmarkEnd w:id="105"/>
    </w:p>
    <w:p w14:paraId="6F3C814F" w14:textId="77777777" w:rsidR="008A25C9" w:rsidRDefault="00000000">
      <w:pPr>
        <w:pStyle w:val="FirstParagraph"/>
      </w:pPr>
      <w:r>
        <w:rPr>
          <w:b/>
        </w:rPr>
        <w:t>Certified sovereign tier.</w:t>
      </w:r>
      <w:r>
        <w:t xml:space="preserve"> SecNumCloud 3.2 qualified providers: OVHcloud, Outscale, Scaleway, and S3NS (Thales + Google, qualified 17 December 2025 — the first major US-technology service to pass); Bleu (Capgemini + Orange + Microsoft) still in qualification.</w:t>
      </w:r>
    </w:p>
    <w:p w14:paraId="7F399866" w14:textId="77777777" w:rsidR="008A25C9" w:rsidRDefault="00000000">
      <w:pPr>
        <w:pStyle w:val="BodyText"/>
      </w:pPr>
      <w:r>
        <w:rPr>
          <w:b/>
        </w:rPr>
        <w:t>EU-operated US subsidiaries.</w:t>
      </w:r>
      <w:r>
        <w:t xml:space="preserve"> AWS European Sovereign Cloud (GA 15 January 2026, Brandenburg, €7.8B): EU staff, EU-citizen directors, but Amazon-owned — CLOUD Act exposure arguably remains; qualifies at the BSI C5 tier. Azure EU Data Boundary is a contractual promise; Microsoft’s own French Senate testimony (June 2025) conceded CLOUD Act protection cannot be guaranteed.</w:t>
      </w:r>
    </w:p>
    <w:p w14:paraId="5F98860D" w14:textId="77777777" w:rsidR="008A25C9" w:rsidRDefault="00000000">
      <w:pPr>
        <w:pStyle w:val="BodyText"/>
      </w:pPr>
      <w:r>
        <w:rPr>
          <w:b/>
        </w:rPr>
        <w:t>The EU policy layer.</w:t>
      </w:r>
      <w:r>
        <w:t xml:space="preserve"> The Cloud and AI Development Act (proposed 3 June 2026, part of the Technological Sovereignty Package with Chips Act 2.0) would create a four-level Cloud Sovereignty Framework for public procurement and aims to triple EU data-centre capacity in 5–7 years; in trilogue. The Commission’s first sovereignty-criteria cloud procurement (€180M, April 2026) went to four European groups. EUCS remains stalled with its sovereignty tier removed.</w:t>
      </w:r>
    </w:p>
    <w:p w14:paraId="795B8A71" w14:textId="77777777" w:rsidR="008A25C9" w:rsidRDefault="00000000">
      <w:pPr>
        <w:pStyle w:val="BodyText"/>
      </w:pPr>
      <w:r>
        <w:rPr>
          <w:b/>
        </w:rPr>
        <w:t>Compute programmes.</w:t>
      </w:r>
      <w:r>
        <w:t xml:space="preserve"> 19 EuroHPC AI Factories across 16 states (~€2.6–2.7B committed) plus 13 Antennas. The AI Gigafactories call opened 30 July 2026: seven sites, ≥100,000 advanced chips each, €10B public targeting ≥€20B private; bids close 12 November 2026, awards early 2027, operations ~18 months after. Ten member states have signalled hosting interest. Outside the EU: Stargate UAE (1 GW, first 200 MW due Q3 2026) inside the 5 GW UAE–US AI Campus.</w:t>
      </w:r>
    </w:p>
    <w:p w14:paraId="47DB1C91" w14:textId="77777777" w:rsidR="008A25C9" w:rsidRDefault="00000000">
      <w:pPr>
        <w:pStyle w:val="BodyText"/>
      </w:pPr>
      <w:r>
        <w:rPr>
          <w:b/>
        </w:rPr>
        <w:t>Constraints.</w:t>
      </w:r>
      <w:r>
        <w:t xml:space="preserve"> Roughly 95% of commercial AI compute is US- or Chinese-owned. European data centres cluster in FLAP-D plus Madrid and Milan; grid capacity is a live constraint (Irish data centres exceeded 20% of national electricity in 2024).</w:t>
      </w:r>
    </w:p>
    <w:p w14:paraId="3BE3C8C2" w14:textId="77777777" w:rsidR="008A25C9" w:rsidRDefault="00000000">
      <w:pPr>
        <w:pStyle w:val="Heading2"/>
      </w:pPr>
      <w:bookmarkStart w:id="106" w:name="hardware"/>
      <w:bookmarkStart w:id="107" w:name="_Toc238848871"/>
      <w:r>
        <w:t>3. Hardware</w:t>
      </w:r>
      <w:bookmarkEnd w:id="106"/>
      <w:bookmarkEnd w:id="107"/>
    </w:p>
    <w:p w14:paraId="2C998B67" w14:textId="77777777" w:rsidR="008A25C9" w:rsidRDefault="00000000">
      <w:pPr>
        <w:pStyle w:val="FirstParagraph"/>
      </w:pPr>
      <w:r>
        <w:rPr>
          <w:b/>
        </w:rPr>
        <w:t>NVIDIA.</w:t>
      </w:r>
      <w:r>
        <w:t xml:space="preserve"> Blackwell GB300 in full production; Vera Rubin platform launched at CES 2026 (NVL72 rack: 3.6 EFLOPS inference, ~$8.8M/rack, partner availability H2 2026). Vendor figures, not independently tested.</w:t>
      </w:r>
    </w:p>
    <w:p w14:paraId="1985A87D" w14:textId="77777777" w:rsidR="008A25C9" w:rsidRDefault="00000000">
      <w:pPr>
        <w:pStyle w:val="BodyText"/>
      </w:pPr>
      <w:r>
        <w:rPr>
          <w:b/>
        </w:rPr>
        <w:t>AMD.</w:t>
      </w:r>
      <w:r>
        <w:t xml:space="preserve"> MI300X/MI325X in production at scale (Azure, Meta, El Capitan); MI355X clusters at Oracle up to 131,072 chips; ~$100B Meta–AMD deal (late 2025); MI400/Helios expected H2 2026. ROCm 7.x makes AMD a believable second source.</w:t>
      </w:r>
    </w:p>
    <w:p w14:paraId="379D947C" w14:textId="77777777" w:rsidR="008A25C9" w:rsidRDefault="00000000">
      <w:pPr>
        <w:pStyle w:val="BodyText"/>
      </w:pPr>
      <w:r>
        <w:rPr>
          <w:b/>
        </w:rPr>
        <w:t>Hyperscaler ASICs — the real threat to NVIDIA’s grip.</w:t>
      </w:r>
      <w:r>
        <w:t xml:space="preserve"> Google TPU v7 Ironwood (GA November 2025; a reported 1M-chip Anthropic order); AWS Trainium3 (3nm; 500k-chip Anthropic cluster); Microsoft Maia 200; Meta MTIA v4 (RISC-V, with Broadcom). TrendForce forecasts custom-ASIC shipments growing 44.6% in 2026 vs 16.1% for GPUs, with NVIDIA’s inference share possibly falling to 20–30% by 2028.</w:t>
      </w:r>
    </w:p>
    <w:p w14:paraId="3356210E" w14:textId="77777777" w:rsidR="008A25C9" w:rsidRDefault="00000000">
      <w:pPr>
        <w:pStyle w:val="BodyText"/>
      </w:pPr>
      <w:r>
        <w:rPr>
          <w:b/>
        </w:rPr>
        <w:lastRenderedPageBreak/>
        <w:t>Chinese stack.</w:t>
      </w:r>
      <w:r>
        <w:t xml:space="preserve"> Huawei Ascend 910C (~H100-class on paper; ~600k units 2026); Ascend 950PR shipping, 950DT due Q4 2026; Cambricon ~500k chips. With DeepSeek-V4’s day-0 Ascend adaptation, China’s top models no longer need CUDA.</w:t>
      </w:r>
    </w:p>
    <w:p w14:paraId="0A3EDEEB" w14:textId="77777777" w:rsidR="008A25C9" w:rsidRDefault="00000000">
      <w:pPr>
        <w:pStyle w:val="BodyText"/>
      </w:pPr>
      <w:r>
        <w:rPr>
          <w:b/>
        </w:rPr>
        <w:t>European and Korean alternatives.</w:t>
      </w:r>
      <w:r>
        <w:t xml:space="preserve"> SiPearl Rhea1 sampling (JUPITER); Rhea2 for Jules Verne; EU DARE RISC-V programme (~€240M); Tenstorrent (open RISC-V, Blackhole shipping); Rebellions ($400M at $2.3B pre-IPO); Cerebras ($10B+/750 MW OpenAI partnership, January 2026).</w:t>
      </w:r>
    </w:p>
    <w:p w14:paraId="28FAA621" w14:textId="77777777" w:rsidR="008A25C9" w:rsidRDefault="00000000">
      <w:pPr>
        <w:pStyle w:val="BodyText"/>
      </w:pPr>
      <w:r>
        <w:rPr>
          <w:b/>
        </w:rPr>
        <w:t>US export-control posture.</w:t>
      </w:r>
      <w:r>
        <w:t xml:space="preserve"> Seven major turns 2022–2026, now deal-by-deal: the H20 15% and H200 25% revenue-share deals (2025); case-by-case licence review for H200-class (January 2026); the offshore-subsidiary rule (June 2026 — licensing requirements follow Chinese-headquartered firms abroad); H20 licences granted (July 2026). Uptake is another matter: as of mid-May 2026, no H200s had reportedly shipped to approved Chinese buyers.</w:t>
      </w:r>
    </w:p>
    <w:p w14:paraId="32C401C7" w14:textId="77777777" w:rsidR="008A25C9" w:rsidRDefault="00000000">
      <w:pPr>
        <w:pStyle w:val="Heading2"/>
      </w:pPr>
      <w:bookmarkStart w:id="108" w:name="manufacturing-and-materials"/>
      <w:bookmarkStart w:id="109" w:name="_Toc238848872"/>
      <w:r>
        <w:t>4. Manufacturing and materials</w:t>
      </w:r>
      <w:bookmarkEnd w:id="108"/>
      <w:bookmarkEnd w:id="109"/>
    </w:p>
    <w:p w14:paraId="2484F534" w14:textId="77777777" w:rsidR="008A25C9" w:rsidRDefault="00000000">
      <w:pPr>
        <w:pStyle w:val="FirstParagraph"/>
      </w:pPr>
      <w:r>
        <w:rPr>
          <w:b/>
        </w:rPr>
        <w:t>Leading edge.</w:t>
      </w:r>
      <w:r>
        <w:t xml:space="preserve"> TSMC N2 in mass production (Q4 2025; ~$25–27k/wafer; booked through 2028; Apple holds ~half of 2026–27 supply). Samsung 2nm ramping with yield struggles. Intel 18A ramping (Panther Lake shipped; AWS and Microsoft as customers) — but Intel cancelled Magdeburg and Wrocław (July 2025), forfeiting ~€10B in subsidies; ESMC Dresden (TSMC-backed, 28/22 + 16/12nm) proceeds. Chips Act 2.0 (proposed 3 June 2026) is the EU’s response: faster permitting (≤12 months), investment conditions, “Grand Challenges” including AI chips. The European Court of Auditors projects the EU at ~11.7% of the global chip value chain by 2030, versus the 20% target.</w:t>
      </w:r>
    </w:p>
    <w:p w14:paraId="1BBF916D" w14:textId="77777777" w:rsidR="008A25C9" w:rsidRDefault="00000000">
      <w:pPr>
        <w:pStyle w:val="BodyText"/>
      </w:pPr>
      <w:r>
        <w:rPr>
          <w:b/>
        </w:rPr>
        <w:t>Packaging and memory — the real bottlenecks.</w:t>
      </w:r>
      <w:r>
        <w:t xml:space="preserve"> CoWoS: ~70k wafers/month end-2025, targeting 130k end-2026, NVIDIA holding ~half. HBM4: SK Hynix, Micron, Samsung all booked for 2026; the main constraint on Rubin-class parts.</w:t>
      </w:r>
    </w:p>
    <w:p w14:paraId="1F3ACBA8" w14:textId="77777777" w:rsidR="008A25C9" w:rsidRDefault="00000000">
      <w:pPr>
        <w:pStyle w:val="BodyText"/>
      </w:pPr>
      <w:r>
        <w:rPr>
          <w:b/>
        </w:rPr>
        <w:t>Critical minerals.</w:t>
      </w:r>
      <w:r>
        <w:t xml:space="preserve"> China refines ~89% of rare earths and ~60% of germanium. The October 2025 controls were paused in November 2025 for 12 months — but enforcement through 2026 has been active: new restrictions on 10 US companies (June) and 14 EU firms (July), formalised violation-handling rules, and the first detentions of foreign nationals over alleged rare-earth smuggling. The IEA warns full enforcement could put $6.5T of downstream production at risk. The EU is standing up a joint critical-minerals purchasing and stockpiling centre. The Nexperia affair (Dutch state supervision from September 2025; Chinese counter-controls; the company operationally split by March 2026) shows the same weapon pointed both ways.</w:t>
      </w:r>
    </w:p>
    <w:p w14:paraId="2DA3A354" w14:textId="77777777" w:rsidR="008A25C9" w:rsidRDefault="00000000">
      <w:pPr>
        <w:pStyle w:val="Heading2"/>
      </w:pPr>
      <w:bookmarkStart w:id="110" w:name="software"/>
      <w:bookmarkStart w:id="111" w:name="_Toc238848873"/>
      <w:r>
        <w:t>5. Software</w:t>
      </w:r>
      <w:bookmarkEnd w:id="110"/>
      <w:bookmarkEnd w:id="111"/>
    </w:p>
    <w:p w14:paraId="79BDA94D" w14:textId="77777777" w:rsidR="008A25C9" w:rsidRDefault="00000000">
      <w:pPr>
        <w:pStyle w:val="FirstParagraph"/>
      </w:pPr>
      <w:r>
        <w:rPr>
          <w:b/>
        </w:rPr>
        <w:t>CUDA and alternatives.</w:t>
      </w:r>
      <w:r>
        <w:t xml:space="preserve"> NVIDIA holds ~75–90% of the accelerator market; CUDA beats ROCm by 10–30% on compute-bound work, less on memory-bound. TorchTPU (Google + Meta, December 2025) brings full PyTorch support to TPUs — the most direct assault on </w:t>
      </w:r>
      <w:r>
        <w:lastRenderedPageBreak/>
        <w:t>CUDA lock-in. PyTorch’s multi-party foundation governance (AMD, AWS, Google, Meta, Microsoft, NVIDIA on the board) makes single-vendor weaponisation harder.</w:t>
      </w:r>
    </w:p>
    <w:p w14:paraId="7C14DC5D" w14:textId="77777777" w:rsidR="008A25C9" w:rsidRDefault="00000000">
      <w:pPr>
        <w:pStyle w:val="BodyText"/>
      </w:pPr>
      <w:r>
        <w:rPr>
          <w:b/>
        </w:rPr>
        <w:t>Inference runtimes.</w:t>
      </w:r>
      <w:r>
        <w:t xml:space="preserve"> vLLM: best TTFT, broad hardware support — the default. TensorRT-LLM: 10–30% more throughput on pure-NVIDIA deployments. SGLang: RadixAttention, up to ~6.4× throughput on shared-prefix/agent workloads. HuggingFace TGI: maintenance mode — avoid.</w:t>
      </w:r>
    </w:p>
    <w:p w14:paraId="4756E37B" w14:textId="77777777" w:rsidR="008A25C9" w:rsidRDefault="00000000">
      <w:pPr>
        <w:pStyle w:val="Heading2"/>
      </w:pPr>
      <w:bookmarkStart w:id="112" w:name="regulatory-timeline-as-of-august-2026"/>
      <w:bookmarkStart w:id="113" w:name="_Toc238848874"/>
      <w:r>
        <w:t>6. Regulatory timeline (as of August 2026)</w:t>
      </w:r>
      <w:bookmarkEnd w:id="112"/>
      <w:bookmarkEnd w:id="113"/>
    </w:p>
    <w:tbl>
      <w:tblPr>
        <w:tblStyle w:val="Table"/>
        <w:tblW w:w="5000" w:type="pct"/>
        <w:tblLook w:val="07E0" w:firstRow="1" w:lastRow="1" w:firstColumn="1" w:lastColumn="1" w:noHBand="1" w:noVBand="1"/>
      </w:tblPr>
      <w:tblGrid>
        <w:gridCol w:w="2994"/>
        <w:gridCol w:w="6366"/>
      </w:tblGrid>
      <w:tr w:rsidR="008A25C9" w14:paraId="7C59EDB5" w14:textId="77777777">
        <w:tc>
          <w:tcPr>
            <w:tcW w:w="0" w:type="auto"/>
            <w:tcBorders>
              <w:bottom w:val="single" w:sz="0" w:space="0" w:color="auto"/>
            </w:tcBorders>
            <w:vAlign w:val="bottom"/>
          </w:tcPr>
          <w:p w14:paraId="6B61BDB9" w14:textId="77777777" w:rsidR="008A25C9" w:rsidRDefault="00000000">
            <w:pPr>
              <w:pStyle w:val="Compact"/>
            </w:pPr>
            <w:r>
              <w:t>Instrument</w:t>
            </w:r>
          </w:p>
        </w:tc>
        <w:tc>
          <w:tcPr>
            <w:tcW w:w="0" w:type="auto"/>
            <w:tcBorders>
              <w:bottom w:val="single" w:sz="0" w:space="0" w:color="auto"/>
            </w:tcBorders>
            <w:vAlign w:val="bottom"/>
          </w:tcPr>
          <w:p w14:paraId="1FB84C75" w14:textId="77777777" w:rsidR="008A25C9" w:rsidRDefault="00000000">
            <w:pPr>
              <w:pStyle w:val="Compact"/>
            </w:pPr>
            <w:r>
              <w:t>Status</w:t>
            </w:r>
          </w:p>
        </w:tc>
      </w:tr>
      <w:tr w:rsidR="008A25C9" w14:paraId="78FE664D" w14:textId="77777777">
        <w:tc>
          <w:tcPr>
            <w:tcW w:w="0" w:type="auto"/>
          </w:tcPr>
          <w:p w14:paraId="2101245A" w14:textId="77777777" w:rsidR="008A25C9" w:rsidRDefault="00000000">
            <w:pPr>
              <w:pStyle w:val="Compact"/>
            </w:pPr>
            <w:r>
              <w:t>EU AI Act — bans, AI literacy</w:t>
            </w:r>
          </w:p>
        </w:tc>
        <w:tc>
          <w:tcPr>
            <w:tcW w:w="0" w:type="auto"/>
          </w:tcPr>
          <w:p w14:paraId="43DC643E" w14:textId="77777777" w:rsidR="008A25C9" w:rsidRDefault="00000000">
            <w:pPr>
              <w:pStyle w:val="Compact"/>
            </w:pPr>
            <w:r>
              <w:t>In force since 2 February 2025</w:t>
            </w:r>
          </w:p>
        </w:tc>
      </w:tr>
      <w:tr w:rsidR="008A25C9" w14:paraId="77009C6B" w14:textId="77777777">
        <w:tc>
          <w:tcPr>
            <w:tcW w:w="0" w:type="auto"/>
          </w:tcPr>
          <w:p w14:paraId="52A798A0" w14:textId="77777777" w:rsidR="008A25C9" w:rsidRDefault="00000000">
            <w:pPr>
              <w:pStyle w:val="Compact"/>
            </w:pPr>
            <w:r>
              <w:t>EU AI Act — GPAI obligations</w:t>
            </w:r>
          </w:p>
        </w:tc>
        <w:tc>
          <w:tcPr>
            <w:tcW w:w="0" w:type="auto"/>
          </w:tcPr>
          <w:p w14:paraId="02970753" w14:textId="77777777" w:rsidR="008A25C9" w:rsidRDefault="00000000">
            <w:pPr>
              <w:pStyle w:val="Compact"/>
            </w:pPr>
            <w:r>
              <w:t xml:space="preserve">In force 2 August 2025; </w:t>
            </w:r>
            <w:r>
              <w:rPr>
                <w:b/>
              </w:rPr>
              <w:t>enforceable (AI Office penalty powers, Article 50 transparency) since 2 August 2026</w:t>
            </w:r>
          </w:p>
        </w:tc>
      </w:tr>
      <w:tr w:rsidR="008A25C9" w14:paraId="0E53C3D9" w14:textId="77777777">
        <w:tc>
          <w:tcPr>
            <w:tcW w:w="0" w:type="auto"/>
          </w:tcPr>
          <w:p w14:paraId="6D7DA796" w14:textId="77777777" w:rsidR="008A25C9" w:rsidRDefault="00000000">
            <w:pPr>
              <w:pStyle w:val="Compact"/>
            </w:pPr>
            <w:r>
              <w:t>EU AI Act — high-risk</w:t>
            </w:r>
          </w:p>
        </w:tc>
        <w:tc>
          <w:tcPr>
            <w:tcW w:w="0" w:type="auto"/>
          </w:tcPr>
          <w:p w14:paraId="089319DC" w14:textId="77777777" w:rsidR="008A25C9" w:rsidRDefault="00000000">
            <w:pPr>
              <w:pStyle w:val="Compact"/>
            </w:pPr>
            <w:r>
              <w:rPr>
                <w:b/>
              </w:rPr>
              <w:t>Deferred by Digital Omnibus (in force 27 July 2026): Annex III → 2 December 2027; Annex I → 2 August 2028</w:t>
            </w:r>
          </w:p>
        </w:tc>
      </w:tr>
      <w:tr w:rsidR="008A25C9" w14:paraId="7FE816EA" w14:textId="77777777">
        <w:tc>
          <w:tcPr>
            <w:tcW w:w="0" w:type="auto"/>
          </w:tcPr>
          <w:p w14:paraId="3E8D14C7" w14:textId="77777777" w:rsidR="008A25C9" w:rsidRDefault="00000000">
            <w:pPr>
              <w:pStyle w:val="Compact"/>
            </w:pPr>
            <w:r>
              <w:t>GPAI Code of Practice</w:t>
            </w:r>
          </w:p>
        </w:tc>
        <w:tc>
          <w:tcPr>
            <w:tcW w:w="0" w:type="auto"/>
          </w:tcPr>
          <w:p w14:paraId="4562F1EE" w14:textId="77777777" w:rsidR="008A25C9" w:rsidRDefault="00000000">
            <w:pPr>
              <w:pStyle w:val="Compact"/>
            </w:pPr>
            <w:r>
              <w:t>Endorsed 1 August 2025; Meta declined; xAI signed safety chapter only</w:t>
            </w:r>
          </w:p>
        </w:tc>
      </w:tr>
      <w:tr w:rsidR="008A25C9" w14:paraId="790F192E" w14:textId="77777777">
        <w:tc>
          <w:tcPr>
            <w:tcW w:w="0" w:type="auto"/>
          </w:tcPr>
          <w:p w14:paraId="05C41EF3" w14:textId="77777777" w:rsidR="008A25C9" w:rsidRDefault="00000000">
            <w:pPr>
              <w:pStyle w:val="Compact"/>
            </w:pPr>
            <w:r>
              <w:t>EU Data Act Chapter VII</w:t>
            </w:r>
          </w:p>
        </w:tc>
        <w:tc>
          <w:tcPr>
            <w:tcW w:w="0" w:type="auto"/>
          </w:tcPr>
          <w:p w14:paraId="4FE40134" w14:textId="77777777" w:rsidR="008A25C9" w:rsidRDefault="00000000">
            <w:pPr>
              <w:pStyle w:val="Compact"/>
            </w:pPr>
            <w:r>
              <w:t>Fully applicable since September 2025</w:t>
            </w:r>
          </w:p>
        </w:tc>
      </w:tr>
      <w:tr w:rsidR="008A25C9" w14:paraId="26444B97" w14:textId="77777777">
        <w:tc>
          <w:tcPr>
            <w:tcW w:w="0" w:type="auto"/>
          </w:tcPr>
          <w:p w14:paraId="5345EC20" w14:textId="77777777" w:rsidR="008A25C9" w:rsidRDefault="00000000">
            <w:pPr>
              <w:pStyle w:val="Compact"/>
            </w:pPr>
            <w:r>
              <w:t>DORA</w:t>
            </w:r>
          </w:p>
        </w:tc>
        <w:tc>
          <w:tcPr>
            <w:tcW w:w="0" w:type="auto"/>
          </w:tcPr>
          <w:p w14:paraId="3C806F8D" w14:textId="77777777" w:rsidR="008A25C9" w:rsidRDefault="00000000">
            <w:pPr>
              <w:pStyle w:val="Compact"/>
            </w:pPr>
            <w:r>
              <w:t>In force since 17 January 2025</w:t>
            </w:r>
          </w:p>
        </w:tc>
      </w:tr>
      <w:tr w:rsidR="008A25C9" w14:paraId="1CD8EB39" w14:textId="77777777">
        <w:tc>
          <w:tcPr>
            <w:tcW w:w="0" w:type="auto"/>
          </w:tcPr>
          <w:p w14:paraId="2514B1C1" w14:textId="77777777" w:rsidR="008A25C9" w:rsidRDefault="00000000">
            <w:pPr>
              <w:pStyle w:val="Compact"/>
            </w:pPr>
            <w:r>
              <w:t>Council of Europe AI Convention (CETS 225)</w:t>
            </w:r>
          </w:p>
        </w:tc>
        <w:tc>
          <w:tcPr>
            <w:tcW w:w="0" w:type="auto"/>
          </w:tcPr>
          <w:p w14:paraId="25F4010C" w14:textId="77777777" w:rsidR="008A25C9" w:rsidRDefault="00000000">
            <w:pPr>
              <w:pStyle w:val="Compact"/>
            </w:pPr>
            <w:r>
              <w:t>In force 1 November 2025</w:t>
            </w:r>
          </w:p>
        </w:tc>
      </w:tr>
      <w:tr w:rsidR="008A25C9" w14:paraId="588EE2B6" w14:textId="77777777">
        <w:tc>
          <w:tcPr>
            <w:tcW w:w="0" w:type="auto"/>
          </w:tcPr>
          <w:p w14:paraId="48C4B695" w14:textId="77777777" w:rsidR="008A25C9" w:rsidRDefault="00000000">
            <w:pPr>
              <w:pStyle w:val="Compact"/>
            </w:pPr>
            <w:r>
              <w:t>CADA + Chips Act 2.0</w:t>
            </w:r>
          </w:p>
        </w:tc>
        <w:tc>
          <w:tcPr>
            <w:tcW w:w="0" w:type="auto"/>
          </w:tcPr>
          <w:p w14:paraId="3D9D59E8" w14:textId="77777777" w:rsidR="008A25C9" w:rsidRDefault="00000000">
            <w:pPr>
              <w:pStyle w:val="Compact"/>
            </w:pPr>
            <w:r>
              <w:t>Proposed 3 June 2026; in trilogue</w:t>
            </w:r>
          </w:p>
        </w:tc>
      </w:tr>
      <w:tr w:rsidR="008A25C9" w14:paraId="432C96CD" w14:textId="77777777">
        <w:tc>
          <w:tcPr>
            <w:tcW w:w="0" w:type="auto"/>
          </w:tcPr>
          <w:p w14:paraId="7C9C3A41" w14:textId="77777777" w:rsidR="008A25C9" w:rsidRDefault="00000000">
            <w:pPr>
              <w:pStyle w:val="Compact"/>
            </w:pPr>
            <w:r>
              <w:t>New Delhi Declaration</w:t>
            </w:r>
          </w:p>
        </w:tc>
        <w:tc>
          <w:tcPr>
            <w:tcW w:w="0" w:type="auto"/>
          </w:tcPr>
          <w:p w14:paraId="1073BD29" w14:textId="77777777" w:rsidR="008A25C9" w:rsidRDefault="00000000">
            <w:pPr>
              <w:pStyle w:val="Compact"/>
            </w:pPr>
            <w:r>
              <w:t>Adopted 18–19 February 2026; 92 endorsements</w:t>
            </w:r>
          </w:p>
        </w:tc>
      </w:tr>
      <w:tr w:rsidR="008A25C9" w14:paraId="2FAC9473" w14:textId="77777777">
        <w:tc>
          <w:tcPr>
            <w:tcW w:w="0" w:type="auto"/>
          </w:tcPr>
          <w:p w14:paraId="20A20633" w14:textId="77777777" w:rsidR="008A25C9" w:rsidRDefault="00000000">
            <w:pPr>
              <w:pStyle w:val="Compact"/>
            </w:pPr>
            <w:r>
              <w:t>US posture</w:t>
            </w:r>
          </w:p>
        </w:tc>
        <w:tc>
          <w:tcPr>
            <w:tcW w:w="0" w:type="auto"/>
          </w:tcPr>
          <w:p w14:paraId="02D49033" w14:textId="77777777" w:rsidR="008A25C9" w:rsidRDefault="00000000">
            <w:pPr>
              <w:pStyle w:val="Compact"/>
            </w:pPr>
            <w:r>
              <w:t>Deal-by-deal export diplomacy; Fable/Mythos directive (12 June) lifted 30 June 2026</w:t>
            </w:r>
          </w:p>
        </w:tc>
      </w:tr>
    </w:tbl>
    <w:p w14:paraId="0AC7C1CC" w14:textId="77777777" w:rsidR="008A25C9" w:rsidRDefault="00000000">
      <w:pPr>
        <w:pStyle w:val="Heading2"/>
      </w:pPr>
      <w:bookmarkStart w:id="114" w:name="Xe5bc60609f8f983df4941c945ffd6c7afe9de76"/>
      <w:bookmarkStart w:id="115" w:name="_Toc238848875"/>
      <w:r>
        <w:t>7. Human capital and talent reference figures</w:t>
      </w:r>
      <w:bookmarkEnd w:id="114"/>
      <w:bookmarkEnd w:id="115"/>
    </w:p>
    <w:p w14:paraId="2C625433" w14:textId="77777777" w:rsidR="008A25C9" w:rsidRDefault="00000000">
      <w:pPr>
        <w:pStyle w:val="FirstParagraph"/>
      </w:pPr>
      <w:r>
        <w:t xml:space="preserve">MacroPolo Global AI Talent Tracker 2.0 (March 2024, NeurIPS 2022 data): 75% of top AI researchers at US institutions did undergraduate work in the US or China; China produces 47% of top researchers by undergraduate origin; mobility is falling. Stanford AI Index 2026: the US holds ~75% of global GPU compute (up from 51%); China’s share fell to ~14%; the US produced 50 notable models in 2025 vs China’s 30; Switzerland (110.5) and Singapore (109.5) lead researchers per 100k population; the US–China top-model capability gap has all but closed; 80 of the 95 most notable 2025 models shipped without training code; average Foundation Model Transparency Index score fell to 40. # Document 5 · Evidence Base </w:t>
      </w:r>
      <w:r>
        <w:rPr>
          <w:i/>
        </w:rPr>
        <w:t xml:space="preserve">Primary sources and verified citations. Base snapshot April 2026; entries marked </w:t>
      </w:r>
      <w:r>
        <w:rPr>
          <w:b/>
          <w:i/>
        </w:rPr>
        <w:t>[Added v0.7.1]</w:t>
      </w:r>
      <w:r>
        <w:rPr>
          <w:i/>
        </w:rPr>
        <w:t xml:space="preserve"> verified August 2026.</w:t>
      </w:r>
    </w:p>
    <w:p w14:paraId="5344FEFE" w14:textId="77777777" w:rsidR="008A25C9" w:rsidRDefault="00000000">
      <w:pPr>
        <w:pStyle w:val="Heading3"/>
      </w:pPr>
      <w:bookmarkStart w:id="116" w:name="how-to-use-this-document"/>
      <w:r>
        <w:lastRenderedPageBreak/>
        <w:t>How to use this document</w:t>
      </w:r>
      <w:bookmarkEnd w:id="116"/>
    </w:p>
    <w:p w14:paraId="18F747A5" w14:textId="77777777" w:rsidR="008A25C9" w:rsidRDefault="00000000">
      <w:pPr>
        <w:pStyle w:val="FirstParagraph"/>
      </w:pPr>
      <w:r>
        <w:t>This is the source list behind the AI-SAF Framework package. It gives the original source for every dated event, number, and named person mentioned in the three main framework documents (the Framework, the AI-SAF-N Field Guide, and the AI-SAF-C Field Guide) and in the companion refinement paper. It is built to do three jobs. First, it is a companion reference: if you come across an event in any framework document, you can find it here by topic and date and check the original source. Second, it stands on its own as a briefing, grouped by topic rather than by framework building block — so someone interested in, say, the home-grown cloud response to the CLOUD Act can read that section without knowing how the AI-SAF building blocks are organised. Third, it is the paper trail behind anything published: if a framework document is ever submitted to a journal, a policy forum, or a standards body, the sources can be pulled straight from here without checking them all over again. Every entry is laid out the same way. A short statement of the claim, in the same wording the framework documents use, is followed by one or more original sources with web links. A final line in italics shows which framework documents rely on that claim. Where a claim was checked against several sources, the most reliable one comes first. Where a claim could only be partly confirmed, a Note line is added.</w:t>
      </w:r>
    </w:p>
    <w:p w14:paraId="61843199" w14:textId="77777777" w:rsidR="008A25C9" w:rsidRDefault="00000000">
      <w:pPr>
        <w:pStyle w:val="Heading3"/>
      </w:pPr>
      <w:bookmarkStart w:id="117" w:name="verification-methodology"/>
      <w:r>
        <w:t>Verification methodology</w:t>
      </w:r>
      <w:bookmarkEnd w:id="117"/>
    </w:p>
    <w:p w14:paraId="276F9E50" w14:textId="77777777" w:rsidR="008A25C9" w:rsidRDefault="00000000">
      <w:pPr>
        <w:pStyle w:val="FirstParagraph"/>
      </w:pPr>
      <w:r>
        <w:t>Every claim was checked by going straight to the original source (official press releases, court rulings, regulator decisions, laws, or peer-reviewed papers) or, where the original was behind a paywall or unavailable, by confirming it across at least two independent second-hand sources (major business press, legal commentary, or standards bodies). No claim rests on a single second-hand source. Three cautions about how this was put together. First, the field moves faster than the sources can keep up: items confirmed here in April 2026 will eventually be out of date; the entries marked [Added v0.7.1] were verified in August 2026 and the same caution applies to them. Second, performance claims from vendors (FLOPS, memory bandwidth, benchmark scores) should be read as the maker’s own specs, not as figures someone independently reproduced. Third, the scoring examples for specific firms (BNP Paribas, ING) in the framework documents are the authors’ own estimates from public information — they show how the method works, and are not official outside assessments.</w:t>
      </w:r>
    </w:p>
    <w:p w14:paraId="001933D7" w14:textId="77777777" w:rsidR="008A25C9" w:rsidRDefault="00000000">
      <w:pPr>
        <w:pStyle w:val="Heading3"/>
      </w:pPr>
      <w:bookmarkStart w:id="118" w:name="document-cross-reference-key"/>
      <w:r>
        <w:t>Document cross-reference key</w:t>
      </w:r>
      <w:bookmarkEnd w:id="118"/>
    </w:p>
    <w:p w14:paraId="61E66B3D" w14:textId="77777777" w:rsidR="008A25C9" w:rsidRDefault="00000000">
      <w:pPr>
        <w:pStyle w:val="FirstParagraph"/>
      </w:pPr>
      <w:r>
        <w:t>In each entry, the “Referenced in” line uses the following abbreviations: Framework — AI-SAF Framework (Document 1) AI-SAF-C — AI-SAF-C Field Guide (Document 2, corporate scoring) AI-SAF-N — AI-SAF-N Field Guide (Document 3, national scoring) Refining — Refining AI-SAF v2.0 whitepaper (cited version)</w:t>
      </w:r>
    </w:p>
    <w:p w14:paraId="5FACDC79" w14:textId="77777777" w:rsidR="008A25C9" w:rsidRDefault="00000000">
      <w:pPr>
        <w:pStyle w:val="Heading3"/>
      </w:pPr>
      <w:bookmarkStart w:id="119" w:name="contents"/>
      <w:r>
        <w:lastRenderedPageBreak/>
        <w:t>Contents</w:t>
      </w:r>
      <w:bookmarkEnd w:id="119"/>
    </w:p>
    <w:p w14:paraId="05930938" w14:textId="77777777" w:rsidR="008A25C9" w:rsidRDefault="00000000">
      <w:pPr>
        <w:pStyle w:val="Heading2"/>
      </w:pPr>
      <w:bookmarkStart w:id="120" w:name="part-a.-sovereignty-incidents-cloud-data"/>
      <w:bookmarkStart w:id="121" w:name="_Toc238848876"/>
      <w:r>
        <w:t>Part A. Sovereignty incidents — cloud &amp; data</w:t>
      </w:r>
      <w:bookmarkEnd w:id="120"/>
      <w:bookmarkEnd w:id="121"/>
    </w:p>
    <w:p w14:paraId="74D55519" w14:textId="77777777" w:rsidR="008A25C9" w:rsidRDefault="00000000">
      <w:pPr>
        <w:pStyle w:val="Heading2"/>
      </w:pPr>
      <w:bookmarkStart w:id="122" w:name="X334e40b31bea72733b356ad88b9b3788ebc98d7"/>
      <w:bookmarkStart w:id="123" w:name="_Toc238848877"/>
      <w:r>
        <w:t>Part B. Sovereignty incidents — hardware, export controls, supply chain</w:t>
      </w:r>
      <w:bookmarkEnd w:id="122"/>
      <w:bookmarkEnd w:id="123"/>
    </w:p>
    <w:p w14:paraId="372EA348" w14:textId="77777777" w:rsidR="008A25C9" w:rsidRDefault="00000000">
      <w:pPr>
        <w:pStyle w:val="Heading2"/>
      </w:pPr>
      <w:bookmarkStart w:id="124" w:name="X64789d74aa9660c8d6cc11dd5633a54c8eb22fc"/>
      <w:bookmarkStart w:id="125" w:name="_Toc238848878"/>
      <w:r>
        <w:t>Part C. Sovereignty incidents — manufacturing &amp; critical materials</w:t>
      </w:r>
      <w:bookmarkEnd w:id="124"/>
      <w:bookmarkEnd w:id="125"/>
    </w:p>
    <w:p w14:paraId="133ADD19" w14:textId="77777777" w:rsidR="008A25C9" w:rsidRDefault="00000000">
      <w:pPr>
        <w:pStyle w:val="Heading4"/>
      </w:pPr>
      <w:bookmarkStart w:id="126" w:name="X3a4c337ee3546017e4d6b195e02e7110e89fa61"/>
      <w:r>
        <w:t>Nexperia state supervision and supply standoff (September 2025 → ongoing) [Added v0.7.1]</w:t>
      </w:r>
      <w:bookmarkEnd w:id="126"/>
    </w:p>
    <w:p w14:paraId="5440B6B0" w14:textId="77777777" w:rsidR="008A25C9" w:rsidRDefault="00000000">
      <w:pPr>
        <w:pStyle w:val="FirstParagraph"/>
      </w:pPr>
      <w:r>
        <w:t>Claim. In September 2025 the Netherlands invoked the Goods Availability Act to place Nexperia — the Nijmegen-headquartered semiconductor maker majority-owned by China’s Wingtech — under temporary state supervision on national-security grounds. China responded with export controls on China-produced Nexperia chips, disrupting automotive production worldwide from October 2025. By March 2026 the Dutch and Chinese arms were operating as separate, often hostile entities (on 3 March 2026 Nexperia B.V. cut Chinese staff off from global IT systems). Partial de-escalation followed — China walked back export controls and The Hague relinquished oversight — but the entities had not reunited as of mid-2026. A textbook two-directional sovereignty incident: European assertion of control over a chip asset, answered by Chinese leverage over the downstream supply chain.</w:t>
      </w:r>
    </w:p>
    <w:p w14:paraId="51AD5707" w14:textId="77777777" w:rsidR="008A25C9" w:rsidRDefault="00000000">
      <w:pPr>
        <w:pStyle w:val="BodyText"/>
      </w:pPr>
      <w:r>
        <w:t>Sources: Z2Data, “The Nexperia Chip Crisis, Explained” https://www.z2data.com/insights/the-nexperia-chip-crisis-explained/; Jill Goldenziel, “The Dutch Seized a Chinese Chipmaker. Supply Chain Chaos Has Just Begun,” Forbes, 31 December 2025 https://www.forbes.com/sites/jillgoldenziel/2025/12/31/the-dutch-seized-a-chinese-chipmaker-supply-chain-chaos-has-just-begun/; Diplomat Magazine, “China–Netherlands Technology Dispute over Nexperia Enters a Negotiated Phase,” 6 January 2026 https://diplomatmagazine.eu/2026/01/06/china-netherlands-technology-dispute-over-nexperia-enters-a-negotiated-phase/.</w:t>
      </w:r>
    </w:p>
    <w:p w14:paraId="01F08043" w14:textId="77777777" w:rsidR="008A25C9" w:rsidRDefault="00000000">
      <w:pPr>
        <w:pStyle w:val="BodyText"/>
      </w:pPr>
      <w:r>
        <w:t>Note. This incident predates the April 2026 snapshot but was absent from earlier Evidence Base revisions; added in v0.7.1.</w:t>
      </w:r>
    </w:p>
    <w:p w14:paraId="02754038" w14:textId="77777777" w:rsidR="008A25C9" w:rsidRDefault="00000000">
      <w:pPr>
        <w:pStyle w:val="BodyText"/>
      </w:pPr>
      <w:r>
        <w:t>Referenced in: AI-SAF-N Manufacturing pillar; State of Play §4.</w:t>
      </w:r>
    </w:p>
    <w:p w14:paraId="672D4876" w14:textId="77777777" w:rsidR="008A25C9" w:rsidRDefault="00000000">
      <w:pPr>
        <w:pStyle w:val="Heading4"/>
      </w:pPr>
      <w:bookmarkStart w:id="127" w:name="X8c25b071e3cadd62ca9a8fc1cdcd4e86eedcc32"/>
      <w:r>
        <w:t>China rare-earth enforcement wave (June – July 2026) [Added v0.7.1]</w:t>
      </w:r>
      <w:bookmarkEnd w:id="127"/>
    </w:p>
    <w:p w14:paraId="4F41B678" w14:textId="77777777" w:rsidR="008A25C9" w:rsidRDefault="00000000">
      <w:pPr>
        <w:pStyle w:val="FirstParagraph"/>
      </w:pPr>
      <w:r>
        <w:t>Claim. Despite the November 2025 pause, enforcement stayed active through 2026. On 22 June 2026 MOFCOM placed 10 US companies under new export restrictions; by 24 July it had blocked dual-use shipments to 14 EU firms. Announcement No. 26 (24 June 2026) formalised the handling of violations involving strategic-mineral dual-use controls. Two Japanese nationals were detained in Dalian (May 2026) over alleged rare-earth-related smuggling — among the first foreign-national detentions tied to these controls. The IEA warned that full enforcement could put $6.5 trillion of downstream production at risk.</w:t>
      </w:r>
    </w:p>
    <w:p w14:paraId="27020977" w14:textId="77777777" w:rsidR="008A25C9" w:rsidRDefault="00000000">
      <w:pPr>
        <w:pStyle w:val="BodyText"/>
      </w:pPr>
      <w:r>
        <w:t xml:space="preserve">Sources: Morgan Lewis, “Recent China Export Control Actions Signal Active Enforcement for Rare Earths and Strategic Minerals,” July 2026 </w:t>
      </w:r>
      <w:r>
        <w:lastRenderedPageBreak/>
        <w:t>https://www.morganlewis.com/pubs/2026/07/recent-china-export-control-actions-signal-active-enforcement-for-rare-earths-and-strategic-minerals; China Briefing, “China’s Rare Earth Export Controls — Impact on Businesses and Industries” https://www.china-briefing.com/news/chinas-rare-earth-export-controls-impacts-on-businesses/.</w:t>
      </w:r>
    </w:p>
    <w:p w14:paraId="1431D4FA" w14:textId="77777777" w:rsidR="008A25C9" w:rsidRDefault="00000000">
      <w:pPr>
        <w:pStyle w:val="BodyText"/>
      </w:pPr>
      <w:r>
        <w:t>Referenced in: AI-SAF-N Manufacturing pillar (critical-minerals sub-indicator); State of Play §4.</w:t>
      </w:r>
    </w:p>
    <w:p w14:paraId="56C43DE1" w14:textId="77777777" w:rsidR="008A25C9" w:rsidRDefault="00000000">
      <w:pPr>
        <w:pStyle w:val="Heading2"/>
      </w:pPr>
      <w:bookmarkStart w:id="128" w:name="part-d.-sovereign-stack-responses"/>
      <w:bookmarkStart w:id="129" w:name="_Toc238848879"/>
      <w:r>
        <w:t>Part D. Sovereign stack responses</w:t>
      </w:r>
      <w:bookmarkEnd w:id="128"/>
      <w:bookmarkEnd w:id="129"/>
    </w:p>
    <w:p w14:paraId="4186D062" w14:textId="77777777" w:rsidR="008A25C9" w:rsidRDefault="00000000">
      <w:pPr>
        <w:pStyle w:val="Heading4"/>
      </w:pPr>
      <w:bookmarkStart w:id="130" w:name="Xe8b6533c848723cfaf367655f9cb5b1f882561f"/>
      <w:r>
        <w:t>EuroHPC AI Gigafactories call (30 July 2026) [Added v0.7.1]</w:t>
      </w:r>
      <w:bookmarkEnd w:id="130"/>
    </w:p>
    <w:p w14:paraId="6BF50BCD" w14:textId="77777777" w:rsidR="008A25C9" w:rsidRDefault="00000000">
      <w:pPr>
        <w:pStyle w:val="FirstParagraph"/>
      </w:pPr>
      <w:r>
        <w:t>Claim. The EuroHPC Joint Undertaking opened the formal call for seven AI Gigafactories on 30 July 2026: €10 billion in public funding intended to mobilise at least €20 billion more in private investment, each site to hold at least 100,000 advanced AI chips. Bids close 12 November 2026; awards are expected in early 2027, with operations targeted about 18 months after selection. Ten member states signalled hosting interest (Germany, Italy, France, Poland, Czechia, Denmark, Finland, Greece, Portugal, Spain).</w:t>
      </w:r>
    </w:p>
    <w:p w14:paraId="32D2AD43" w14:textId="77777777" w:rsidR="008A25C9" w:rsidRDefault="00000000">
      <w:pPr>
        <w:pStyle w:val="BodyText"/>
      </w:pPr>
      <w:r>
        <w:t>Sources: EuroHPC JU, “The EuroHPC Joint Undertaking launches the AI Gigafactories Call,” 30 July 2026 https://www.eurohpc-ju.europa.eu/eurohpc-joint-undertaking-launches-ai-gigafactories-call-2026-07-30_en; European Commission, “EU launches AI Gigafactories call” https://digital-strategy.ec.europa.eu/en/news/eu-launches-ai-gigafactories-call-boost-europes-computing-capacity-and-unlock-more-eu30-billion; Euronews, 30 July 2026 https://www.euronews.com/my-europe/2026/07/30/eu-opens-call-for-seven-gigafactories-to-train-next-generation-ai-technologies.</w:t>
      </w:r>
    </w:p>
    <w:p w14:paraId="574DAB7F" w14:textId="77777777" w:rsidR="008A25C9" w:rsidRDefault="00000000">
      <w:pPr>
        <w:pStyle w:val="BodyText"/>
      </w:pPr>
      <w:r>
        <w:t>Referenced in: AI-SAF-N Infrastructure pillar (Local compute, pooled-capacity crediting); Framework §2.4 calibration; State of Play §2.</w:t>
      </w:r>
    </w:p>
    <w:p w14:paraId="59B8FDE7" w14:textId="77777777" w:rsidR="008A25C9" w:rsidRDefault="00000000">
      <w:pPr>
        <w:pStyle w:val="Heading4"/>
      </w:pPr>
      <w:bookmarkStart w:id="131" w:name="Xb498673a2f79f6a215805dc9745c3d869fd0270"/>
      <w:r>
        <w:t>First EU sovereignty-criteria cloud procurement (April 2026) [Added v0.7.1]</w:t>
      </w:r>
      <w:bookmarkEnd w:id="131"/>
    </w:p>
    <w:p w14:paraId="28F16DCC" w14:textId="77777777" w:rsidR="008A25C9" w:rsidRDefault="00000000">
      <w:pPr>
        <w:pStyle w:val="FirstParagraph"/>
      </w:pPr>
      <w:r>
        <w:t>Claim. The European Commission awarded a €180 million sovereign-cloud contract to four European provider groups (Post Telecom, StackIT, Scaleway, Proximus), reported as the first EU procurement run on explicit sovereignty criteria.</w:t>
      </w:r>
    </w:p>
    <w:p w14:paraId="510DEDA5" w14:textId="77777777" w:rsidR="008A25C9" w:rsidRDefault="00000000">
      <w:pPr>
        <w:pStyle w:val="BodyText"/>
      </w:pPr>
      <w:r>
        <w:t>Sources: Julien Simon, “Two Sovereign Clouds, One Legal Wall,” Medium https://julsimon.medium.com/two-sovereign-clouds-one-legal-wall-ff39bcc0432b.</w:t>
      </w:r>
    </w:p>
    <w:p w14:paraId="1E62B82C" w14:textId="77777777" w:rsidR="008A25C9" w:rsidRDefault="00000000">
      <w:pPr>
        <w:pStyle w:val="BodyText"/>
      </w:pPr>
      <w:r>
        <w:t>Note. Secondary sourcing only; verify against the Commission’s award notice before citing in anything published.</w:t>
      </w:r>
    </w:p>
    <w:p w14:paraId="4C4032AC" w14:textId="77777777" w:rsidR="008A25C9" w:rsidRDefault="00000000">
      <w:pPr>
        <w:pStyle w:val="BodyText"/>
      </w:pPr>
      <w:r>
        <w:t>Referenced in: AI-SAF-N Infrastructure pillar; State of Play §2.</w:t>
      </w:r>
    </w:p>
    <w:p w14:paraId="55E4BD49" w14:textId="77777777" w:rsidR="008A25C9" w:rsidRDefault="00000000">
      <w:pPr>
        <w:pStyle w:val="Heading2"/>
      </w:pPr>
      <w:bookmarkStart w:id="132" w:name="part-e.-regulatory-instruments"/>
      <w:bookmarkStart w:id="133" w:name="_Toc238848880"/>
      <w:r>
        <w:lastRenderedPageBreak/>
        <w:t>Part E. Regulatory instruments</w:t>
      </w:r>
      <w:bookmarkEnd w:id="132"/>
      <w:bookmarkEnd w:id="133"/>
    </w:p>
    <w:p w14:paraId="433E7A54" w14:textId="77777777" w:rsidR="008A25C9" w:rsidRDefault="00000000">
      <w:pPr>
        <w:pStyle w:val="Heading4"/>
      </w:pPr>
      <w:bookmarkStart w:id="134" w:name="Xdec50bf65501dd66d41c1ba396bee1c2dfc24f6"/>
      <w:r>
        <w:t>EU AI Act — Digital Omnibus deferral and GPAI enforcement (27 July / 2 August 2026) [Added v0.7.1]</w:t>
      </w:r>
      <w:bookmarkEnd w:id="134"/>
    </w:p>
    <w:p w14:paraId="4EE7B611" w14:textId="77777777" w:rsidR="008A25C9" w:rsidRDefault="00000000">
      <w:pPr>
        <w:pStyle w:val="FirstParagraph"/>
      </w:pPr>
      <w:r>
        <w:t>Claim. The Digital Omnibus on AI (proposed 19 November 2025) entered into force on 27 July 2026, deferring the AI Act’s high-risk obligations: stand-alone Annex III systems to 2 December 2027, and AI embedded in Annex I regulated products to 2 August 2028. The GPAI provisions were not deferred: on 2 August 2026, Article 50 transparency obligations, Commission penalty powers over GPAI providers, and full national market-surveillance authority took effect as originally scheduled.</w:t>
      </w:r>
    </w:p>
    <w:p w14:paraId="2A4083F1" w14:textId="77777777" w:rsidR="008A25C9" w:rsidRDefault="00000000">
      <w:pPr>
        <w:pStyle w:val="BodyText"/>
      </w:pPr>
      <w:r>
        <w:t>Sources: Gibson Dunn, “EU AI Act Omnibus Agreement — Postponed High-Risk Deadlines and Other Key Changes” https://www.gibsondunn.com/eu-ai-act-omnibus-agreement-postponed-high-risk-deadlines-and-other-key-changes/; Freshfields, “EU AI Act unpacked #34: The final Digital Omnibus on AI” https://www.freshfields.com/en/our-thinking/blogs/technology-quotient/eu-ai-act-unpacked-34-the-final-digital-omnibus-on-ai-key-amendments-to-the-a-102nber; DLA Piper, “The Digital AI Omnibus: Proposed deferral of high-risk AI obligations” https://knowledge.dlapiper.com/dlapiperknowledge/globalemploymentlatestdevelopments/2026/The-Digital-AI-Omnibus-Proposed-deferral-of-high-risk-AI-obligations-under-the-AI-Act.</w:t>
      </w:r>
    </w:p>
    <w:p w14:paraId="08127F42" w14:textId="77777777" w:rsidR="008A25C9" w:rsidRDefault="00000000">
      <w:pPr>
        <w:pStyle w:val="BodyText"/>
      </w:pPr>
      <w:r>
        <w:t>Referenced in: Framework Part V; AI-SAF-C Regulatory pillar; AI-SAF-N Regulatory pillar; State of Play §6.</w:t>
      </w:r>
    </w:p>
    <w:p w14:paraId="48A8BE20" w14:textId="77777777" w:rsidR="008A25C9" w:rsidRDefault="00000000">
      <w:pPr>
        <w:pStyle w:val="Heading4"/>
      </w:pPr>
      <w:bookmarkStart w:id="135" w:name="Xd790e87b653dda1a6f5a014352ac2c755e80acb"/>
      <w:r>
        <w:t>EU Technological Sovereignty Package: CADA and Chips Act 2.0 (3 June 2026) [Added v0.7.1]</w:t>
      </w:r>
      <w:bookmarkEnd w:id="135"/>
    </w:p>
    <w:p w14:paraId="0C929F7B" w14:textId="77777777" w:rsidR="008A25C9" w:rsidRDefault="00000000">
      <w:pPr>
        <w:pStyle w:val="FirstParagraph"/>
      </w:pPr>
      <w:r>
        <w:t>Claim. On 3 June 2026 the European Commission adopted the Cloud and AI Development Act proposal (COM(2026) 502) and the Chips Act 2.0 proposal (COM(2026) 504). CADA aims to triple EU data-centre capacity within five to seven years, creates data-centre acceleration zones, and establishes a Cloud Sovereignty Framework grading cloud services on four assurance levels — from EU data location (level 1) to full supply-chain control free of third-country interference (level 4) — applicable to public-sector procurement. Chips Act 2.0 targets permitting within 12 months, investment conditions, and “Grand Challenges” including AI chips; the European Court of Auditors projects the EU at ~11.7% of the global chip value chain by 2030 versus the 20% target. Both proposals are in trilogue.</w:t>
      </w:r>
    </w:p>
    <w:p w14:paraId="6FFCDA98" w14:textId="77777777" w:rsidR="008A25C9" w:rsidRDefault="00000000">
      <w:pPr>
        <w:pStyle w:val="BodyText"/>
      </w:pPr>
      <w:r>
        <w:t>Sources: European Commission, “Proposal for the Cloud and AI Development Act (CADA)” https://digital-strategy.ec.europa.eu/en/library/proposal-cloud-and-ai-development-act-cada; EUR-Lex COM(2026) 502 https://eur-lex.europa.eu/legal-content/EN/TXT/?uri=COM%3A2026%3A502%3AFIN; Covington, “The EU Cloud and AI Development Act in Depth,” 11 June 2026 https://www.insideglobaltech.com/2026/06/11/the-eu-cloud-and-ai-development-act-in-depth/; European Commission, “Proposal for the Chips Act 2.0” https://digital-strategy.ec.europa.eu/en/library/proposal-chips-act-20.</w:t>
      </w:r>
    </w:p>
    <w:p w14:paraId="525AD9CD" w14:textId="77777777" w:rsidR="008A25C9" w:rsidRDefault="00000000">
      <w:pPr>
        <w:pStyle w:val="BodyText"/>
      </w:pPr>
      <w:r>
        <w:lastRenderedPageBreak/>
        <w:t>Referenced in: Framework Part V; AI-SAF-C Infrastructure pillar; AI-SAF-N Infrastructure and Manufacturing pillars; State of Play §2, §4.</w:t>
      </w:r>
    </w:p>
    <w:p w14:paraId="02626C90" w14:textId="77777777" w:rsidR="008A25C9" w:rsidRDefault="00000000">
      <w:pPr>
        <w:pStyle w:val="Heading4"/>
      </w:pPr>
      <w:bookmarkStart w:id="136" w:name="Xa30be01527cac18dcf1aa21a1b1951195130ca5"/>
      <w:r>
        <w:t>New Delhi AI Impact Summit and Declaration (16–21 February 2026) [Added v0.7.1 — promoted from Part J]</w:t>
      </w:r>
      <w:bookmarkEnd w:id="136"/>
    </w:p>
    <w:p w14:paraId="14EB70AF" w14:textId="77777777" w:rsidR="008A25C9" w:rsidRDefault="00000000">
      <w:pPr>
        <w:pStyle w:val="FirstParagraph"/>
      </w:pPr>
      <w:r>
        <w:t>Claim. The India AI Impact Summit ran 16–21 February 2026 at Bharat Mandapam, New Delhi, with representatives of 118 countries. The New Delhi Declaration on AI Impact, adopted 18–19 February, was endorsed by 92 countries and international organisations, structured around seven pillars (“Chakras”). Outcomes include the Charter for the Democratic Diffusion of AI, the Global AI Impact Commons, and India’s GPU expansion (20,000 added to an existing 38,000, targeting 100,000 by end-2026).</w:t>
      </w:r>
    </w:p>
    <w:p w14:paraId="274EAF09" w14:textId="77777777" w:rsidR="008A25C9" w:rsidRDefault="00000000">
      <w:pPr>
        <w:pStyle w:val="BodyText"/>
      </w:pPr>
      <w:r>
        <w:t>Sources: Press Information Bureau (Government of India), “AI Impact Summit 2026 Concludes with Adoption of New Delhi Declaration” https://www.pib.gov.in/PressReleasePage.aspx?PRID=2231208&amp;v=4&amp;reg=3&amp;lang=2; Ministry of External Affairs press release https://www.mea.gov.in/press-releases.htm?dtl%2F40810%2FAI_Impact_Summit_2026_Concludes_with_Adoption_of_New_Delhi_Declaration=.</w:t>
      </w:r>
    </w:p>
    <w:p w14:paraId="109DC55D" w14:textId="77777777" w:rsidR="008A25C9" w:rsidRDefault="00000000">
      <w:pPr>
        <w:pStyle w:val="BodyText"/>
      </w:pPr>
      <w:r>
        <w:t>Referenced in: AI-SAF-N Regulatory pillar; State of Play §6.</w:t>
      </w:r>
    </w:p>
    <w:p w14:paraId="0FA93324" w14:textId="77777777" w:rsidR="008A25C9" w:rsidRDefault="00000000">
      <w:pPr>
        <w:pStyle w:val="Heading2"/>
      </w:pPr>
      <w:bookmarkStart w:id="137" w:name="part-f.-copyright-and-legal-rulings"/>
      <w:bookmarkStart w:id="138" w:name="_Toc238848881"/>
      <w:r>
        <w:t>Part F. Copyright and legal rulings</w:t>
      </w:r>
      <w:bookmarkEnd w:id="137"/>
      <w:bookmarkEnd w:id="138"/>
    </w:p>
    <w:p w14:paraId="691BA1F3" w14:textId="77777777" w:rsidR="008A25C9" w:rsidRDefault="00000000">
      <w:pPr>
        <w:pStyle w:val="Heading2"/>
      </w:pPr>
      <w:bookmarkStart w:id="139" w:name="X115a536e1e0dfb692d2d5e3c05b1f883789875b"/>
      <w:bookmarkStart w:id="140" w:name="_Toc238848882"/>
      <w:r>
        <w:t>Part G. Research and technical references</w:t>
      </w:r>
      <w:bookmarkEnd w:id="139"/>
      <w:bookmarkEnd w:id="140"/>
    </w:p>
    <w:p w14:paraId="6420D81E" w14:textId="77777777" w:rsidR="008A25C9" w:rsidRDefault="00000000">
      <w:pPr>
        <w:pStyle w:val="Heading2"/>
      </w:pPr>
      <w:bookmarkStart w:id="141" w:name="X8e64e865b175605d7426980176e0a3d30e57203"/>
      <w:bookmarkStart w:id="142" w:name="_Toc238848883"/>
      <w:r>
        <w:t>Part H. Benchmark frameworks (peer indices)</w:t>
      </w:r>
      <w:bookmarkEnd w:id="141"/>
      <w:bookmarkEnd w:id="142"/>
    </w:p>
    <w:p w14:paraId="5B0FE5DE" w14:textId="77777777" w:rsidR="008A25C9" w:rsidRDefault="00000000">
      <w:pPr>
        <w:pStyle w:val="Heading2"/>
      </w:pPr>
      <w:bookmarkStart w:id="143" w:name="X3145460ed54b7984d731e7c42bfc3d524106f78"/>
      <w:bookmarkStart w:id="144" w:name="_Toc238848884"/>
      <w:r>
        <w:t>Part J. Claims not yet individually verified</w:t>
      </w:r>
      <w:bookmarkEnd w:id="143"/>
      <w:bookmarkEnd w:id="144"/>
    </w:p>
    <w:p w14:paraId="0BF24FDE" w14:textId="77777777" w:rsidR="008A25C9" w:rsidRDefault="00000000">
      <w:pPr>
        <w:pStyle w:val="Heading2"/>
      </w:pPr>
      <w:bookmarkStart w:id="145" w:name="X178133eb9a177a1222e5e6782d8838856f95ee0"/>
      <w:bookmarkStart w:id="146" w:name="_Toc238848885"/>
      <w:r>
        <w:t>Part A. Sovereignty incidents — cloud &amp; data</w:t>
      </w:r>
      <w:bookmarkEnd w:id="145"/>
      <w:bookmarkEnd w:id="146"/>
    </w:p>
    <w:p w14:paraId="69EE9F6F" w14:textId="77777777" w:rsidR="008A25C9" w:rsidRDefault="00000000">
      <w:pPr>
        <w:pStyle w:val="Heading4"/>
      </w:pPr>
      <w:bookmarkStart w:id="147" w:name="X80453ca0c62f7d9fa026b18634de9d0fe3f2d5a"/>
      <w:r>
        <w:t>Microsoft France CLOUD Act testimony (10 June 2025)</w:t>
      </w:r>
      <w:bookmarkEnd w:id="147"/>
    </w:p>
    <w:p w14:paraId="0267507A" w14:textId="77777777" w:rsidR="008A25C9" w:rsidRDefault="00000000">
      <w:pPr>
        <w:pStyle w:val="FirstParagraph"/>
      </w:pPr>
      <w:r>
        <w:t>Claim. Anton Carniaux, Director of Public and Legal Affairs at Microsoft France, testified under oath to a French Senate inquiry into public buying and digital sovereignty that he could not guarantee French citizens’ data held in Microsoft’s EU data centres would never be handed to US authorities without France’s consent. Asked directly, he said “No, I cannot guarantee that.” The law that makes this possible is the US CLOUD Act of 2018.</w:t>
      </w:r>
    </w:p>
    <w:p w14:paraId="5087020E" w14:textId="77777777" w:rsidR="008A25C9" w:rsidRDefault="00000000">
      <w:pPr>
        <w:pStyle w:val="BodyText"/>
      </w:pPr>
      <w:r>
        <w:t>Sources: Sénat de la République française, Commission d’enquête sur la commande publique et la souveraineté numérique, Audition d’Anton Carniaux, 10 June 2025; Lindsay Clark, “Microsoft exec admits it cannot guarantee data sovereignty,” The Register, 25 July 2025 https://www.theregister.com/2025/07/25/microsoft_admits_it_cannot_guarantee; Cristiano Lima-Strong, “Microsoft tells French lawmakers it can’t protect user data from US demands,” SDxCentral, 21 July 2025 https://www.sdxcentral.com/news/microsoft-tells-french-lawmakers-it-cant-protect-user-data-from-us-demands/.</w:t>
      </w:r>
    </w:p>
    <w:p w14:paraId="6666B398" w14:textId="77777777" w:rsidR="008A25C9" w:rsidRDefault="00000000">
      <w:pPr>
        <w:pStyle w:val="BodyText"/>
      </w:pPr>
      <w:r>
        <w:lastRenderedPageBreak/>
        <w:t>Referenced in: Framework §2 (illustrative incident), AI-SAF-N Infrastructure pillar, AI-SAF-C Infrastructure pillar, Refining §3.3</w:t>
      </w:r>
    </w:p>
    <w:p w14:paraId="0D04BD44" w14:textId="77777777" w:rsidR="008A25C9" w:rsidRDefault="00000000">
      <w:pPr>
        <w:pStyle w:val="Heading4"/>
      </w:pPr>
      <w:bookmarkStart w:id="148" w:name="Xf0de285ac805cae3cc204bdedf25bd841e90f6f"/>
      <w:r>
        <w:t>Microsoft / ICC email block of Karim Khan (February–May 2025)</w:t>
      </w:r>
      <w:bookmarkEnd w:id="148"/>
    </w:p>
    <w:p w14:paraId="09DD9487" w14:textId="77777777" w:rsidR="008A25C9" w:rsidRDefault="00000000">
      <w:pPr>
        <w:pStyle w:val="FirstParagraph"/>
      </w:pPr>
      <w:r>
        <w:t>Claim. After the US Treasury imposed sanctions in February 2025 on International Criminal Court Chief Prosecutor Karim Khan — in response to ICC investigations into Israeli officials — Khan’s Microsoft email was switched off. The ICC then moved its office and teamwork software to OpenDesk, a free, open-source platform from Germany’s Centre for Digital Sovereignty (ZenDiS). Microsoft has disputed some accounts of how events unfolded.</w:t>
      </w:r>
    </w:p>
    <w:p w14:paraId="1497A2B6" w14:textId="77777777" w:rsidR="008A25C9" w:rsidRDefault="00000000">
      <w:pPr>
        <w:pStyle w:val="BodyText"/>
      </w:pPr>
      <w:r>
        <w:t>Sources: Associated Press reporting, February–May 2025; Computer Weekly, “Microsoft’s ICC email block reignites European data sovereignty concerns,” 23 May 2025 https://www.computerweekly.com/opinion/Microsofts-ICC-email-block-reignites-European-data-sovereignty-concerns; Xinhua, “Microsoft email block of ICC prosecutor fuels Dutch alarm over US tech dependence,” 20 May 2025 https://english.news.cn/20250521/4a278fdce8324af59346ecf47ac407c9/c.html; Lindsay Clark, “Microsoft throws spox under the bus in ICC email flap,” The Register, 18 February 2026 https://www.theregister.com/2026/02/18/microsoft_asks_uk_parliament_to_correct_record/.</w:t>
      </w:r>
    </w:p>
    <w:p w14:paraId="1849E547" w14:textId="77777777" w:rsidR="008A25C9" w:rsidRDefault="00000000">
      <w:pPr>
        <w:pStyle w:val="BodyText"/>
      </w:pPr>
      <w:r>
        <w:t>Referenced in: Framework §2, AI-SAF-C Infrastructure, Refining §3.3</w:t>
      </w:r>
    </w:p>
    <w:p w14:paraId="65EDA15E" w14:textId="77777777" w:rsidR="008A25C9" w:rsidRDefault="00000000">
      <w:pPr>
        <w:pStyle w:val="Heading4"/>
      </w:pPr>
      <w:bookmarkStart w:id="149" w:name="Xe82ae2755f0aca952b852e4afb7a565887e5ef7"/>
      <w:r>
        <w:t>Meta Llama multimodal EU withdrawal (18 July 2024)</w:t>
      </w:r>
      <w:bookmarkEnd w:id="149"/>
    </w:p>
    <w:p w14:paraId="68548569" w14:textId="77777777" w:rsidR="008A25C9" w:rsidRDefault="00000000">
      <w:pPr>
        <w:pStyle w:val="FirstParagraph"/>
      </w:pPr>
      <w:r>
        <w:t>Claim. Meta said it would not release its upcoming multimodal Llama model (one that handles text, images, and more) in the European Union, blaming “the unpredictable nature of the European regulatory environment.” Its specific complaint was about GDPR duties around using EU users’ data to train AI, and it came after the Irish Data Protection Commission asked Meta to hold off on plans to use public Facebook and Instagram content for training.</w:t>
      </w:r>
    </w:p>
    <w:p w14:paraId="0D8F0D6D" w14:textId="77777777" w:rsidR="008A25C9" w:rsidRDefault="00000000">
      <w:pPr>
        <w:pStyle w:val="BodyText"/>
      </w:pPr>
      <w:r>
        <w:t>Sources: Ryan Heath, “Scoop: Meta won’t offer future multimodal AI models in EU,” Axios, 17 July 2024 https://www.axios.com/2024/07/17/meta-future-multimodal-ai-models-eu; Suhasini Srinivasaragavan, “Meta will not launch multimodal Llama AI model in EU,” Silicon Republic, 18 July 2024 https://www.siliconrepublic.com/business/meta-llama-3-multimodal-ai-model-llm-eu-europe-launch-delay.</w:t>
      </w:r>
    </w:p>
    <w:p w14:paraId="4402C0E0" w14:textId="77777777" w:rsidR="008A25C9" w:rsidRDefault="00000000">
      <w:pPr>
        <w:pStyle w:val="BodyText"/>
      </w:pPr>
      <w:r>
        <w:t>Referenced in: Framework §2, AI-SAF-N Data pillar, AI-SAF-N Regulatory pillar, Refining §3.1</w:t>
      </w:r>
    </w:p>
    <w:p w14:paraId="38AE26A5" w14:textId="77777777" w:rsidR="008A25C9" w:rsidRDefault="00000000">
      <w:pPr>
        <w:pStyle w:val="Heading4"/>
      </w:pPr>
      <w:bookmarkStart w:id="150" w:name="X7f3f986bef35e98acd4d41b66b3ee7fbf88944b"/>
      <w:r>
        <w:t>Apple Intelligence EU delay (October 2024 → April 2025)</w:t>
      </w:r>
      <w:bookmarkEnd w:id="150"/>
    </w:p>
    <w:p w14:paraId="0C0D568B" w14:textId="77777777" w:rsidR="008A25C9" w:rsidRDefault="00000000">
      <w:pPr>
        <w:pStyle w:val="FirstParagraph"/>
      </w:pPr>
      <w:r>
        <w:t>Claim. Apple Intelligence features arrived worldwide with iOS 18.1 in October 2024 but were held back for EU users until iOS 18.4 in April 2025, expressly because of the Digital Markets Act’s rules requiring products to work with rivals’ systems.</w:t>
      </w:r>
    </w:p>
    <w:p w14:paraId="76BDDAB9" w14:textId="77777777" w:rsidR="008A25C9" w:rsidRDefault="00000000">
      <w:pPr>
        <w:pStyle w:val="BodyText"/>
      </w:pPr>
      <w:r>
        <w:lastRenderedPageBreak/>
        <w:t>Sources: Romain Dillet, “Apple Intelligence is coming to the EU in April 2025,” TechCrunch, 28 October 2024 https://techcrunch.com/2024/10/28/apple-intelligence-is-coming-to-the-eu-in-april-2025/; Apple Inc., “The Digital Markets Act’s impacts on EU users,” Apple Newsroom, September 2025 https://www.apple.com/newsroom/2025/09/the-digital-markets-acts-impacts-on-eu-users/.</w:t>
      </w:r>
    </w:p>
    <w:p w14:paraId="6C7CEF4E" w14:textId="77777777" w:rsidR="008A25C9" w:rsidRDefault="00000000">
      <w:pPr>
        <w:pStyle w:val="BodyText"/>
      </w:pPr>
      <w:r>
        <w:t>Referenced in: Framework §2, AI-SAF-N Data pillar, Refining §3.1</w:t>
      </w:r>
    </w:p>
    <w:p w14:paraId="0FF5662B" w14:textId="77777777" w:rsidR="008A25C9" w:rsidRDefault="00000000">
      <w:pPr>
        <w:pStyle w:val="Heading4"/>
      </w:pPr>
      <w:bookmarkStart w:id="151" w:name="Xc25b5bca451f89750884d98d16dcb631ee54299"/>
      <w:r>
        <w:t>Italian Garante DeepSeek ban (30 January 2025)</w:t>
      </w:r>
      <w:bookmarkEnd w:id="151"/>
    </w:p>
    <w:p w14:paraId="545D4993" w14:textId="77777777" w:rsidR="008A25C9" w:rsidRDefault="00000000">
      <w:pPr>
        <w:pStyle w:val="FirstParagraph"/>
      </w:pPr>
      <w:r>
        <w:t>Claim. Italy’s data protection authority (the Garante) ordered DeepSeek — Hangzhou DeepSeek AI and Beijing DeepSeek AI — to stop handling Italian users’ personal data after the companies claimed they “did not operate in Italy” and that European rules did not apply. The Garante called the companies’ response “completely insufficient.” The order covered the app-store versions; the website stayed reachable. Authorities in Belgium, Ireland, France, Portugal, and Spain opened their own investigations.</w:t>
      </w:r>
    </w:p>
    <w:p w14:paraId="19DC70F5" w14:textId="77777777" w:rsidR="008A25C9" w:rsidRDefault="00000000">
      <w:pPr>
        <w:pStyle w:val="BodyText"/>
      </w:pPr>
      <w:r>
        <w:t>Sources: Garante per la protezione dei dati personali, press release of 30 January 2025; Bird &amp; Bird, “The Garante imposes a definitive limitation on the processing of Italian users’ personal data,” 26 February 2025 https://www.twobirds.com/en/insights/2025/the-garante-imposes-a-definitive-limitation-on-the-processing-of-italian-users’-personal-data; Euronews, “DeepSeek AI blocked by Italian authorities,” 31 January 2025 https://www.euronews.com/next/2025/01/31/deepseek-ai-blocked-by-italian-authorities-as-others-member-states-open-probes.</w:t>
      </w:r>
    </w:p>
    <w:p w14:paraId="38E637B4" w14:textId="77777777" w:rsidR="008A25C9" w:rsidRDefault="00000000">
      <w:pPr>
        <w:pStyle w:val="BodyText"/>
      </w:pPr>
      <w:r>
        <w:t>Referenced in: Framework §2, AI-SAF-N Regulatory pillar, Refining §3.8</w:t>
      </w:r>
    </w:p>
    <w:p w14:paraId="72F3BFEA" w14:textId="77777777" w:rsidR="008A25C9" w:rsidRDefault="00000000">
      <w:pPr>
        <w:pStyle w:val="Heading2"/>
      </w:pPr>
      <w:bookmarkStart w:id="152" w:name="X4d236b3ee0511693e33e5290d526756afe89ce5"/>
      <w:bookmarkStart w:id="153" w:name="_Toc238848886"/>
      <w:r>
        <w:t>Part B. Sovereignty incidents — hardware, export controls, supply chain</w:t>
      </w:r>
      <w:bookmarkEnd w:id="152"/>
      <w:bookmarkEnd w:id="153"/>
    </w:p>
    <w:p w14:paraId="0C1677CF" w14:textId="77777777" w:rsidR="008A25C9" w:rsidRDefault="00000000">
      <w:pPr>
        <w:pStyle w:val="Heading4"/>
      </w:pPr>
      <w:bookmarkStart w:id="154" w:name="Xfcca5b808972949c798a5e5ae500b7ee168fc10"/>
      <w:r>
        <w:t>Biden AI Diffusion Rule / Trump rescission (15 January → 13 May 2025)</w:t>
      </w:r>
      <w:bookmarkEnd w:id="154"/>
    </w:p>
    <w:p w14:paraId="54FF0728" w14:textId="77777777" w:rsidR="008A25C9" w:rsidRDefault="00000000">
      <w:pPr>
        <w:pStyle w:val="FirstParagraph"/>
      </w:pPr>
      <w:r>
        <w:t>Claim. The Biden administration issued the “AI Diffusion Rule” on 15 January 2025 (published in the Federal Register), set to take effect on 15 May 2025. The rule sorted the world into three tiers and capped each country’s imports of advanced chips. On 13 May 2025, two days before it would have kicked in, the Trump administration’s Commerce Department Bureau of Industry and Security (BIS) scrapped it, with Under Secretary Jeffrey Kessler telling BIS enforcement staff not to apply it. At the same time, BIS put out three new guidance documents — on controlling advanced-computing chips, on training AI for weapons-of-mass-destruction uses, and on tactics used to dodge supply-chain controls.</w:t>
      </w:r>
    </w:p>
    <w:p w14:paraId="56C263E5" w14:textId="77777777" w:rsidR="008A25C9" w:rsidRDefault="00000000">
      <w:pPr>
        <w:pStyle w:val="BodyText"/>
      </w:pPr>
      <w:r>
        <w:t>Sources: US Department of Commerce, BIS, “Department of Commerce Rescinds Biden-Era Artificial Intelligence Diffusion Rule,” 13 May 2025 https://media.bis.gov/press-release/department-commerce-rescinds-biden-era-artificial-intelligence-diffusion-rule-strengthens-chip-related; Becca Szkutak, “Trump administration officially rescinds Biden’s AI diffusion rules,” TechCrunch, 13 May 2025 https://techcrunch.com/2025/05/13/trump-administration-officially-rescinds-bidens-ai-diffusion-rules/.</w:t>
      </w:r>
    </w:p>
    <w:p w14:paraId="7A7F2446" w14:textId="77777777" w:rsidR="008A25C9" w:rsidRDefault="00000000">
      <w:pPr>
        <w:pStyle w:val="BodyText"/>
      </w:pPr>
      <w:r>
        <w:lastRenderedPageBreak/>
        <w:t>Referenced in: Framework §2, AI-SAF-N Hardware pillar, AI-SAF-N Regulatory pillar, Refining §3.4</w:t>
      </w:r>
    </w:p>
    <w:p w14:paraId="7A9F9AB2" w14:textId="77777777" w:rsidR="008A25C9" w:rsidRDefault="00000000">
      <w:pPr>
        <w:pStyle w:val="Heading4"/>
      </w:pPr>
      <w:bookmarkStart w:id="155" w:name="X8573b1408dd0cff5dd0e94a18b94fb2d8190660"/>
      <w:r>
        <w:t>Nvidia H20 / AMD MI308 revenue-share deal (11 August 2025)</w:t>
      </w:r>
      <w:bookmarkEnd w:id="155"/>
    </w:p>
    <w:p w14:paraId="57FE95E0" w14:textId="77777777" w:rsidR="008A25C9" w:rsidRDefault="00000000">
      <w:pPr>
        <w:pStyle w:val="FirstParagraph"/>
      </w:pPr>
      <w:r>
        <w:t>Claim. President Trump announced that Nvidia would pay the US government 15% of what it earns from selling H20 chips to China, with AMD agreeing to the same 15% on MI308 sales. This was a fundamental shift — from banning these exports to taxing them. In the previous quarter (April 2025), export controls had blocked roughly $2.5 billion of H20 sales to China from showing up in Nvidia’s results.</w:t>
      </w:r>
    </w:p>
    <w:p w14:paraId="5CC88BEA" w14:textId="77777777" w:rsidR="008A25C9" w:rsidRDefault="00000000">
      <w:pPr>
        <w:pStyle w:val="BodyText"/>
      </w:pPr>
      <w:r>
        <w:t>Sources: Fortune / Bloomberg, “Nvidia, AMD agree to pay US 15% of China chip sale revenue,” 10 August 2025 https://fortune.com/2025/08/10/nvidia-amd-chips-h20-mi308-china-sales-revenue-trump-export-license/; NPR, “Trump says Nvidia will hand the US 15% of its H20 chip sales to China,” 11 August 2025 https://www.npr.org/2025/08/11/nx-s1-5498689/trump-nvidia-h20-chip-sales-china; Bruno Micheli, “Trump’s Political Tax on Nvidia Chips to China,” American Action Forum, 12 August 2025 https://www.americanactionforum.org/insight/trumps-political-tax-on-nvidia-chips-to-china/.</w:t>
      </w:r>
    </w:p>
    <w:p w14:paraId="14AC6C2C" w14:textId="77777777" w:rsidR="008A25C9" w:rsidRDefault="00000000">
      <w:pPr>
        <w:pStyle w:val="BodyText"/>
      </w:pPr>
      <w:r>
        <w:t>Referenced in: Framework §2, AI-SAF-N Hardware pillar, Refining §3.4</w:t>
      </w:r>
    </w:p>
    <w:p w14:paraId="35BE977F" w14:textId="77777777" w:rsidR="008A25C9" w:rsidRDefault="00000000">
      <w:pPr>
        <w:pStyle w:val="Heading4"/>
      </w:pPr>
      <w:bookmarkStart w:id="156" w:name="X8dc9ffed8607d2779672643d480273b46682231"/>
      <w:r>
        <w:t>Nvidia H200 revenue-share deal (8 December 2025)</w:t>
      </w:r>
      <w:bookmarkEnd w:id="156"/>
    </w:p>
    <w:p w14:paraId="6BC6AFDC" w14:textId="77777777" w:rsidR="008A25C9" w:rsidRDefault="00000000">
      <w:pPr>
        <w:pStyle w:val="FirstParagraph"/>
      </w:pPr>
      <w:r>
        <w:t>Claim. President Trump announced that Nvidia would be allowed to ship H200 chips to approved customers in China, on condition that the US take a 25% cut of the revenue. Chinese President Xi Jinping reportedly responded favourably.</w:t>
      </w:r>
    </w:p>
    <w:p w14:paraId="40558B20" w14:textId="77777777" w:rsidR="008A25C9" w:rsidRDefault="00000000">
      <w:pPr>
        <w:pStyle w:val="BodyText"/>
      </w:pPr>
      <w:r>
        <w:t>Sources: Arjun Kharpal, “Trump greenlights Nvidia H200 AI chip sales to China if US gets 25% cut,” CNBC, 8 December 2025 https://www.cnbc.com/2025/12/08/trump-nvidia-h200-sales-china.html.</w:t>
      </w:r>
    </w:p>
    <w:p w14:paraId="2CC71C60" w14:textId="77777777" w:rsidR="008A25C9" w:rsidRDefault="00000000">
      <w:pPr>
        <w:pStyle w:val="BodyText"/>
      </w:pPr>
      <w:r>
        <w:t>Referenced in: Framework §2, AI-SAF-N Hardware pillar, Refining §3.4</w:t>
      </w:r>
    </w:p>
    <w:p w14:paraId="6D9848DE" w14:textId="77777777" w:rsidR="008A25C9" w:rsidRDefault="00000000">
      <w:pPr>
        <w:pStyle w:val="Heading4"/>
      </w:pPr>
      <w:bookmarkStart w:id="157" w:name="crowdstrike-global-outage-19-july-2024"/>
      <w:r>
        <w:t>CrowdStrike global outage (19 July 2024)</w:t>
      </w:r>
      <w:bookmarkEnd w:id="157"/>
    </w:p>
    <w:p w14:paraId="06305D1F" w14:textId="77777777" w:rsidR="008A25C9" w:rsidRDefault="00000000">
      <w:pPr>
        <w:pStyle w:val="FirstParagraph"/>
      </w:pPr>
      <w:r>
        <w:t>Claim. A broken update to CrowdStrike’s Falcon Sensor security software (channel file 291, timestamped 2024-07-19 04:09 UTC) set off what is widely called the largest IT outage in history. About 8.5 million Windows devices — roughly 1% of all Windows machines — crashed, throwing airlines, banks, hospitals, shops, and emergency services into chaos worldwide. Insurers estimated the cost to U.S. Fortune 500 companies at $5.4 billion. Delta Air Lines reported losses of about $500 million and sued CrowdStrike on 25 October 2024. In May 2025, a Georgia judge let Delta press claims of gross negligence, computer trespass, and limited fraud.</w:t>
      </w:r>
    </w:p>
    <w:p w14:paraId="0871141B" w14:textId="77777777" w:rsidR="008A25C9" w:rsidRDefault="00000000">
      <w:pPr>
        <w:pStyle w:val="BodyText"/>
      </w:pPr>
      <w:r>
        <w:t xml:space="preserve">Sources: “2024 CrowdStrike-related IT outages,” Wikipedia (consolidating contemporaneous press coverage) https://en.wikipedia.org/wiki/2024_CrowdStrike-related_IT_outages; Microsoft Corporation, “Helping our customers through the </w:t>
      </w:r>
      <w:r>
        <w:lastRenderedPageBreak/>
        <w:t>CrowdStrike outage,” 20 July 2024 https://blogs.microsoft.com/blog/2024/07/20/helping-our-customers-through-the-crowdstrike-outage/; Sean Michael Kerner, “CrowdStrike outage explained: What caused it and what’s next,” TechTarget, updated September 2024 https://www.techtarget.com/whatis/feature/Explaining-the-largest-IT-outage-in-history-and-whats-next.</w:t>
      </w:r>
    </w:p>
    <w:p w14:paraId="751CF8DE" w14:textId="77777777" w:rsidR="008A25C9" w:rsidRDefault="00000000">
      <w:pPr>
        <w:pStyle w:val="BodyText"/>
      </w:pPr>
      <w:r>
        <w:t>Referenced in: Framework §2, AI-SAF-N Software pillar, AI-SAF-C Software pillar, Refining §3.6</w:t>
      </w:r>
    </w:p>
    <w:p w14:paraId="73844B2A" w14:textId="77777777" w:rsidR="008A25C9" w:rsidRDefault="00000000">
      <w:pPr>
        <w:pStyle w:val="Heading4"/>
      </w:pPr>
      <w:bookmarkStart w:id="158" w:name="Xee0e2f1135074595615ca3d97475aa3e536f17b"/>
      <w:r>
        <w:t>NVIDIA Vera Rubin platform (CES 2026, 5 January 2026)</w:t>
      </w:r>
      <w:bookmarkEnd w:id="158"/>
    </w:p>
    <w:p w14:paraId="35448777" w14:textId="77777777" w:rsidR="008A25C9" w:rsidRDefault="00000000">
      <w:pPr>
        <w:pStyle w:val="FirstParagraph"/>
      </w:pPr>
      <w:r>
        <w:t>Claim. NVIDIA formally launched the Vera Rubin platform at CES 2026. Rubin GPU: 336 billion transistors (two-reticle design), 50 PFLOPS NVFP4 inference, 35 PFLOPS NVFP4 training (vendor figures quoted as 5× and 3.5× Blackwell), 288 GB HBM4, 22 TB/s memory bandwidth. Vera CPU: 88 custom Olympus Arm v9.2 cores with Spatial Multi-Threading (176 threads), 1.5 TB LPDDR5x, NVLink-C2C at 1.8 TB/s. Vera Rubin NVL72 rack: 72 Rubin GPUs and 36 Vera CPUs delivering 3.6 EFLOPS NVFP4 inference and 2.5 EFLOPS NVFP4 training, 20.7 TB HBM4 capacity, 1.6 PB/s HBM bandwidth, 260 TB/s NVLink 6 rack-scale bandwidth. Full production reported Q1 2026; partner availability H2 2026. First cloud deployments announced at AWS, Google Cloud, Microsoft (Fairwater AI superfactories), OCI, CoreWeave, Lambda, Nebius, Nscale. Per-rack price reported in trade press at up to $8.8 million.</w:t>
      </w:r>
    </w:p>
    <w:p w14:paraId="210DA7CA" w14:textId="77777777" w:rsidR="008A25C9" w:rsidRDefault="00000000">
      <w:pPr>
        <w:pStyle w:val="BodyText"/>
      </w:pPr>
      <w:r>
        <w:t>Sources: NVIDIA, “NVIDIA Kicks Off the Next Generation of AI With Rubin,” press release, 5 January 2026 https://nvidianews.nvidia.com/news/rubin-platform-ai-supercomputer; NVIDIA Technical Blog, “Inside the NVIDIA Vera Rubin Platform,” 5 January 2026 https://developer.nvidia.com/blog/inside-the-nvidia-rubin-platform-six-new-chips-one-ai-supercomputer/; Tom’s Hardware, “Nvidia launches Vera Rubin NVL72 AI supercomputer at CES,” 5 January 2026 https://www.tomshardware.com/pc-components/gpus/nvidia-launches-vera-rubin-nvl72-ai-supercomputer-at-ces-promises-up-to-5x-greater-inference-performance-and-10x-lower-cost-per-token-than-blackwell-coming-2h-2026.</w:t>
      </w:r>
    </w:p>
    <w:p w14:paraId="23EAB5C5" w14:textId="77777777" w:rsidR="008A25C9" w:rsidRDefault="00000000">
      <w:pPr>
        <w:pStyle w:val="BodyText"/>
      </w:pPr>
      <w:r>
        <w:t>Note. The per-rack price and the speed (FLOPS) figures come from NVIDIA itself; independent testing will follow in the second half of 2026.</w:t>
      </w:r>
    </w:p>
    <w:p w14:paraId="7E4C01AE" w14:textId="77777777" w:rsidR="008A25C9" w:rsidRDefault="00000000">
      <w:pPr>
        <w:pStyle w:val="BodyText"/>
      </w:pPr>
      <w:r>
        <w:t>Referenced in: Framework §2, AI-SAF-N Hardware pillar, Refining §3.4</w:t>
      </w:r>
    </w:p>
    <w:p w14:paraId="44E97C7A" w14:textId="77777777" w:rsidR="008A25C9" w:rsidRDefault="00000000">
      <w:pPr>
        <w:pStyle w:val="Heading4"/>
      </w:pPr>
      <w:bookmarkStart w:id="159" w:name="X3eeefde199a3087a3e3d830df3a7ea94df28666"/>
      <w:r>
        <w:t>Anthropic Fable 5 / Mythos 5 access suspension (12 June 2026)</w:t>
      </w:r>
      <w:bookmarkEnd w:id="159"/>
    </w:p>
    <w:p w14:paraId="4C592F5C" w14:textId="77777777" w:rsidR="008A25C9" w:rsidRDefault="00000000">
      <w:pPr>
        <w:pStyle w:val="FirstParagraph"/>
      </w:pPr>
      <w:r>
        <w:t xml:space="preserve">Claim. On 12 June 2026 the US government, citing national-security export-control authority, issued a directive ordering Anthropic to suspend all access to its frontier Fable 5 and Mythos 5 models by any foreign national — whether inside or outside the United States, and including Anthropic’s own foreign-national employees. Anthropic disabled both models for all customers to comply, three days after Fable 5’s public release. Reported triggers were concern that the Mythos-class model could surface restricted cyber-attack and software-vulnerability information (raised after Amazon researchers elicited such </w:t>
      </w:r>
      <w:r>
        <w:lastRenderedPageBreak/>
        <w:t>output, escalated by CEO Andy Jassy) and suspected access by a China-linked group. The suspension cut off enterprises and governments worldwide overnight and reignited “sovereign AI” calls in Europe and India.</w:t>
      </w:r>
    </w:p>
    <w:p w14:paraId="147AAA80" w14:textId="77777777" w:rsidR="008A25C9" w:rsidRDefault="00000000">
      <w:pPr>
        <w:pStyle w:val="BodyText"/>
      </w:pPr>
      <w:r>
        <w:t>Sources: Anthropic, “Statement on the US government directive to suspend access to Fable 5 and Mythos 5,” 12 June 2026 https://www.anthropic.com/news/fable-mythos-access; Jordan Novet, “Anthropic disables access to Fable 5 and Mythos 5 to comply with government directive,” CNBC, 12 June 2026 https://www.cnbc.com/2026/06/12/anthropic-disables-access-to-fable-5-and-mythos-5-to-comply-with-government-directive.html; “US orders Anthropic to disable AI models for all foreign nationals,” Al Jazeera, 13 June 2026 https://www.aljazeera.com/news/2026/6/13/us-orders-anthropic-to-disable-ai-models-for-all-foreign-nationals; “How a warning from Amazon led the White House to shut down Anthropic’s Mythos model,” Fortune, 14 June 2026 https://fortune.com/2026/06/14/how-a-warning-from-amazon-led-the-white-house-to-shut-down-anthropics-mythos-model/; “US clampdown on Anthropic models sends EU sovereignty surge into overdrive,” The Register, 15 June 2026 https://www.theregister.com/ai-and-ml/2026/06/15/us-clampdown-on-anthropic-models-sends-eu-sovereignty-surge-into-overdrive/.</w:t>
      </w:r>
    </w:p>
    <w:p w14:paraId="40EBAE51" w14:textId="77777777" w:rsidR="008A25C9" w:rsidRDefault="00000000">
      <w:pPr>
        <w:pStyle w:val="BodyText"/>
      </w:pPr>
      <w:r>
        <w:t>Note. Compiled from the originating report (The Verge, https://www.theverge.com/ai-artificial-intelligence/949986/anthropic-fable-mythos-shutdown-sovereign-ai) and cross-checked against the company statement and major business press above; wording on the directive’s exact scope — especially its extraterritorial reach to foreign-national employees — should be re-verified as reporting settles.</w:t>
      </w:r>
    </w:p>
    <w:p w14:paraId="2C8B2DA6" w14:textId="77777777" w:rsidR="008A25C9" w:rsidRDefault="00000000">
      <w:pPr>
        <w:pStyle w:val="BodyText"/>
      </w:pPr>
      <w:r>
        <w:t>Referenced in: Framework §1.1 (resilience), §2.3 (Models weight), Part III (Version Deadlock — live AI case), Part V (uncertainty), Conclusion; AI-SAF-N Models pillar and rule-stability modifier; AI-SAF-C Models pillar.</w:t>
      </w:r>
    </w:p>
    <w:p w14:paraId="7262F312" w14:textId="77777777" w:rsidR="008A25C9" w:rsidRDefault="00000000">
      <w:pPr>
        <w:pStyle w:val="Heading4"/>
      </w:pPr>
      <w:bookmarkStart w:id="160" w:name="Xb18dbdd35cd1adea2ba8eab4125068442c58bc9"/>
      <w:r>
        <w:t>Fable 5 / Mythos 5 restoration (30 June – 1 July 2026) [Added v0.7.1]</w:t>
      </w:r>
      <w:bookmarkEnd w:id="160"/>
    </w:p>
    <w:p w14:paraId="5913FB77" w14:textId="77777777" w:rsidR="008A25C9" w:rsidRDefault="00000000">
      <w:pPr>
        <w:pStyle w:val="FirstParagraph"/>
      </w:pPr>
      <w:r>
        <w:t>Claim. On 30 June 2026 the US Department of Commerce lifted the 12 June export-control directive. Fable 5 was restored to all customers worldwide on 1 July, ending a 19-day suspension; Mythos 5 was reintroduced only to approved US organisations following government review. Anthropic stated that the jailbreak cited by the government was narrow and that comparable capabilities could be elicited from other publicly available models not subject to similar controls. Reported aftermath includes closer collaboration between Anthropic and US agencies on model testing, threat sharing, and jailbreak-risk standards, and continued policy debate over whether model-access export controls become a repeated instrument.</w:t>
      </w:r>
    </w:p>
    <w:p w14:paraId="6EA2DCB8" w14:textId="77777777" w:rsidR="008A25C9" w:rsidRDefault="00000000">
      <w:pPr>
        <w:pStyle w:val="BodyText"/>
      </w:pPr>
      <w:r>
        <w:t>Sources: Anthropic / CNBC, “Anthropic says Trump admin has lifted export controls on Claude Fable 5 and Mythos 5,” 30 June 2026 https://www.cnbc.com/2026/06/30/anthropic-says-trump-admin-has-lifted-export-controls-on-claude-fable-5-and-mythos-5.html; Al Jazeera, “US lifts restrictions on powerful AI models Fable and Mythos,” 1 July 2026 https://www.aljazeera.com/economy/2026/7/1/us-lifts-restrictions-on-powerful-ai-</w:t>
      </w:r>
      <w:r>
        <w:lastRenderedPageBreak/>
        <w:t>models-fable-mythos-anthropic-says; TechPolicy.Press, “Did the US Government Just Set An AI Export Precedent by Blocking Mythos?” https://www.techpolicy.press/did-the-us-government-just-set-an-ai-export-precedent-by-blocking-mythos/; Fortune, “Anthropic shutdown ignites calls for sovereign AI across Europe,” 16 June 2026 https://fortune.com/2026/06/16/anthropic-shutdown-sparks-global-scramble-for-sovereign-ai/ (including Austria’s 28 June letter urging EU hosting of Anthropic capacity).</w:t>
      </w:r>
    </w:p>
    <w:p w14:paraId="78FA6C89" w14:textId="77777777" w:rsidR="008A25C9" w:rsidRDefault="00000000">
      <w:pPr>
        <w:pStyle w:val="BodyText"/>
      </w:pPr>
      <w:r>
        <w:t>Referenced in: Framework §1.1, §2.3, §3.4 (restoration is not recovery), Part V; AI-SAF-C Models pillar (jurisdiction diversification); AI-SAF-N rule-stability modifier.</w:t>
      </w:r>
    </w:p>
    <w:p w14:paraId="3A22C0FA" w14:textId="77777777" w:rsidR="008A25C9" w:rsidRDefault="00000000">
      <w:pPr>
        <w:pStyle w:val="Heading4"/>
      </w:pPr>
      <w:bookmarkStart w:id="161" w:name="X95f7af9305778bd85cf8338069826ed1e6f7d80"/>
      <w:r>
        <w:t>US chip-export posture codification (January – July 2026) [Added v0.7.1]</w:t>
      </w:r>
      <w:bookmarkEnd w:id="161"/>
    </w:p>
    <w:p w14:paraId="6251FE60" w14:textId="77777777" w:rsidR="008A25C9" w:rsidRDefault="00000000">
      <w:pPr>
        <w:pStyle w:val="FirstParagraph"/>
      </w:pPr>
      <w:r>
        <w:t>Claim. On 13 January 2026 the Commerce Department revised the licence-review posture for Nvidia H200- and AMD MI325X-class chips from presumption of denial to case-by-case review. In June 2026 BIS affirmed that its licensing requirements for advanced AI chips reach subsidiaries of Chinese-headquartered companies located outside China. In July 2026 Commerce said it would grant Nvidia export licences for the H20. Reported uptake has lagged policy: as of mid-May 2026, no H200 chips had shipped to the Chinese companies approved to buy them.</w:t>
      </w:r>
    </w:p>
    <w:p w14:paraId="7E98949E" w14:textId="77777777" w:rsidR="008A25C9" w:rsidRDefault="00000000">
      <w:pPr>
        <w:pStyle w:val="BodyText"/>
      </w:pPr>
      <w:r>
        <w:t>Sources: Mayer Brown, “Administration Policies on Advanced AI Chips Codified,” January 2026 https://www.mayerbrown.com/en/insights/publications/2026/01/administration-policies-on-advanced-ai-chips-codified; Al Jazeera, “US says ban on AI chip shipments applies to Chinese firms outside China,” 1 June 2026 https://www.aljazeera.com/economy/2026/6/1/us-says-ban-on-ai-chip-shipments-applies-to-chinese-firms-outside-china; Brookings, “Ball game’s over — the US is out of the AI chip market in China” https://www.brookings.edu/articles/ball-games-over-the-us-is-out-of-the-ai-chip-market-in-china/.</w:t>
      </w:r>
    </w:p>
    <w:p w14:paraId="3E8A793E" w14:textId="77777777" w:rsidR="008A25C9" w:rsidRDefault="00000000">
      <w:pPr>
        <w:pStyle w:val="BodyText"/>
      </w:pPr>
      <w:r>
        <w:t>Referenced in: Framework §3.1 (Hardware row), Part V; AI-SAF-N Hardware pillar and rule-stability modifier; State of Play §3.</w:t>
      </w:r>
    </w:p>
    <w:p w14:paraId="615A2580" w14:textId="77777777" w:rsidR="008A25C9" w:rsidRDefault="00000000">
      <w:pPr>
        <w:pStyle w:val="Heading4"/>
      </w:pPr>
      <w:bookmarkStart w:id="162" w:name="X536280a0cf7bc95dec16a8a8867599b435d57ac"/>
      <w:r>
        <w:t>DeepSeek-V4 with day-0 Huawei Ascend adaptation (April 2026) [Added v0.7.1]</w:t>
      </w:r>
      <w:bookmarkEnd w:id="162"/>
    </w:p>
    <w:p w14:paraId="5A5D8181" w14:textId="77777777" w:rsidR="008A25C9" w:rsidRDefault="00000000">
      <w:pPr>
        <w:pStyle w:val="FirstParagraph"/>
      </w:pPr>
      <w:r>
        <w:t>Claim. DeepSeek released V4 in preview on 24 April 2026 with open weights under the MIT licence (reported 1.6-trillion-parameter Mixture-of-Experts design with ~1M-token context; figures pending verification against the technical report). Huawei Ascend (950PR/950DT), Cambricon, Hygon, and Moore Threads completed day-0 adaptation at launch — an architectural decision to treat the domestic Chinese stack as a first-class target rather than a fallback, and the strongest evidence to date that a top-tier Chinese model no longer requires NVIDIA’s CUDA.</w:t>
      </w:r>
    </w:p>
    <w:p w14:paraId="503E222E" w14:textId="77777777" w:rsidR="008A25C9" w:rsidRDefault="00000000">
      <w:pPr>
        <w:pStyle w:val="BodyText"/>
      </w:pPr>
      <w:r>
        <w:t xml:space="preserve">Sources: Pandaily, “DeepSeek V4 Completes Full Adaptation to Huawei Ascend,” May 2026 https://pandaily.com/deepseek-v4-huawei-ascend-adaptation-may2026; Huawei Central, “DeepSeek V4 and Huawei Ascend: a day 0 partnership” https://www.huaweicentral.com/deepseek-v4-and-huawei-ascend-ai/; “DeepSeek </w:t>
      </w:r>
      <w:r>
        <w:lastRenderedPageBreak/>
        <w:t>(chatbot),” Wikipedia (consolidating coverage) https://en.wikipedia.org/wiki/DeepSeek_(chatbot).</w:t>
      </w:r>
    </w:p>
    <w:p w14:paraId="7AB22343" w14:textId="77777777" w:rsidR="008A25C9" w:rsidRDefault="00000000">
      <w:pPr>
        <w:pStyle w:val="BodyText"/>
      </w:pPr>
      <w:r>
        <w:t>Note. Parameter count, context length, and pricing circulate in trade press with some variance; verify against the DeepSeek technical report before relying on specific figures.</w:t>
      </w:r>
    </w:p>
    <w:p w14:paraId="1EFFB867" w14:textId="77777777" w:rsidR="008A25C9" w:rsidRDefault="00000000">
      <w:pPr>
        <w:pStyle w:val="BodyText"/>
      </w:pPr>
      <w:r>
        <w:t>Referenced in: Framework Part V (uncertainty resolved); AI-SAF-N Models pillar (L4 example), Software pillar; State of Play §1, §3.</w:t>
      </w:r>
    </w:p>
    <w:p w14:paraId="53521305" w14:textId="77777777" w:rsidR="008A25C9" w:rsidRDefault="00000000">
      <w:pPr>
        <w:pStyle w:val="Heading2"/>
      </w:pPr>
      <w:bookmarkStart w:id="163" w:name="X67cdb719859f42902833c436681dc8bbe0d644d"/>
      <w:bookmarkStart w:id="164" w:name="_Toc238848887"/>
      <w:r>
        <w:t>Part C. Sovereignty incidents — manufacturing &amp; critical materials</w:t>
      </w:r>
      <w:bookmarkEnd w:id="163"/>
      <w:bookmarkEnd w:id="164"/>
    </w:p>
    <w:p w14:paraId="0EB08B39" w14:textId="77777777" w:rsidR="008A25C9" w:rsidRDefault="00000000">
      <w:pPr>
        <w:pStyle w:val="Heading4"/>
      </w:pPr>
      <w:bookmarkStart w:id="165" w:name="Xaff1c13c9dd90a34aa6176886900eefae79f3fe"/>
      <w:r>
        <w:t>Intel Magdeburg fab cancellation (24 July 2025)</w:t>
      </w:r>
      <w:bookmarkEnd w:id="165"/>
    </w:p>
    <w:p w14:paraId="25D9CC78" w14:textId="77777777" w:rsidR="008A25C9" w:rsidRDefault="00000000">
      <w:pPr>
        <w:pStyle w:val="FirstParagraph"/>
      </w:pPr>
      <w:r>
        <w:t>Claim. Intel’s new CEO, Lip-Bu Tan, formally cancelled Intel’s planned €30+ billion “Silicon Junction” chip factory in Magdeburg, Germany (first announced in March 2022), along with a €4.6 billion assembly-and-test plant near Wrocław, Poland — part of a 15% staff cut down to about 75,000 employees. Intel said it had “decided not to move forward with previously planned projects in Germany and Poland” because “the company invested too much, too soon — without adequate demand.” Intel gave up roughly €10 billion in German EU Chips Act subsidies and $1.9 billion in EU state aid earmarked for Poland.</w:t>
      </w:r>
    </w:p>
    <w:p w14:paraId="2F85EB5D" w14:textId="77777777" w:rsidR="008A25C9" w:rsidRDefault="00000000">
      <w:pPr>
        <w:pStyle w:val="BodyText"/>
      </w:pPr>
      <w:r>
        <w:t>Sources: Intel Corporation, Q2 2025 earnings announcement and CEO memo of 24 July 2025; Brussels Signal, “Intel cancels multi-billion euro chip factory in Germany,” 25 July 2025 https://brusselssignal.eu/2025/07/intel-cancels-multi-billion-euro-chip-factory-in-germany/; heise online, “Intel gives up Magdeburg fab and announces end of foundry,” 25 July 2025 https://www.heise.de/en/news/Intel-gives-up-Magdeburg-fab-and-announces-end-of-foundry-10499170.html; EE Times Europe, “Intel’s Retreat Shifts Europe Semiconductor Reality,” 7 November 2025 https://www.eetimes.com/intel-retreat-shifts-europe-semiconductor-reality/.</w:t>
      </w:r>
    </w:p>
    <w:p w14:paraId="3FA32B79" w14:textId="77777777" w:rsidR="008A25C9" w:rsidRDefault="00000000">
      <w:pPr>
        <w:pStyle w:val="BodyText"/>
      </w:pPr>
      <w:r>
        <w:t>Referenced in: Framework §2, AI-SAF-N Manufacturing pillar, Refining §3.5</w:t>
      </w:r>
    </w:p>
    <w:p w14:paraId="71C78EE1" w14:textId="77777777" w:rsidR="008A25C9" w:rsidRDefault="00000000">
      <w:pPr>
        <w:pStyle w:val="Heading4"/>
      </w:pPr>
      <w:bookmarkStart w:id="166" w:name="X9012815f0753938312e0838f8025f69cc64e8ce"/>
      <w:r>
        <w:t>China rare-earth export controls (9 October → 9 November 2025 pause)</w:t>
      </w:r>
      <w:bookmarkEnd w:id="166"/>
    </w:p>
    <w:p w14:paraId="0FC14A59" w14:textId="77777777" w:rsidR="008A25C9" w:rsidRDefault="00000000">
      <w:pPr>
        <w:pStyle w:val="FirstParagraph"/>
      </w:pPr>
      <w:r>
        <w:t>Claim. China’s Commerce Ministry (MOFCOM) announcements Nos. 55–58, 61 and 62 (9 October 2025) sharply widened China’s controls on exporting rare-earth metals. After the Trump–Xi meeting in Busan, MOFCOM announcements Nos. 70 and 72 (7–9 November 2025) put those controls on hold until 10 November 2026. China refines roughly 89% of the world’s rare earths and controls almost the entire supply chain for high-performance rare-earth magnets. The earlier licensing rules of 4 April 2025, covering seven heavy rare-earth elements (scandium, yttrium, samarium, gadolinium, terbium, dysprosium, lutetium), stay in force. In November 2025, EU Commissioner Stéphane Séjourné announced plans for an EU critical-minerals centre to buy and stockpile these materials jointly.</w:t>
      </w:r>
    </w:p>
    <w:p w14:paraId="054DEE82" w14:textId="77777777" w:rsidR="008A25C9" w:rsidRDefault="00000000">
      <w:pPr>
        <w:pStyle w:val="BodyText"/>
      </w:pPr>
      <w:r>
        <w:t xml:space="preserve">Sources: Dorcas Wong and Qian Zhou, “China’s Rare Earth Export Controls — Impact on Businesses and Industries,” China Briefing, 12 November 2025 https://www.china-briefing.com/news/chinas-rare-earth-export-controls-impacts-on-businesses/; Clark Hill PLC, “China Hits Pause on Rare-Earth Export Controls” </w:t>
      </w:r>
      <w:r>
        <w:lastRenderedPageBreak/>
        <w:t>https://www.clarkhill.com/news-events/news/china-hits-pause-on-rare-earth-export-controls-and-what-it-means-for-supply-chains/; European Parliament Research Service, “China’s rare-earth export restrictions,” November 2025 https://www.europarl.europa.eu/thinktank/en/document/EPRS_ATA(2025)779220.</w:t>
      </w:r>
    </w:p>
    <w:p w14:paraId="19C3B138" w14:textId="77777777" w:rsidR="008A25C9" w:rsidRDefault="00000000">
      <w:pPr>
        <w:pStyle w:val="BodyText"/>
      </w:pPr>
      <w:r>
        <w:t>Referenced in: Framework §2, AI-SAF-N Manufacturing pillar, Refining §3.5</w:t>
      </w:r>
    </w:p>
    <w:p w14:paraId="03726978" w14:textId="77777777" w:rsidR="008A25C9" w:rsidRDefault="00000000">
      <w:pPr>
        <w:pStyle w:val="Heading2"/>
      </w:pPr>
      <w:bookmarkStart w:id="167" w:name="part-d.-sovereign-stack-responses-1"/>
      <w:bookmarkStart w:id="168" w:name="_Toc238848888"/>
      <w:r>
        <w:t>Part D. Sovereign stack responses</w:t>
      </w:r>
      <w:bookmarkEnd w:id="167"/>
      <w:bookmarkEnd w:id="168"/>
    </w:p>
    <w:p w14:paraId="5744D5F1" w14:textId="77777777" w:rsidR="008A25C9" w:rsidRDefault="00000000">
      <w:pPr>
        <w:pStyle w:val="Heading4"/>
      </w:pPr>
      <w:bookmarkStart w:id="169" w:name="X37c4979511b6e7040e2d538c7e6268614dd70fd"/>
      <w:r>
        <w:t>S3NS SecNumCloud 3.2 qualification (17–19 December 2025)</w:t>
      </w:r>
      <w:bookmarkEnd w:id="169"/>
    </w:p>
    <w:p w14:paraId="06D064FB" w14:textId="77777777" w:rsidR="008A25C9" w:rsidRDefault="00000000">
      <w:pPr>
        <w:pStyle w:val="FirstParagraph"/>
      </w:pPr>
      <w:r>
        <w:t>Claim. S3NS, a joint venture between Thales and Google Cloud, won SecNumCloud 3.2 certification from France’s cybersecurity agency ANSSI on 17 December 2025 for its PREMI3NS service. The service is run entirely by S3NS staff in France, with a “quarantine zone” that screens Google’s updates — making it the first major cloud service built on U.S. technology to earn SecNumCloud certification.</w:t>
      </w:r>
    </w:p>
    <w:p w14:paraId="03BEB047" w14:textId="77777777" w:rsidR="008A25C9" w:rsidRDefault="00000000">
      <w:pPr>
        <w:pStyle w:val="BodyText"/>
      </w:pPr>
      <w:r>
        <w:t>Sources: S3NS SAS, “S3NS Announces SecNumCloud Qualification for PREMI3NS,” press release, 19 December 2025 https://www.businesswire.com/news/home/20251218817208/en/S3NS-Announces-SecNumCloud-Qualification-for-PREMI3NS-its-Trusted-Cloud-Offering; Thales Group, “S3NS receives SecNumCloud qualification,” 19 December 2025 https://www.thalesgroup.com/en/news-centre/insights/group/s3ns-receives-secnumcloud-qualification-turning-point-trusted-cloud.</w:t>
      </w:r>
    </w:p>
    <w:p w14:paraId="457D4505" w14:textId="77777777" w:rsidR="008A25C9" w:rsidRDefault="00000000">
      <w:pPr>
        <w:pStyle w:val="BodyText"/>
      </w:pPr>
      <w:r>
        <w:t>Referenced in: Framework §2, AI-SAF-N Infrastructure pillar, AI-SAF-C Infrastructure pillar, Refining §3.3</w:t>
      </w:r>
    </w:p>
    <w:p w14:paraId="71CDB79E" w14:textId="77777777" w:rsidR="008A25C9" w:rsidRDefault="00000000">
      <w:pPr>
        <w:pStyle w:val="Heading4"/>
      </w:pPr>
      <w:bookmarkStart w:id="170" w:name="X31c3cc4268615790e4308dbe68619ab9a87e3bd"/>
      <w:r>
        <w:t>AWS European Sovereign Cloud general availability (15 January 2026)</w:t>
      </w:r>
      <w:bookmarkEnd w:id="170"/>
    </w:p>
    <w:p w14:paraId="7C0A0A54" w14:textId="77777777" w:rsidR="008A25C9" w:rsidRDefault="00000000">
      <w:pPr>
        <w:pStyle w:val="FirstParagraph"/>
      </w:pPr>
      <w:r>
        <w:t>Claim. The AWS European Sovereign Cloud became generally available on 15 January 2026, with its first data-centre region in Brandenburg, Germany, backed by a €7.8 billion commitment. It is run through EU-only German subsidiaries with EU-citizen managing directors (Stéphane Israël and Stefan Hoechbauer) and an EU-only advisory board. But the legal entity is still wholly owned by Amazon.com Inc., and commentators have pointed out that CLOUD Act exposure arguably remains.</w:t>
      </w:r>
    </w:p>
    <w:p w14:paraId="283B21F1" w14:textId="77777777" w:rsidR="008A25C9" w:rsidRDefault="00000000">
      <w:pPr>
        <w:pStyle w:val="BodyText"/>
      </w:pPr>
      <w:r>
        <w:t>Sources: Amazon Web Services, “AWS Launches AWS European Sovereign Cloud and Announces Expansion Across Europe,” press release, Potsdam, 15 January 2026 https://press.aboutamazon.com/aws/2026/1/aws-launches-aws-european-sovereign-cloud-and-announces-expansion-across-europe; AWS Blog, “Opening the AWS European Sovereign Cloud,” 14 January 2026 https://aws.amazon.com/blogs/aws/opening-the-aws-european-sovereign-cloud/; InfoQ, “AWS Launches European Sovereign Cloud amid Questions about US Legal Jurisdiction,” 22 January 2026 https://www.infoq.com/news/2026/01/aws-european-sovereign-cloud/.</w:t>
      </w:r>
    </w:p>
    <w:p w14:paraId="7F91E3E7" w14:textId="77777777" w:rsidR="008A25C9" w:rsidRDefault="00000000">
      <w:pPr>
        <w:pStyle w:val="BodyText"/>
      </w:pPr>
      <w:r>
        <w:t>Referenced in: Framework §2, AI-SAF-N Infrastructure pillar, AI-SAF-C Infrastructure pillar, Refining §3.3</w:t>
      </w:r>
    </w:p>
    <w:p w14:paraId="1AE10E74" w14:textId="77777777" w:rsidR="008A25C9" w:rsidRDefault="00000000">
      <w:pPr>
        <w:pStyle w:val="Heading4"/>
      </w:pPr>
      <w:bookmarkStart w:id="171" w:name="X7b17576f6ef5a7782cb37ef1c0487e09511f8d4"/>
      <w:r>
        <w:lastRenderedPageBreak/>
        <w:t>EuroHPC AI Factories (December 2024 → October 2025)</w:t>
      </w:r>
      <w:bookmarkEnd w:id="171"/>
    </w:p>
    <w:p w14:paraId="46F44372" w14:textId="77777777" w:rsidR="008A25C9" w:rsidRDefault="00000000">
      <w:pPr>
        <w:pStyle w:val="FirstParagraph"/>
      </w:pPr>
      <w:r>
        <w:t>Claim. The EuroHPC Joint Undertaking (a joint EU supercomputing program) has chosen 19 AI Factories across 16 EU member states, in three rounds: seven in December 2024 (Finland, Germany, Greece, Italy, Luxembourg, Spain, Sweden), six in March 2025 (Austria, Bulgaria, France, Germany, Poland, Slovenia), and six in October 2025 (Czech Republic, Lithuania, Netherlands, Romania, Spain, Poland). On top of that, 13 smaller AI Factory “Antennas” were chosen in Belgium, Cyprus, Hungary, Ireland, Latvia, Malta, Slovakia, Iceland, Moldova, North Macedonia, Serbia, Switzerland and the UK. The combined EU-and-member-state commitment is more than €2.6–2.7 billion.</w:t>
      </w:r>
    </w:p>
    <w:p w14:paraId="23CC34F2" w14:textId="77777777" w:rsidR="008A25C9" w:rsidRDefault="00000000">
      <w:pPr>
        <w:pStyle w:val="BodyText"/>
      </w:pPr>
      <w:r>
        <w:t>Sources: EuroHPC JU, “AI Factories,” programme page https://www.eurohpc-ju.europa.eu/ai-factories_en; EuroHPC JU, “Six additional AI Factories to Expand Europe’s AI Capabilities,” 10 October 2025 https://www.eurohpc-ju.europa.eu/eurohpc-ju-selects-six-additional-ai-factories-expand-europes-ai-capabilities-2025-10-10_en; European Commission, “EU expands network of AI Factories” https://digital-strategy.ec.europa.eu/en/news/eu-expands-network-ai-factories-strengthening-its-ai-continent-ambition.</w:t>
      </w:r>
    </w:p>
    <w:p w14:paraId="6C17FB28" w14:textId="77777777" w:rsidR="008A25C9" w:rsidRDefault="00000000">
      <w:pPr>
        <w:pStyle w:val="BodyText"/>
      </w:pPr>
      <w:r>
        <w:t>Referenced in: Framework §2, AI-SAF-N Infrastructure pillar, Refining §3.3</w:t>
      </w:r>
    </w:p>
    <w:p w14:paraId="6F0B262A" w14:textId="77777777" w:rsidR="008A25C9" w:rsidRDefault="00000000">
      <w:pPr>
        <w:pStyle w:val="Heading4"/>
      </w:pPr>
      <w:bookmarkStart w:id="172" w:name="Xa6529a2d0181b30566b6131b3933ea148597440"/>
      <w:r>
        <w:t>Stargate UAE (announced 22 May 2025; first phase Q3 2026)</w:t>
      </w:r>
      <w:bookmarkEnd w:id="172"/>
    </w:p>
    <w:p w14:paraId="19C40409" w14:textId="77777777" w:rsidR="008A25C9" w:rsidRDefault="00000000">
      <w:pPr>
        <w:pStyle w:val="FirstParagraph"/>
      </w:pPr>
      <w:r>
        <w:t>Claim. Stargate UAE is a 1-gigawatt cluster of AI computing power being built by G42 (run by OpenAI and Oracle, with NVIDIA supplying Grace Blackwell GB300 systems, Cisco providing the networking, and SoftBank taking part) inside a planned 5-gigawatt UAE–US AI Campus. The first 200-megawatt phase is due to be finished in Q3 2026, according to Khazna Data Centres (December 2025). Reported investment is close to $20 billion. It was announced with UAE President Sheikh Mohamed bin Zayed Al Nahyan and U.S. President Donald Trump present.</w:t>
      </w:r>
    </w:p>
    <w:p w14:paraId="0FDB7A9B" w14:textId="77777777" w:rsidR="008A25C9" w:rsidRDefault="00000000">
      <w:pPr>
        <w:pStyle w:val="BodyText"/>
      </w:pPr>
      <w:r>
        <w:t>Sources: G42 Inc., “Global Tech Alliance Launches Stargate UAE,” press release, 22 May 2025 https://www.g42.ai/resources/news/global-tech-alliance-launches-stargate-uae; OpenAI, “Introducing Stargate UAE” https://openai.com/index/introducing-stargate-uae/; The National, “Stargate UAE’s first phase to be completed in third quarter of 2026,” 5 December 2025 https://www.thenationalnews.com/business/2025/12/05/stargate-uaes-first-phase-to-be-completed-in-third-quarter-of-2026/.</w:t>
      </w:r>
    </w:p>
    <w:p w14:paraId="71FB3BA9" w14:textId="77777777" w:rsidR="008A25C9" w:rsidRDefault="00000000">
      <w:pPr>
        <w:pStyle w:val="BodyText"/>
      </w:pPr>
      <w:r>
        <w:t>Referenced in: Framework §2, AI-SAF-N Infrastructure pillar, AI-SAF-N Hardware pillar, Refining §3.3</w:t>
      </w:r>
    </w:p>
    <w:p w14:paraId="4E2CBACE" w14:textId="77777777" w:rsidR="008A25C9" w:rsidRDefault="00000000">
      <w:pPr>
        <w:pStyle w:val="Heading4"/>
      </w:pPr>
      <w:bookmarkStart w:id="173" w:name="mistral-ai-series-c-9-september-2025"/>
      <w:r>
        <w:t>Mistral AI Series C (9 September 2025)</w:t>
      </w:r>
      <w:bookmarkEnd w:id="173"/>
    </w:p>
    <w:p w14:paraId="250746C8" w14:textId="77777777" w:rsidR="008A25C9" w:rsidRDefault="00000000">
      <w:pPr>
        <w:pStyle w:val="FirstParagraph"/>
      </w:pPr>
      <w:r>
        <w:t>Claim. Mistral AI raised €1.7 billion in a Series C funding round led by ASML (which put in €1.3 billion for about an 11% stake once all shares are counted), valuing the company at €11.7 billion afterward. DST Global, Andreessen Horowitz, Bpifrance, Lightspeed, Nvidia and others also took part. It is the largest single private investment in a European AI model company so far, and puts France at Level 4 on the AI-SAF-N Models scale.</w:t>
      </w:r>
    </w:p>
    <w:p w14:paraId="2333273F" w14:textId="77777777" w:rsidR="008A25C9" w:rsidRDefault="00000000">
      <w:pPr>
        <w:pStyle w:val="BodyText"/>
      </w:pPr>
      <w:r>
        <w:lastRenderedPageBreak/>
        <w:t>Sources: Mistral AI, “Mistral AI raises €1.7B to accelerate technological progress with AI,” 9 September 2025 https://mistral.ai/news/mistral-ai-raises-1-7-b-to-accelerate-technological-progress-with-ai; Arjun Kharpal, “AI firm Mistral valued at $14 billion as chip giant ASML takes major stake,” CNBC, 9 September 2025 https://www.cnbc.com/2025/09/09/ai-firm-mistral-valued-at-14-billion-as-asml-takes-major-stake.html.</w:t>
      </w:r>
    </w:p>
    <w:p w14:paraId="7C756563" w14:textId="77777777" w:rsidR="008A25C9" w:rsidRDefault="00000000">
      <w:pPr>
        <w:pStyle w:val="BodyText"/>
      </w:pPr>
      <w:r>
        <w:t>Referenced in: Framework §2, AI-SAF-N Models pillar (France worked example), Refining §5.2</w:t>
      </w:r>
    </w:p>
    <w:p w14:paraId="3EBF8E70" w14:textId="77777777" w:rsidR="008A25C9" w:rsidRDefault="00000000">
      <w:pPr>
        <w:pStyle w:val="Heading4"/>
      </w:pPr>
      <w:bookmarkStart w:id="174" w:name="insait-bggpt-3.0-march-2026"/>
      <w:r>
        <w:t>INSAIT BgGPT 3.0 (March 2026)</w:t>
      </w:r>
      <w:bookmarkEnd w:id="174"/>
    </w:p>
    <w:p w14:paraId="55C821BF" w14:textId="77777777" w:rsidR="008A25C9" w:rsidRDefault="00000000">
      <w:pPr>
        <w:pStyle w:val="FirstParagraph"/>
      </w:pPr>
      <w:r>
        <w:t>Claim. INSAIT released BgGPT 3.0 in three sizes — 4 billion, 12 billion, and 27 billion parameters — built on Google’s Gemma 3 and further trained on more than 100 billion words of Bulgarian text. It can handle images as well as text, remembers up to about 131,000 tokens of context at once, was pre-trained on data through May 2025, and had its instruction tuning finished through October 2025. It comes in full precision, a compressed (GPTQ W4A16) version, and the GGUF format. The earlier BgGPT (2023) was based on Gemma 2 and used about 85 billion Bulgarian and 15 billion English words, trained with the “Branch-and-Merge” method that INSAIT researchers published at the EMNLP 2024 conference. INSAIT runs its own dedicated systems for projects with Bulgaria’s National Revenue Agency and National Audit Office.</w:t>
      </w:r>
    </w:p>
    <w:p w14:paraId="79C38C07" w14:textId="77777777" w:rsidR="008A25C9" w:rsidRDefault="00000000">
      <w:pPr>
        <w:pStyle w:val="BodyText"/>
      </w:pPr>
      <w:r>
        <w:t>Sources: INSAIT, “INSAIT unveils a new generation of AI,” press release, March 2026 https://insait.ai/insait-unveils-a-new-generation-of-ai-precision-models-for-business-and-an-upgraded-bggpt-chat-for-all-citizens/; Bulgarian News Agency (BTA), “Bulgaria Among Few Countries with Publicly Built Sovereign AI Offered Free to Citizens,” March 2026; INSAIT-Institute/BgGPT-Gemma-3-27B-IT model card on Hugging Face https://huggingface.co/INSAIT-Institute/BgGPT-Gemma-3-27B-IT; Google DeepMind, “INSAIT creates leading Bulgarian-first LLM with Gemma 2” https://deepmind.google/models/gemma/gemmaverse/insait/.</w:t>
      </w:r>
    </w:p>
    <w:p w14:paraId="5DDFDB1B" w14:textId="77777777" w:rsidR="008A25C9" w:rsidRDefault="00000000">
      <w:pPr>
        <w:pStyle w:val="BodyText"/>
      </w:pPr>
      <w:r>
        <w:t>Referenced in: Framework §2, AI-SAF-N Models pillar, AI-SAF-N Case Study (Part IV), Refining §2, §5.1</w:t>
      </w:r>
    </w:p>
    <w:p w14:paraId="6FE590AB" w14:textId="77777777" w:rsidR="008A25C9" w:rsidRDefault="00000000">
      <w:pPr>
        <w:pStyle w:val="Heading2"/>
      </w:pPr>
      <w:bookmarkStart w:id="175" w:name="part-e.-regulatory-instruments-1"/>
      <w:bookmarkStart w:id="176" w:name="_Toc238848889"/>
      <w:r>
        <w:t>Part E. Regulatory instruments</w:t>
      </w:r>
      <w:bookmarkEnd w:id="175"/>
      <w:bookmarkEnd w:id="176"/>
    </w:p>
    <w:p w14:paraId="54EBE59C" w14:textId="77777777" w:rsidR="008A25C9" w:rsidRDefault="00000000">
      <w:pPr>
        <w:pStyle w:val="Heading4"/>
      </w:pPr>
      <w:bookmarkStart w:id="177" w:name="Xe0f8846dcb076ec17001e85f3d3aa27d84f77dd"/>
      <w:r>
        <w:t>EU AI Act — GPAI obligations applicable (2 August 2025)</w:t>
      </w:r>
      <w:bookmarkEnd w:id="177"/>
    </w:p>
    <w:p w14:paraId="78D46451" w14:textId="77777777" w:rsidR="008A25C9" w:rsidRDefault="00000000">
      <w:pPr>
        <w:pStyle w:val="FirstParagraph"/>
      </w:pPr>
      <w:r>
        <w:t>Claim. Regulation (EU) 2024/1689 (the AI Act) was adopted on 13 June 2024, published in the EU’s Official Journal on 12 July 2024, and came into force on 2 August 2024. The bans on certain uses and the AI-literacy duties took effect on 2 February 2025. The duties on providers of general-purpose AI (GPAI) models kicked in on 2 August 2025, and the Commission can enforce them from 2 August 2026. GPAI models already on the market before August 2025 must fully comply by 2 August 2027. Fines for GPAI providers can reach 3% of yearly worldwide revenue or €15 million, whichever is higher (AI Act Article 101).</w:t>
      </w:r>
    </w:p>
    <w:p w14:paraId="07195EAE" w14:textId="77777777" w:rsidR="008A25C9" w:rsidRDefault="00000000">
      <w:pPr>
        <w:pStyle w:val="BodyText"/>
      </w:pPr>
      <w:r>
        <w:lastRenderedPageBreak/>
        <w:t>Sources: Regulation (EU) 2024/1689 of 13 June 2024, OJ L of 12 July 2024; Future of Life Institute, “EU AI Act Implementation Timeline” https://artificialintelligenceact.eu/implementation-timeline/; Latham &amp; Watkins, “EU AI Act: GPAI Model Obligations in Force and Final GPAI Code of Practice in Place” https://www.lw.com/en/insights/eu-ai-act-gpai-model-obligations-in-force-and-final-gpai-code-of-practice-in-place.</w:t>
      </w:r>
    </w:p>
    <w:p w14:paraId="7351F839" w14:textId="77777777" w:rsidR="008A25C9" w:rsidRDefault="00000000">
      <w:pPr>
        <w:pStyle w:val="BodyText"/>
      </w:pPr>
      <w:r>
        <w:t>Referenced in: Framework §2, AI-SAF-N Regulatory pillar, AI-SAF-C Regulatory pillar, Refining §3.2, §3.8</w:t>
      </w:r>
    </w:p>
    <w:p w14:paraId="2AAC99B2" w14:textId="77777777" w:rsidR="008A25C9" w:rsidRDefault="00000000">
      <w:pPr>
        <w:pStyle w:val="Heading4"/>
      </w:pPr>
      <w:bookmarkStart w:id="178" w:name="Xf911dbaac0fc0045b99555b5233b18d217a0f0c"/>
      <w:r>
        <w:t>GPAI Code of Practice (published 10 July 2025; endorsed 1 August 2025)</w:t>
      </w:r>
      <w:bookmarkEnd w:id="178"/>
    </w:p>
    <w:p w14:paraId="3A910639" w14:textId="77777777" w:rsidR="008A25C9" w:rsidRDefault="00000000">
      <w:pPr>
        <w:pStyle w:val="FirstParagraph"/>
      </w:pPr>
      <w:r>
        <w:t>Claim. The General-Purpose AI Code of Practice was published by the European Commission’s AI Office on 10 July 2025, and the Commission and the AI Board formally backed it on 1 August 2025. It has three chapters (Transparency; Copyright; Safety and Security) covering 12 commitments. xAI signed only the Safety and Security chapter. Amazon, Google, Microsoft, OpenAI, Anthropic and others signed all three. Meta refused to sign.</w:t>
      </w:r>
    </w:p>
    <w:p w14:paraId="68A89A43" w14:textId="77777777" w:rsidR="008A25C9" w:rsidRDefault="00000000">
      <w:pPr>
        <w:pStyle w:val="BodyText"/>
      </w:pPr>
      <w:r>
        <w:t>Sources: European Commission / AI Office, “The General-Purpose AI Code of Practice” https://digital-strategy.ec.europa.eu/en/policies/contents-code-gpai; Jimmy Farrell and Tekla Emborg, “An Introduction to the Code of Practice for General-Purpose AI,” FLI, 14 August 2025 https://artificialintelligenceact.eu/introduction-to-code-of-practice/.</w:t>
      </w:r>
    </w:p>
    <w:p w14:paraId="2732E936" w14:textId="77777777" w:rsidR="008A25C9" w:rsidRDefault="00000000">
      <w:pPr>
        <w:pStyle w:val="BodyText"/>
      </w:pPr>
      <w:r>
        <w:t>Referenced in: Framework §2, AI-SAF-N Regulatory pillar, Refining §3.2</w:t>
      </w:r>
    </w:p>
    <w:p w14:paraId="67299388" w14:textId="77777777" w:rsidR="008A25C9" w:rsidRDefault="00000000">
      <w:pPr>
        <w:pStyle w:val="Heading4"/>
      </w:pPr>
      <w:bookmarkStart w:id="179" w:name="Xe35ddb155bcb15e0da26403a16011180665d631"/>
      <w:r>
        <w:t>Council of Europe Framework Convention on AI, CETS No. 225 (in force 1 November 2025)</w:t>
      </w:r>
      <w:bookmarkEnd w:id="179"/>
    </w:p>
    <w:p w14:paraId="410DBD38" w14:textId="77777777" w:rsidR="008A25C9" w:rsidRDefault="00000000">
      <w:pPr>
        <w:pStyle w:val="FirstParagraph"/>
      </w:pPr>
      <w:r>
        <w:t>Claim. Adopted by the Council of Europe’s Committee of Ministers on 17 May 2024 and opened for countries to sign on 5 September 2024 in Vilnius. It is the first international AI treaty that is legally binding. It came into force on 1 November 2025, once the United Kingdom, France, Norway and others had ratified it (the trigger was five signatories, including at least three Council of Europe members). Early signatories include the EU, the US, the UK, Andorra, Georgia, Iceland, Norway, Moldova, San Marino and Israel. It was negotiated by the 46 Council of Europe member states, the EU, and 11 non-member states (Argentina, Australia, Canada, Costa Rica, Holy See, Israel, Japan, Mexico, Peru, US, Uruguay).</w:t>
      </w:r>
    </w:p>
    <w:p w14:paraId="4720EE00" w14:textId="77777777" w:rsidR="008A25C9" w:rsidRDefault="00000000">
      <w:pPr>
        <w:pStyle w:val="BodyText"/>
      </w:pPr>
      <w:r>
        <w:t>Sources: Council of Europe, CETS No. 225 (full text) https://rm.coe.int/1680afae3c; Council of Europe, “Council of Europe opens first ever global treaty on AI for signature,” 5 September 2024 https://www.coe.int/en/web/portal/-/council-of-europe-opens-first-ever-global-treaty-on-ai-for-signature; BABL AI, “Council of Europe Opens Historic AI and Human Rights Treaty for Signatures,” updated August 2025 https://babl.ai/council-of-europe-opens-historic-ai-and-human-rights-treaty-for-signatures/.</w:t>
      </w:r>
    </w:p>
    <w:p w14:paraId="55575BFA" w14:textId="77777777" w:rsidR="008A25C9" w:rsidRDefault="00000000">
      <w:pPr>
        <w:pStyle w:val="BodyText"/>
      </w:pPr>
      <w:r>
        <w:t>Referenced in: Framework §2, AI-SAF-N Regulatory pillar, Refining §3.8</w:t>
      </w:r>
    </w:p>
    <w:p w14:paraId="137067D4" w14:textId="77777777" w:rsidR="008A25C9" w:rsidRDefault="00000000">
      <w:pPr>
        <w:pStyle w:val="Heading4"/>
      </w:pPr>
      <w:bookmarkStart w:id="180" w:name="Xe79eaa24da089361213f6fe5ac6c464152b11ff"/>
      <w:r>
        <w:lastRenderedPageBreak/>
        <w:t>Paris AI Action Summit (10–11 February 2025)</w:t>
      </w:r>
      <w:bookmarkEnd w:id="180"/>
    </w:p>
    <w:p w14:paraId="5A4BF9F8" w14:textId="77777777" w:rsidR="008A25C9" w:rsidRDefault="00000000">
      <w:pPr>
        <w:pStyle w:val="FirstParagraph"/>
      </w:pPr>
      <w:r>
        <w:t>Claim. The third international AI summit, held at the Grand Palais in Paris, produced the “Statement on Inclusive and Sustainable Artificial Intelligence,” signed by 61 countries and bodies including France, China, India, Japan, Australia, Canada and the EU. The United States and United Kingdom refused to sign; U.S. Vice President JD Vance criticised European AI rules in a Tuesday speech, while the UK government said the statement lacked enough substance on global governance. India, the co-chair, was named as host of the next event, the New Delhi AI Impact Summit (February 2026).</w:t>
      </w:r>
    </w:p>
    <w:p w14:paraId="2FC183A6" w14:textId="77777777" w:rsidR="008A25C9" w:rsidRDefault="00000000">
      <w:pPr>
        <w:pStyle w:val="BodyText"/>
      </w:pPr>
      <w:r>
        <w:t>Sources: “Statement on Inclusive and Sustainable Artificial Intelligence,” Paris AI Action Summit, 10–11 February 2025; Ryan Browne, “US and Britain snub international AI accord in Paris,” CNBC, 11 February 2025 https://www.cnbc.com/2025/02/11/us-and-britain-snub-international-ai-accord-in-paris.html; Al Jazeera, “Paris AI summit: Why won’t US, UK sign global artificial intelligence pact?,” 12 February 2025 https://www.aljazeera.com/news/2025/2/12/paris-ai-summit-why-wont-us-uk-sign-global-artificial-intelligence-pact.</w:t>
      </w:r>
    </w:p>
    <w:p w14:paraId="2DE44801" w14:textId="77777777" w:rsidR="008A25C9" w:rsidRDefault="00000000">
      <w:pPr>
        <w:pStyle w:val="BodyText"/>
      </w:pPr>
      <w:r>
        <w:t>Referenced in: Framework §2, AI-SAF-N Regulatory pillar, Refining §3.8</w:t>
      </w:r>
    </w:p>
    <w:p w14:paraId="29AB19E5" w14:textId="77777777" w:rsidR="008A25C9" w:rsidRDefault="00000000">
      <w:pPr>
        <w:pStyle w:val="Heading2"/>
      </w:pPr>
      <w:bookmarkStart w:id="181" w:name="part-f.-copyright-and-legal-rulings-1"/>
      <w:bookmarkStart w:id="182" w:name="_Toc238848890"/>
      <w:r>
        <w:t>Part F. Copyright and legal rulings</w:t>
      </w:r>
      <w:bookmarkEnd w:id="181"/>
      <w:bookmarkEnd w:id="182"/>
    </w:p>
    <w:p w14:paraId="240D1D44" w14:textId="77777777" w:rsidR="008A25C9" w:rsidRDefault="00000000">
      <w:pPr>
        <w:pStyle w:val="Heading4"/>
      </w:pPr>
      <w:bookmarkStart w:id="183" w:name="X1ee04dc8d0fc7050197add9dbd129523bb0e317"/>
      <w:r>
        <w:t>Bartz v. Anthropic — Summary Judgment (23 June 2025)</w:t>
      </w:r>
      <w:bookmarkEnd w:id="183"/>
    </w:p>
    <w:p w14:paraId="26288096" w14:textId="77777777" w:rsidR="008A25C9" w:rsidRDefault="00000000">
      <w:pPr>
        <w:pStyle w:val="FirstParagraph"/>
      </w:pPr>
      <w:r>
        <w:t>Claim. In Bartz v. Anthropic PBC, No. 3:24-cv-05417 (N.D. Cal.), Judge William Alsup ruled — without a full trial — that training AI models on copyrighted books was “exceedingly transformative” and counted as fair use. But he found that Anthropic downloading and keeping pirated copies from illegal book sites (Library Genesis, Pirate Library Mirror) was NOT fair use, and that part went on toward trial. On 26 August 2025, Anthropic filed notice of a proposed settlement covering the whole group of plaintiffs.</w:t>
      </w:r>
    </w:p>
    <w:p w14:paraId="7AD9CDE2" w14:textId="77777777" w:rsidR="008A25C9" w:rsidRDefault="00000000">
      <w:pPr>
        <w:pStyle w:val="BodyText"/>
      </w:pPr>
      <w:r>
        <w:t>Sources: Skadden, Arps, Slate, Meagher &amp; Flom, “Fair Use and AI Training: Two Recent Decisions,” July 2025 https://www.skadden.com/insights/publications/2025/07/fair-use-and-ai-training; White &amp; Case, “Two California district judges rule that using books to train AI is fair use,” 9 July 2025 https://www.whitecase.com/insight-alert/two-california-district-judges-rule-using-books-train-ai-fair-use.</w:t>
      </w:r>
    </w:p>
    <w:p w14:paraId="10BC5DAD" w14:textId="77777777" w:rsidR="008A25C9" w:rsidRDefault="00000000">
      <w:pPr>
        <w:pStyle w:val="BodyText"/>
      </w:pPr>
      <w:r>
        <w:t>Referenced in: Framework §2, AI-SAF-N Data pillar, AI-SAF-C Data pillar, Refining §3.2</w:t>
      </w:r>
    </w:p>
    <w:p w14:paraId="25627204" w14:textId="77777777" w:rsidR="008A25C9" w:rsidRDefault="00000000">
      <w:pPr>
        <w:pStyle w:val="Heading4"/>
      </w:pPr>
      <w:bookmarkStart w:id="184" w:name="Xc9efb9939c051b99f84d7888337f5bb79f3e912"/>
      <w:r>
        <w:t>Bartz v. Anthropic — Final settlement approval (20 July 2026) [Added v0.7.1]</w:t>
      </w:r>
      <w:bookmarkEnd w:id="184"/>
    </w:p>
    <w:p w14:paraId="4CBCD7D2" w14:textId="77777777" w:rsidR="008A25C9" w:rsidRDefault="00000000">
      <w:pPr>
        <w:pStyle w:val="FirstParagraph"/>
      </w:pPr>
      <w:r>
        <w:t>Claim. On 20 July 2026 Judge Araceli Martínez-Olguín (N.D. Cal.) granted final approval of the $1.5 billion class settlement — the largest copyright class settlement on record — paying roughly $3,000 per work across an estimated 500,000 works. The settlement does not release future output-based claims.</w:t>
      </w:r>
    </w:p>
    <w:p w14:paraId="03B0815D" w14:textId="77777777" w:rsidR="008A25C9" w:rsidRDefault="00000000">
      <w:pPr>
        <w:pStyle w:val="BodyText"/>
      </w:pPr>
      <w:r>
        <w:t>Sources: The Authors Guild, “Court Grants Final Approval of $1.5 Billion Anthropic Copyright Settlement” https://authorsguild.org/news/court-grants-final-approval-</w:t>
      </w:r>
      <w:r>
        <w:lastRenderedPageBreak/>
        <w:t>anthropic-copyright-settlement/; TechCrunch, 20 July 2026 https://techcrunch.com/2026/07/20/anthropics-landmark-1-5b-copyright-settlement-is-approved/.</w:t>
      </w:r>
    </w:p>
    <w:p w14:paraId="255F79BE" w14:textId="77777777" w:rsidR="008A25C9" w:rsidRDefault="00000000">
      <w:pPr>
        <w:pStyle w:val="BodyText"/>
      </w:pPr>
      <w:r>
        <w:t>Referenced in: Framework §3.1 (Data row); AI-SAF-C Data pillar; State of Play §6.</w:t>
      </w:r>
    </w:p>
    <w:p w14:paraId="5ACE4743" w14:textId="77777777" w:rsidR="008A25C9" w:rsidRDefault="00000000">
      <w:pPr>
        <w:pStyle w:val="Heading4"/>
      </w:pPr>
      <w:bookmarkStart w:id="185" w:name="X5ae9883465d7a9cbabbd27573aa4270978bfc5b"/>
      <w:r>
        <w:t>Kadrey v. Meta — Summary Judgment (25 June 2025)</w:t>
      </w:r>
      <w:bookmarkEnd w:id="185"/>
    </w:p>
    <w:p w14:paraId="3690BBFE" w14:textId="77777777" w:rsidR="008A25C9" w:rsidRDefault="00000000">
      <w:pPr>
        <w:pStyle w:val="FirstParagraph"/>
      </w:pPr>
      <w:r>
        <w:t>Claim. In Kadrey v. Meta Platforms, Inc., No. 23-CV-03417-VC (N.D. Cal.), 2025 WL 1752484, Judge Vince Chhabria ruled in Meta’s favour on fair use for the books of 13 plaintiffs, without a full trial. The ruling was narrow and tied to the specific facts: the plaintiffs had not built a strong enough case that the training hurt the market for their books. Judge Chhabria pointedly said his ruling did not give AI training on copyrighted works a green light more generally.</w:t>
      </w:r>
    </w:p>
    <w:p w14:paraId="6988D344" w14:textId="77777777" w:rsidR="008A25C9" w:rsidRDefault="00000000">
      <w:pPr>
        <w:pStyle w:val="BodyText"/>
      </w:pPr>
      <w:r>
        <w:t>Sources: White &amp; Case, “Two California district judges rule that using books to train AI is fair use,” 9 July 2025 https://www.whitecase.com/insight-alert/two-california-district-judges-rule-using-books-train-ai-fair-use; Jackson Walker LLP, “Federal Courts Find Fair Use in AI Training,” 11 July 2025 https://www.jw.com/news/insights-kadrey-meta-bartz-anthropic-ai-copyright/.</w:t>
      </w:r>
    </w:p>
    <w:p w14:paraId="411DC94B" w14:textId="77777777" w:rsidR="008A25C9" w:rsidRDefault="00000000">
      <w:pPr>
        <w:pStyle w:val="BodyText"/>
      </w:pPr>
      <w:r>
        <w:t>Referenced in: Framework §2, AI-SAF-C Data pillar, Refining §3.2</w:t>
      </w:r>
    </w:p>
    <w:p w14:paraId="2EC02A2C" w14:textId="77777777" w:rsidR="008A25C9" w:rsidRDefault="00000000">
      <w:pPr>
        <w:pStyle w:val="Heading4"/>
      </w:pPr>
      <w:bookmarkStart w:id="186" w:name="X81d7fd96515d042f10705b413ed9105ce648615"/>
      <w:r>
        <w:t>Getty Images v. Stability AI (UK) — Judgment [2025] EWHC 2863 (Ch), 4 November 2025</w:t>
      </w:r>
      <w:bookmarkEnd w:id="186"/>
    </w:p>
    <w:p w14:paraId="1D1EB15A" w14:textId="77777777" w:rsidR="008A25C9" w:rsidRDefault="00000000">
      <w:pPr>
        <w:pStyle w:val="FirstParagraph"/>
      </w:pPr>
      <w:r>
        <w:t>Claim. Mrs Justice Joanna Smith DBE of the High Court of England and Wales (Chancery Division) gave judgment in Getty Images (US) Inc &amp; Ors v Stability AI Ltd on 4 November 2025. The court threw out Getty’s secondary copyright claim — ruling that a Stable Diffusion model’s internal settings (its “weights”) are not an “infringing copy” under sections 22–23 of the UK’s 1988 copyright law (the CDPA) — and found only limited trademark infringement involving reproduced watermarks. Getty had already dropped its main claim, that the training itself infringed copyright, because the training had happened outside the UK. This is the first significant UK ruling on copyright and AI training.</w:t>
      </w:r>
    </w:p>
    <w:p w14:paraId="3D869B98" w14:textId="77777777" w:rsidR="008A25C9" w:rsidRDefault="00000000">
      <w:pPr>
        <w:pStyle w:val="BodyText"/>
      </w:pPr>
      <w:r>
        <w:t>Sources: Getty Images (US) Inc &amp; Ors v Stability AI Limited [2025] EWHC 2863 (Ch), full judgment https://www.judiciary.uk/wp-content/uploads/2025/11/Getty-Images-v-Stability-AI.pdf; Ropes &amp; Gray, “Getty Image Loses Copyright Infringement Claim Against Stability AI,” 14 January 2026 https://www.ropesgray.com/en/insights/viewpoints/102lvxe/getty-image-loses-copyright-infringement-claim-against-stability-ai-in-uks-first.</w:t>
      </w:r>
    </w:p>
    <w:p w14:paraId="700BDE26" w14:textId="77777777" w:rsidR="008A25C9" w:rsidRDefault="00000000">
      <w:pPr>
        <w:pStyle w:val="BodyText"/>
      </w:pPr>
      <w:r>
        <w:t>Referenced in: Framework §2, AI-SAF-N Data pillar, Refining §3.2</w:t>
      </w:r>
    </w:p>
    <w:p w14:paraId="12564008" w14:textId="77777777" w:rsidR="008A25C9" w:rsidRDefault="00000000">
      <w:pPr>
        <w:pStyle w:val="Heading2"/>
      </w:pPr>
      <w:bookmarkStart w:id="187" w:name="Xbc4c8eb4c4841b18e8b692af3d2f911890d02f8"/>
      <w:bookmarkStart w:id="188" w:name="_Toc238848891"/>
      <w:r>
        <w:t>Part G. Research and technical references</w:t>
      </w:r>
      <w:bookmarkEnd w:id="187"/>
      <w:bookmarkEnd w:id="188"/>
    </w:p>
    <w:p w14:paraId="11E33FDC" w14:textId="77777777" w:rsidR="008A25C9" w:rsidRDefault="00000000">
      <w:pPr>
        <w:pStyle w:val="Heading4"/>
      </w:pPr>
      <w:bookmarkStart w:id="189" w:name="Xa80953e1c0fe28c6e3f0513ced50fe3d482dbc2"/>
      <w:r>
        <w:t>Shumailov et al. — Model collapse (Nature, 24 July 2024)</w:t>
      </w:r>
      <w:bookmarkEnd w:id="189"/>
    </w:p>
    <w:p w14:paraId="5615A34D" w14:textId="77777777" w:rsidR="008A25C9" w:rsidRDefault="00000000">
      <w:pPr>
        <w:pStyle w:val="FirstParagraph"/>
      </w:pPr>
      <w:r>
        <w:t xml:space="preserve">Claim. Ilia Shumailov, Zakhar Shumaylov, Yiren Zhao, Nicolas Papernot, Ross Anderson and Yarin Gal, “AI models collapse when trained on recursively generated data,” Nature 631, no. </w:t>
      </w:r>
      <w:r>
        <w:lastRenderedPageBreak/>
        <w:t>8022 (24 July 2024): 755–759, DOI 10.1038/s41586-024-07566-y. Shows that carelessly training models on content earlier models generated causes “irreversible defects” in later versions: the rare, unusual cases gradually vanish. The effect showed up across several kinds of model (large language models, variational autoencoders, and Gaussian mixture models). The authors issued a correction in Nature 640, E6 (2025), DOI 10.1038/s41586-025-08905-3.</w:t>
      </w:r>
    </w:p>
    <w:p w14:paraId="1726ACA6" w14:textId="77777777" w:rsidR="008A25C9" w:rsidRDefault="00000000">
      <w:pPr>
        <w:pStyle w:val="BodyText"/>
      </w:pPr>
      <w:r>
        <w:t>Sources: Nature 631 (2024): 755–759 https://www.nature.com/articles/s41586-024-07566-y.</w:t>
      </w:r>
    </w:p>
    <w:p w14:paraId="41BA1074" w14:textId="77777777" w:rsidR="008A25C9" w:rsidRDefault="00000000">
      <w:pPr>
        <w:pStyle w:val="BodyText"/>
      </w:pPr>
      <w:r>
        <w:t>Referenced in: Framework §2, AI-SAF-N Data pillar, Refining §3.1</w:t>
      </w:r>
    </w:p>
    <w:p w14:paraId="1A161C2B" w14:textId="77777777" w:rsidR="008A25C9" w:rsidRDefault="00000000">
      <w:pPr>
        <w:pStyle w:val="Heading4"/>
      </w:pPr>
      <w:bookmarkStart w:id="190" w:name="X72a45bf29ffad7b68de8f475925bec935644c38"/>
      <w:r>
        <w:t>Borji — Note on Shumailov et al. (arXiv, October 2024)</w:t>
      </w:r>
      <w:bookmarkEnd w:id="190"/>
    </w:p>
    <w:p w14:paraId="5D4351EB" w14:textId="77777777" w:rsidR="008A25C9" w:rsidRDefault="00000000">
      <w:pPr>
        <w:pStyle w:val="FirstParagraph"/>
      </w:pPr>
      <w:r>
        <w:t>Claim. Ali Borji, “A Note on Shumailov et al. (2024): AI Models Collapse When Trained on Recursively Generated Data,” arXiv:2410.12954 [cs.LG], October 2024. Argues that model collapse is “a statistical phenomenon and may be unavoidable” any time you repeatedly fit a pattern to data and then draw new samples from it.</w:t>
      </w:r>
    </w:p>
    <w:p w14:paraId="7AAA9C54" w14:textId="77777777" w:rsidR="008A25C9" w:rsidRDefault="00000000">
      <w:pPr>
        <w:pStyle w:val="BodyText"/>
      </w:pPr>
      <w:r>
        <w:t>Sources: arXiv:2410.12954 https://arxiv.org/abs/2410.12954.</w:t>
      </w:r>
    </w:p>
    <w:p w14:paraId="7E3C3B4C" w14:textId="77777777" w:rsidR="008A25C9" w:rsidRDefault="00000000">
      <w:pPr>
        <w:pStyle w:val="BodyText"/>
      </w:pPr>
      <w:r>
        <w:t>Referenced in: Framework §2, AI-SAF-N Data pillar, Refining §3.1</w:t>
      </w:r>
    </w:p>
    <w:p w14:paraId="67BBCB51" w14:textId="77777777" w:rsidR="008A25C9" w:rsidRDefault="00000000">
      <w:pPr>
        <w:pStyle w:val="Heading4"/>
      </w:pPr>
      <w:bookmarkStart w:id="191" w:name="Xff335884139b1035cd66c2a551f4a504b10b37f"/>
      <w:r>
        <w:t>DeepSeek-V3 Technical Report (27 December 2024)</w:t>
      </w:r>
      <w:bookmarkEnd w:id="191"/>
    </w:p>
    <w:p w14:paraId="2A73D43E" w14:textId="77777777" w:rsidR="008A25C9" w:rsidRDefault="00000000">
      <w:pPr>
        <w:pStyle w:val="FirstParagraph"/>
      </w:pPr>
      <w:r>
        <w:t>Claim. DeepSeek-AI team, “DeepSeek-V3 Technical Report,” arXiv:2412.19437 (initial 27 December 2024, updated 18 February 2025). DeepSeek-V3 is a “Mixture-of-Experts” model — one that has 671 billion parameters in total but only switches on 37 billion at a time — trained on 14.8 trillion tokens of text. The reported training cost: 2.664 million H800 GPU-hours for the main training, 119,000 for extending its context length, and 5,000 for final tuning, for a total of 2.788 million GPU-hours; at $2 per H800 GPU-hour, that comes to about $5.576 million. That figure leaves out earlier research, trial-and-error experiments, and the cost of the underlying hardware spread over time. Its technical innovations include FP8 mixed-precision training, a way of balancing the load without an extra penalty term, and predicting several tokens at once.</w:t>
      </w:r>
    </w:p>
    <w:p w14:paraId="38A224FE" w14:textId="77777777" w:rsidR="008A25C9" w:rsidRDefault="00000000">
      <w:pPr>
        <w:pStyle w:val="BodyText"/>
      </w:pPr>
      <w:r>
        <w:t>Sources: arXiv:2412.19437 https://arxiv.org/abs/2412.19437.</w:t>
      </w:r>
    </w:p>
    <w:p w14:paraId="3F71EF47" w14:textId="77777777" w:rsidR="008A25C9" w:rsidRDefault="00000000">
      <w:pPr>
        <w:pStyle w:val="BodyText"/>
      </w:pPr>
      <w:r>
        <w:t>Referenced in: Framework §2, AI-SAF-N Models pillar, Refining §3.2</w:t>
      </w:r>
    </w:p>
    <w:p w14:paraId="10F549D1" w14:textId="77777777" w:rsidR="008A25C9" w:rsidRDefault="00000000">
      <w:pPr>
        <w:pStyle w:val="Heading4"/>
      </w:pPr>
      <w:bookmarkStart w:id="192" w:name="stanford-ai-index-2026-april-2026"/>
      <w:r>
        <w:t>Stanford AI Index 2026 (April 2026)</w:t>
      </w:r>
      <w:bookmarkEnd w:id="192"/>
    </w:p>
    <w:p w14:paraId="2D1D944B" w14:textId="77777777" w:rsidR="008A25C9" w:rsidRDefault="00000000">
      <w:pPr>
        <w:pStyle w:val="FirstParagraph"/>
      </w:pPr>
      <w:r>
        <w:t xml:space="preserve">Claim. The 2026 edition of the Stanford Institute for Human-Centered AI (HAI) AI Index Report was published in April 2026. The ninth yearly edition; it covers research, technical performance, responsible AI, economics, science, medicine, education, policy, and public opinion. The key 2026 findings the framework draws on: the capability gap between the top US and Chinese models has all but closed; 44 countries now run government-backed supercomputers; 80 of the 95 most notable 2025 models were released without their training code; the Foundation Model Transparency Index average score dropped to 40 </w:t>
      </w:r>
      <w:r>
        <w:lastRenderedPageBreak/>
        <w:t>(from 58); and almost the entire global AI industry still depends on TSMC’s chip factories in Taiwan.</w:t>
      </w:r>
    </w:p>
    <w:p w14:paraId="62CED204" w14:textId="77777777" w:rsidR="008A25C9" w:rsidRDefault="00000000">
      <w:pPr>
        <w:pStyle w:val="BodyText"/>
      </w:pPr>
      <w:r>
        <w:t>Sources: Stanford HAI, 2026 AI Index Report https://hai.stanford.edu/ai-index/2026-ai-index-report.</w:t>
      </w:r>
    </w:p>
    <w:p w14:paraId="335BDC50" w14:textId="77777777" w:rsidR="008A25C9" w:rsidRDefault="00000000">
      <w:pPr>
        <w:pStyle w:val="BodyText"/>
      </w:pPr>
      <w:r>
        <w:t>Referenced in: Framework §3, AI-SAF-N all pillars, AI-SAF-C all pillars, Refining §1.3, §3.7</w:t>
      </w:r>
    </w:p>
    <w:p w14:paraId="661FC260" w14:textId="77777777" w:rsidR="008A25C9" w:rsidRDefault="00000000">
      <w:pPr>
        <w:pStyle w:val="Heading2"/>
      </w:pPr>
      <w:bookmarkStart w:id="193" w:name="X7bd014c17b9cf944cbc80187d51ee88686f2e9c"/>
      <w:bookmarkStart w:id="194" w:name="_Toc238848892"/>
      <w:r>
        <w:t>Part H. Benchmark frameworks (peer indices)</w:t>
      </w:r>
      <w:bookmarkEnd w:id="193"/>
      <w:bookmarkEnd w:id="194"/>
    </w:p>
    <w:p w14:paraId="6B70CA7E" w14:textId="77777777" w:rsidR="008A25C9" w:rsidRDefault="00000000">
      <w:pPr>
        <w:pStyle w:val="FirstParagraph"/>
      </w:pPr>
      <w:r>
        <w:t>These are the rival frameworks named in the AI-SAF comparison tables. Each is its own tool with its own scope and method; AI-SAF sees itself as filling a different gap from most of them (measuring whether a setup can be reversed) rather than competing head-on.</w:t>
      </w:r>
    </w:p>
    <w:p w14:paraId="61153A02" w14:textId="77777777" w:rsidR="008A25C9" w:rsidRDefault="00000000">
      <w:pPr>
        <w:pStyle w:val="Heading4"/>
      </w:pPr>
      <w:bookmarkStart w:id="195" w:name="imf-ai-preparedness-index-aipi"/>
      <w:r>
        <w:t>IMF AI Preparedness Index (AIPI)</w:t>
      </w:r>
      <w:bookmarkEnd w:id="195"/>
    </w:p>
    <w:p w14:paraId="065F50B2" w14:textId="77777777" w:rsidR="008A25C9" w:rsidRDefault="00000000">
      <w:pPr>
        <w:pStyle w:val="FirstParagraph"/>
      </w:pPr>
      <w:r>
        <w:t>Claim. Covers 174 economies across four equally-weighted areas: digital infrastructure, people and labor-market policy, innovation and economic links, and regulation and ethics. The underlying measures are each rescaled to a 0–1 range (using the min-max method), then the four areas are averaged. Wealthy economies average 0.68, emerging markets 0.46, and low-income countries 0.32. The data is pulled together from the Fraser Institute, ILO, ITU, UN, UNCTAD, Universal Postal Union, World Bank, and World Economic Forum.</w:t>
      </w:r>
    </w:p>
    <w:p w14:paraId="11A77AB5" w14:textId="77777777" w:rsidR="008A25C9" w:rsidRDefault="00000000">
      <w:pPr>
        <w:pStyle w:val="BodyText"/>
      </w:pPr>
      <w:r>
        <w:t>Sources: IMF Datamapper: AI Preparedness Index (AIPI) https://www.imf.org/external/datamapper/datasets/AIPI; AIPI Methodology Note https://www.imf.org/external/datamapper/AIPINote.pdf; Kristalina Georgieva et al., “Mapping the World’s Readiness for Artificial Intelligence,” IMF Blog, 25 June 2024 https://www.imf.org/en/Blogs/Articles/2024/06/25/mapping-the-worlds-readiness-for-artificial-intelligence-shows-prospects-diverge.</w:t>
      </w:r>
    </w:p>
    <w:p w14:paraId="611B3483" w14:textId="77777777" w:rsidR="008A25C9" w:rsidRDefault="00000000">
      <w:pPr>
        <w:pStyle w:val="BodyText"/>
      </w:pPr>
      <w:r>
        <w:t>Referenced in: Framework §3 comparison table, Refining §1.3</w:t>
      </w:r>
    </w:p>
    <w:p w14:paraId="6BBA7FB8" w14:textId="77777777" w:rsidR="008A25C9" w:rsidRDefault="00000000">
      <w:pPr>
        <w:pStyle w:val="Heading4"/>
      </w:pPr>
      <w:bookmarkStart w:id="196" w:name="Xcb4baae61d9fe21c2579aa82e13bebbb5fd3ee6"/>
      <w:r>
        <w:t>Tortoise Global AI Index (5th edition, 19 September 2024)</w:t>
      </w:r>
      <w:bookmarkEnd w:id="196"/>
    </w:p>
    <w:p w14:paraId="6CC2B8E4" w14:textId="77777777" w:rsidR="008A25C9" w:rsidRDefault="00000000">
      <w:pPr>
        <w:pStyle w:val="FirstParagraph"/>
      </w:pPr>
      <w:r>
        <w:t>Claim. Covers 83 countries using 122 measures grouped under 3 headings (Implementation, Innovation, Investment) and 7 sub-headings (talent, infrastructure, operating environment, research, development, commercial ecosystem, government strategy). It draws on 24 public and private data sources. The United States ranked 1st, China 2nd, Singapore 3rd, the United Kingdom 4th, and France 5th. Saudi Arabia came top on the government-strategy sub-heading.</w:t>
      </w:r>
    </w:p>
    <w:p w14:paraId="053BF732" w14:textId="77777777" w:rsidR="008A25C9" w:rsidRDefault="00000000">
      <w:pPr>
        <w:pStyle w:val="BodyText"/>
      </w:pPr>
      <w:r>
        <w:t>Sources: Tortoise Media, Global AI Index 2024 https://www.tortoisemedia.com/data/global-ai; Methodology Report (September 2024) https://www.tortoisemedia.com/_app/immutable/assets/AI-Methodology-2409.BGTLUPC-.pdf.</w:t>
      </w:r>
    </w:p>
    <w:p w14:paraId="6886F016" w14:textId="77777777" w:rsidR="008A25C9" w:rsidRDefault="00000000">
      <w:pPr>
        <w:pStyle w:val="BodyText"/>
      </w:pPr>
      <w:r>
        <w:t>Referenced in: Framework §3 comparison table, AI-SAF-N comparison, Refining §1.3</w:t>
      </w:r>
    </w:p>
    <w:p w14:paraId="1BB55B4E" w14:textId="77777777" w:rsidR="008A25C9" w:rsidRDefault="00000000">
      <w:pPr>
        <w:pStyle w:val="Heading4"/>
      </w:pPr>
      <w:bookmarkStart w:id="197" w:name="X6d74bc46b06b478ab27a89747fd389701fde9a3"/>
      <w:r>
        <w:lastRenderedPageBreak/>
        <w:t>MacroPolo Global AI Talent Tracker 2.0 (March 2024, NeurIPS 2022 data)</w:t>
      </w:r>
      <w:bookmarkEnd w:id="197"/>
    </w:p>
    <w:p w14:paraId="177C749D" w14:textId="77777777" w:rsidR="008A25C9" w:rsidRDefault="00000000">
      <w:pPr>
        <w:pStyle w:val="FirstParagraph"/>
      </w:pPr>
      <w:r>
        <w:t>Claim. Published by the Paulson Institute. Based on a sample of 186 papers and 867 authors from the NeurIPS 2022 conference (95% confidence, give or take 7%). Key findings: 75% of the top AI researchers working at US institutions did their undergraduate degrees in the US or China (up from 58% in 2019); China produces 47% of the world’s top AI researchers, counted by where they did their undergraduate degree (up from 29% in 2019); the US is still the top destination for elite talent; and about 42% of top researchers work abroad (down from 55% in 2019), meaning fewer are moving around overall. Of Chinese AI undergraduates, 51.35% go on to graduate study at home, and 30.96% stay in China for that work. In India, one-fifth of AI researchers now stay in India after graduating (up from almost none in 2019).</w:t>
      </w:r>
    </w:p>
    <w:p w14:paraId="1C926422" w14:textId="77777777" w:rsidR="008A25C9" w:rsidRDefault="00000000">
      <w:pPr>
        <w:pStyle w:val="BodyText"/>
      </w:pPr>
      <w:r>
        <w:t>Sources: MacroPolo, Global AI Talent Tracker 2.0 https://archivemacropolo.org/interactive/digital-projects/the-global-ai-talent-tracker/; Methodology for Global AI Talent Tracker 2.0 https://archivemacropolo.org/interactive/digital-projects/the-global-ai-talent-tracker/methodology-for-global-ai-talent-tracker-2/; Zeyi Yang, “Four things you need to know about China’s AI talent pool,” MIT Technology Review, 27 March 2024 https://www.technologyreview.com/2024/03/27/1090182/ai-talent-global-china-us/.</w:t>
      </w:r>
    </w:p>
    <w:p w14:paraId="37182F90" w14:textId="77777777" w:rsidR="008A25C9" w:rsidRDefault="00000000">
      <w:pPr>
        <w:pStyle w:val="BodyText"/>
      </w:pPr>
      <w:r>
        <w:t>Note. An earlier draft of the refinement white paper called this “Global AI Talent Tracker 3.0” — the correct name is 2.0, as shown above.</w:t>
      </w:r>
    </w:p>
    <w:p w14:paraId="35E57E88" w14:textId="77777777" w:rsidR="008A25C9" w:rsidRDefault="00000000">
      <w:pPr>
        <w:pStyle w:val="BodyText"/>
      </w:pPr>
      <w:r>
        <w:t>Referenced in: Framework §3, AI-SAF-N Human Capital pillar, AI-SAF-C Human Capital pillar, Refining §3.7</w:t>
      </w:r>
    </w:p>
    <w:p w14:paraId="4033EB5E" w14:textId="77777777" w:rsidR="008A25C9" w:rsidRDefault="00000000">
      <w:pPr>
        <w:pStyle w:val="Heading4"/>
      </w:pPr>
      <w:bookmarkStart w:id="198" w:name="X5706f60a4de04951ee00db0611a0efe4a46dfbb"/>
      <w:r>
        <w:t>NIST AI Risk Management Framework (AI RMF 1.0) and GenAI Profile</w:t>
      </w:r>
      <w:bookmarkEnd w:id="198"/>
    </w:p>
    <w:p w14:paraId="22D94553" w14:textId="77777777" w:rsidR="008A25C9" w:rsidRDefault="00000000">
      <w:pPr>
        <w:pStyle w:val="FirstParagraph"/>
      </w:pPr>
      <w:r>
        <w:t>Claim. National Institute of Standards and Technology, Artificial Intelligence Risk Management Framework, NIST AI 100-1 (Gaithersburg, MD: NIST, January 2023). A voluntary US framework built around four jobs: GOVERN, MAP, MEASURE, MANAGE. The Generative AI Profile (NIST AI 600-1, July 2024) tailors it for generative-AI systems, with 12 categories of risk. In practice, it is the go-to reference for managing AI risk in the US private sector.</w:t>
      </w:r>
    </w:p>
    <w:p w14:paraId="04454245" w14:textId="77777777" w:rsidR="008A25C9" w:rsidRDefault="00000000">
      <w:pPr>
        <w:pStyle w:val="BodyText"/>
      </w:pPr>
      <w:r>
        <w:t>Sources: NIST AI RMF 1.0 https://www.nist.gov/itl/ai-risk-management-framework; AI RMF Playbook https://airc.nist.gov/AI_RMF_Knowledge_Base/Playbook.</w:t>
      </w:r>
    </w:p>
    <w:p w14:paraId="700BFE9F" w14:textId="77777777" w:rsidR="008A25C9" w:rsidRDefault="00000000">
      <w:pPr>
        <w:pStyle w:val="BodyText"/>
      </w:pPr>
      <w:r>
        <w:t>Referenced in: Framework §3, AI-SAF-C Culture &amp; Governance pillar (primary basis), Refining §4.1</w:t>
      </w:r>
    </w:p>
    <w:p w14:paraId="17340463" w14:textId="77777777" w:rsidR="008A25C9" w:rsidRDefault="00000000">
      <w:pPr>
        <w:pStyle w:val="Heading4"/>
      </w:pPr>
      <w:bookmarkStart w:id="199" w:name="isoiec-420012023-ai-management-system"/>
      <w:r>
        <w:t>ISO/IEC 42001:2023 — AI Management System</w:t>
      </w:r>
      <w:bookmarkEnd w:id="199"/>
    </w:p>
    <w:p w14:paraId="41990FB9" w14:textId="77777777" w:rsidR="008A25C9" w:rsidRDefault="00000000">
      <w:pPr>
        <w:pStyle w:val="FirstParagraph"/>
      </w:pPr>
      <w:r>
        <w:t xml:space="preserve">Claim. Published by ISO and IEC in December 2023. The first international AI management standard a company can actually be certified against. It is laid out the same way as ISO 27001 and ISO 9001 (the common “Annex SL” structure): Clauses 4–10 (Context, Leadership, Planning, Support, Operation, Performance Evaluation, Improvement) plus Annex A controls covering reducing bias, transparency, accountability, and data </w:t>
      </w:r>
      <w:r>
        <w:lastRenderedPageBreak/>
        <w:t>governance. Certification usually lasts three years, with yearly check-up audits in between. Microsoft 365 Copilot was certified in 2025.</w:t>
      </w:r>
    </w:p>
    <w:p w14:paraId="27FD0A2B" w14:textId="77777777" w:rsidR="008A25C9" w:rsidRDefault="00000000">
      <w:pPr>
        <w:pStyle w:val="BodyText"/>
      </w:pPr>
      <w:r>
        <w:t>Sources: ISO/IEC 42001:2023 standard page https://www.iso.org/standard/42001; ANAB, “ISO/IEC 42001: Artificial Intelligence Management Systems,” ANAB Blog https://blog.ansi.org/anab/iso-iec-42001-ai-management-systems/; Deloitte, “ISO 42001 Standard for AI Governance and Risk Management” https://www.deloitte.com/us/en/services/consulting/articles/iso-42001-standard-ai-governance-risk-management.html.</w:t>
      </w:r>
    </w:p>
    <w:p w14:paraId="317BE4EB" w14:textId="77777777" w:rsidR="008A25C9" w:rsidRDefault="00000000">
      <w:pPr>
        <w:pStyle w:val="BodyText"/>
      </w:pPr>
      <w:r>
        <w:t>Referenced in: Framework §3, AI-SAF-C Culture &amp; Governance pillar, AI-SAF-C Part V crosswalk, Refining §4.2</w:t>
      </w:r>
    </w:p>
    <w:p w14:paraId="7909E847" w14:textId="77777777" w:rsidR="008A25C9" w:rsidRDefault="00000000">
      <w:pPr>
        <w:pStyle w:val="Heading4"/>
      </w:pPr>
      <w:bookmarkStart w:id="200" w:name="gaia-x-labelling-framework"/>
      <w:r>
        <w:t>GAIA-X Labelling Framework</w:t>
      </w:r>
      <w:bookmarkEnd w:id="200"/>
    </w:p>
    <w:p w14:paraId="0C20F4FD" w14:textId="77777777" w:rsidR="008A25C9" w:rsidRDefault="00000000">
      <w:pPr>
        <w:pStyle w:val="FirstParagraph"/>
      </w:pPr>
      <w:r>
        <w:t>Claim. GAIA-X European Association for Data and Cloud AISBL, Brussels. Its Labelling Framework version 2.0 and later updates set out six groups of criteria (data protection, cybersecurity, transparency, portability and interoperability, flexibility, and operational requirements) across three levels (L1, L2, L3). Level L3 — effectively fully sovereign — requires the same protection from foreign-reach laws as SecNumCloud. It lines up directly with the Infrastructure scoring bands in AI-SAF-N and AI-SAF-C.</w:t>
      </w:r>
    </w:p>
    <w:p w14:paraId="676357DD" w14:textId="77777777" w:rsidR="008A25C9" w:rsidRDefault="00000000">
      <w:pPr>
        <w:pStyle w:val="BodyText"/>
      </w:pPr>
      <w:r>
        <w:t>Sources: GAIA-X Association, “Labelling Framework” documents https://gaia-x.eu/.</w:t>
      </w:r>
    </w:p>
    <w:p w14:paraId="692E9DD6" w14:textId="77777777" w:rsidR="008A25C9" w:rsidRDefault="00000000">
      <w:pPr>
        <w:pStyle w:val="BodyText"/>
      </w:pPr>
      <w:r>
        <w:t>Referenced in: Framework §3, AI-SAF-C Infrastructure pillar, AI-SAF-C Part V crosswalk, Refining §4.3</w:t>
      </w:r>
    </w:p>
    <w:p w14:paraId="3C6A11CE" w14:textId="77777777" w:rsidR="008A25C9" w:rsidRDefault="00000000">
      <w:pPr>
        <w:pStyle w:val="Heading4"/>
      </w:pPr>
      <w:bookmarkStart w:id="201" w:name="oecd.ai-policy-observatory"/>
      <w:r>
        <w:t>OECD.AI Policy Observatory</w:t>
      </w:r>
      <w:bookmarkEnd w:id="201"/>
    </w:p>
    <w:p w14:paraId="4C39D75D" w14:textId="77777777" w:rsidR="008A25C9" w:rsidRDefault="00000000">
      <w:pPr>
        <w:pStyle w:val="FirstParagraph"/>
      </w:pPr>
      <w:r>
        <w:t>Claim. Tracks national AI strategies, spending on computing power, and regulatory moves across OECD members and partner countries. It focuses on governance rather than on raw capability. It organises its data around the five OECD AI Principles (inclusive growth, human rights, transparency, robustness, and accountability). A useful companion to the indices that focus on capability.</w:t>
      </w:r>
    </w:p>
    <w:p w14:paraId="6207E838" w14:textId="77777777" w:rsidR="008A25C9" w:rsidRDefault="00000000">
      <w:pPr>
        <w:pStyle w:val="BodyText"/>
      </w:pPr>
      <w:r>
        <w:t>Sources: OECD.AI https://oecd.ai/.</w:t>
      </w:r>
    </w:p>
    <w:p w14:paraId="64649996" w14:textId="77777777" w:rsidR="008A25C9" w:rsidRDefault="00000000">
      <w:pPr>
        <w:pStyle w:val="BodyText"/>
      </w:pPr>
      <w:r>
        <w:t>Referenced in: Framework §3 comparison table, Refining §1.3</w:t>
      </w:r>
    </w:p>
    <w:p w14:paraId="02650941" w14:textId="77777777" w:rsidR="008A25C9" w:rsidRDefault="00000000">
      <w:pPr>
        <w:pStyle w:val="Heading4"/>
      </w:pPr>
      <w:bookmarkStart w:id="202" w:name="X198e8c69cd384a2b0d5f972ad4b68235fba92e9"/>
      <w:r>
        <w:t>CSET / ETO (Emerging Technology Observatory, Georgetown University)</w:t>
      </w:r>
      <w:bookmarkEnd w:id="202"/>
    </w:p>
    <w:p w14:paraId="7920BC74" w14:textId="77777777" w:rsidR="008A25C9" w:rsidRDefault="00000000">
      <w:pPr>
        <w:pStyle w:val="FirstParagraph"/>
      </w:pPr>
      <w:r>
        <w:t>Claim. The Center for Security and Emerging Technology’s Emerging Technology Observatory runs several detailed dashboards: the Country Activity Tracker (CAT), the Private AI-Related Activity Tracker (PARAT), the Supply Chain Explorer, and AGORA. Together they are the most detailed public window into the chip and AI-research supply chains. Recommended as a primary source for scoring the AI-SAF Hardware and Manufacturing building blocks.</w:t>
      </w:r>
    </w:p>
    <w:p w14:paraId="77EAB709" w14:textId="77777777" w:rsidR="008A25C9" w:rsidRDefault="00000000">
      <w:pPr>
        <w:pStyle w:val="BodyText"/>
      </w:pPr>
      <w:r>
        <w:t>Sources: ETO dashboards https://eto.tech/.</w:t>
      </w:r>
    </w:p>
    <w:p w14:paraId="027CBFA5" w14:textId="77777777" w:rsidR="008A25C9" w:rsidRDefault="00000000">
      <w:pPr>
        <w:pStyle w:val="BodyText"/>
      </w:pPr>
      <w:r>
        <w:lastRenderedPageBreak/>
        <w:t>Referenced in: Framework §3 comparison table, AI-SAF-N Hardware pillar, AI-SAF-N Manufacturing pillar, Refining §1.3</w:t>
      </w:r>
    </w:p>
    <w:p w14:paraId="06D0DBA9" w14:textId="77777777" w:rsidR="008A25C9" w:rsidRDefault="00000000">
      <w:pPr>
        <w:pStyle w:val="Heading4"/>
      </w:pPr>
      <w:bookmarkStart w:id="203" w:name="other-peer-frameworks-referenced"/>
      <w:r>
        <w:t>Other peer frameworks referenced</w:t>
      </w:r>
      <w:bookmarkEnd w:id="203"/>
    </w:p>
    <w:p w14:paraId="15879726" w14:textId="77777777" w:rsidR="008A25C9" w:rsidRDefault="00000000">
      <w:pPr>
        <w:pStyle w:val="FirstParagraph"/>
      </w:pPr>
      <w:r>
        <w:t>Claim. Other frameworks worth consulting: the Stanford HAI AI Index (see Part G); the Oxford Insights Government AI Readiness Index (188 countries, focused on government capacity); the ECFR Technology Sovereignty Tracker (which maps the dependencies of the 27 EU member states); Bertelsmann Stiftung’s Sustainable Governance Indicators and EuroStack work; the Nextcloud Digital Sovereignty Index (EU-focused, centred on open-source hosting); the UNCTAD Technology and Innovation Report 2025; MIT CISR’s enterprise AI research; and the BCG, McKinsey, and Gartner enterprise AI-maturity models.</w:t>
      </w:r>
    </w:p>
    <w:p w14:paraId="0DBE527B" w14:textId="77777777" w:rsidR="008A25C9" w:rsidRDefault="00000000">
      <w:pPr>
        <w:pStyle w:val="BodyText"/>
      </w:pPr>
      <w:r>
        <w:t>Sources: Oxford Insights Government AI Readiness Index https://oxfordinsights.com/ai-readiness/; UNCTAD Technology and Innovation Report https://unctad.org/publication/technology-and-innovation-report-2025.</w:t>
      </w:r>
    </w:p>
    <w:p w14:paraId="596F006D" w14:textId="77777777" w:rsidR="008A25C9" w:rsidRDefault="00000000">
      <w:pPr>
        <w:pStyle w:val="BodyText"/>
      </w:pPr>
      <w:r>
        <w:t>Referenced in: Framework §3 comparison table, Refining §1.3</w:t>
      </w:r>
    </w:p>
    <w:p w14:paraId="12703F96" w14:textId="77777777" w:rsidR="008A25C9" w:rsidRDefault="00000000">
      <w:pPr>
        <w:pStyle w:val="Heading2"/>
      </w:pPr>
      <w:bookmarkStart w:id="204" w:name="X7c2db0d1686426a8f8136f7ed02476d0aa4d11c"/>
      <w:bookmarkStart w:id="205" w:name="_Toc238848893"/>
      <w:r>
        <w:t>Part J. Claims not yet individually verified</w:t>
      </w:r>
      <w:bookmarkEnd w:id="204"/>
      <w:bookmarkEnd w:id="205"/>
    </w:p>
    <w:p w14:paraId="77442186" w14:textId="77777777" w:rsidR="008A25C9" w:rsidRDefault="00000000">
      <w:pPr>
        <w:pStyle w:val="FirstParagraph"/>
      </w:pPr>
      <w:r>
        <w:t xml:space="preserve">This section lists the kinds of claims in the framework documents that we did not check one by one against original sources this time around. They are not in doubt — they simply have not yet been traced back to authoritative sources in this pass. A future update of this Evidence Base should cover them. 1. Specific multilingual LLM parameter counts and dataset sizes Beyond BgGPT (verified in Part D), Mistral (verified in Part D), DeepSeek-V3 (verified in Part G), and general Llama references: Llama 4 Scout and Maverick specifications; Gemma 3 licence details beyond those in BgGPT model cards; Qwen 3.5 and 3.6; Falcon 3; Cohere Aya-Expanse; EuroLLM-9B and EuroLLM-22B; Teuken-7B; EXAONE 4.5; SEA-LION v3; Sarvam-M; TAIDE; Fugaku-LLM; Meltemi; Poro-34B. 2. Chip architecture details beyond Rubin, H20/H200, Intel Magdeburg Google TPU Ironwood; AWS Trainium3; Microsoft Maia 200; Meta MTIA RISC-V; Cerebras generations; Groq acquisition / integration with NVIDIA (Groq 3 LPX); Tenstorrent funding; SambaNova acquisition; Rebellions funding; SiPearl Rhea1 and Rhea2; EU DARE RISC-V project; Huawei Ascend 910C and 950PR specifications. 3. TSMC, ASML, CoWoS and HBM4 supply figures TSMC N2 wafer pricing (reported ranges $25,000–$27,000 vary across sources); CoWoS advanced packaging capacity figures; HBM4 allocations by supplier (SK Hynix, Samsung, Micron); ASML EUV and High-NA EUV unit shipments for 2025 and 2026. 4. CPU roadmap details AWS Graviton5; Arm AGI CPU; AMD EPYC Venice (Zen 6); Intel Clearwater Forest. (NVIDIA Vera CPU is verified in Part I.) 5. Regulatory instruments beyond those in Part E UN Global Digital Compact (September 2024); UK AI Safety Institute rebrand to AI Security Institute (February 2025); US AI Safety Institute rebrand to CAISI (June 2025). (The New Delhi AI Impact Summit outcomes, listed here in earlier revisions, were verified in v0.7.1 and moved to Part E.) 6. Dataset and benchmark details INCLUDE benchmark; Global-MMLU; CulturaX (~6.3T tokens claimed); HPLT v2; FineWeb-2; Meltemi 40B Greek tokens claim; Poro-34B 1T tokens claim. 7. Specific commercial deals BNP Paribas / Mistral AI partnership (February </w:t>
      </w:r>
      <w:r>
        <w:lastRenderedPageBreak/>
        <w:t>2024); Cerebras / OpenAI reported $10B partnership (January 2026); various other announced partnerships cited as context. If you are making decisions based on any of these specific figures, check them against each project’s own documentation first. # Version History</w:t>
      </w:r>
    </w:p>
    <w:p w14:paraId="0BC70F30" w14:textId="77777777" w:rsidR="008A25C9" w:rsidRDefault="00000000">
      <w:pPr>
        <w:pStyle w:val="BodyText"/>
      </w:pPr>
      <w:r>
        <w:rPr>
          <w:b/>
        </w:rPr>
        <w:t>Version 0.7.1 — August 2026</w:t>
      </w:r>
    </w:p>
    <w:p w14:paraId="6E9E6180" w14:textId="77777777" w:rsidR="008A25C9" w:rsidRDefault="00000000">
      <w:pPr>
        <w:pStyle w:val="BodyText"/>
      </w:pPr>
      <w:r>
        <w:t>A revision in three layers, responding to the August 2026 evidence review.</w:t>
      </w:r>
    </w:p>
    <w:p w14:paraId="4D0F6D20" w14:textId="77777777" w:rsidR="008A25C9" w:rsidRDefault="00000000">
      <w:pPr>
        <w:pStyle w:val="BodyText"/>
      </w:pPr>
      <w:r>
        <w:rPr>
          <w:i/>
        </w:rPr>
        <w:t>Evidence and consistency (what a 0.5.8 would have carried).</w:t>
      </w:r>
      <w:r>
        <w:t xml:space="preserve"> Evidence Base updated to August 2026 with eleven added or extended entries: the Fable 5 / Mythos 5 restoration (30 June – 1 July), US chip-export posture codification (January–July 2026), DeepSeek-V4 with day-0 Ascend adaptation, the Nexperia standoff (a pre-snapshot gap), the June–July rare-earth enforcement wave, the AI Gigafactories call, the first EU sovereignty-criteria cloud procurement, the Digital Omnibus deferral with on-schedule GPAI enforcement, the CADA and Chips Act 2.0 proposals, the New Delhi Declaration (promoted from Part J), and the Bartz final settlement approval. The Fable/Mythos arc is reconciled everywhere it is cited. The v0.5.7 L0–L4 relabelling is completed in the BgGPT case study and the corporate guide (INSAIT profile Models 12 → 11; totals adjusted). MacroPolo tracker corrected to 2.0 throughout; CAISI naming standardised; a stale reference in the Evidence Base verification note removed.</w:t>
      </w:r>
    </w:p>
    <w:p w14:paraId="63DA479A" w14:textId="77777777" w:rsidR="008A25C9" w:rsidRDefault="00000000">
      <w:pPr>
        <w:pStyle w:val="BodyText"/>
      </w:pPr>
      <w:r>
        <w:rPr>
          <w:i/>
        </w:rPr>
        <w:t>Methodology.</w:t>
      </w:r>
      <w:r>
        <w:t xml:space="preserve"> Every sub-indicator now carries an R (resilience) or A (autonomy) tag, and assessments report the two subtotals alongside the headline (Framework §1.1) — the two-axes definition now reaches the arithmetic. AI-SAF-C Models: portfolio diversification is rescored as portfolio-and-jurisdiction diversification (a single-jurisdiction portfolio caps at 2 of 5), reflecting the June 2026 lesson that vendor count is not the binding risk. Version Deadlock taxonomy gains the restoration-is-not-recovery rule (§3.5). The Infrastructure anchors add the proposed CADA Cloud Sovereignty Framework alongside SecNumCloud 3.2 and GAIA-X L3. §4.3 now states plainly which rigour checks are design commitments rather than completed exercises, and Part V owns the limits of additive aggregation. Modifier discipline is enforced: the national worked examples apply all modifiers in a fixed order, and the ad-hoc bonuses in earlier revisions (France “+5 rule-setting,” UAE “+5 energy”) are removed — France recomputes to ~70 (from ~71), the UAE to ~57 (from ~62), Bulgaria is unchanged at ~46.</w:t>
      </w:r>
    </w:p>
    <w:p w14:paraId="47F9DD20" w14:textId="77777777" w:rsidR="008A25C9" w:rsidRDefault="00000000">
      <w:pPr>
        <w:pStyle w:val="BodyText"/>
      </w:pPr>
      <w:r>
        <w:rPr>
          <w:i/>
        </w:rPr>
        <w:t>Structure and figures.</w:t>
      </w:r>
      <w:r>
        <w:t xml:space="preserve"> The package is reorganised: the corporate variant (AI-SAF-C) now leads as Document 2; dated market material moves from the field guides into a new Document 4, State of Play, refreshed each revision; the Evidence Base becomes Document 5; the three glossaries merge into one master glossary in Document 1; and repeated passages (the “same pillar, opposite meaning” argument, the CrowdStrike rationale) are stated once. The package is roughly a third shorter than v0.5.7 with no scoring content removed. Both figures are redrawn: the architecture diagram with the correct weights, fixed modifier order, and R/A tags; the trajectory chart in the package palette with the stale pre-rename axis label corrected.</w:t>
      </w:r>
    </w:p>
    <w:p w14:paraId="57A4E9F8" w14:textId="77777777" w:rsidR="008A25C9" w:rsidRDefault="00000000">
      <w:pPr>
        <w:pStyle w:val="BodyText"/>
      </w:pPr>
      <w:r>
        <w:lastRenderedPageBreak/>
        <w:t>Pillar weights are unchanged. Toward 1.0: publication of the Monte Carlo sensitivity runs and PCA cross-checks (§4.3), and at least two independent assessments landing within one band of the author’s.</w:t>
      </w:r>
    </w:p>
    <w:p w14:paraId="6CB0A4A9" w14:textId="77777777" w:rsidR="008A25C9" w:rsidRDefault="00000000">
      <w:pPr>
        <w:pStyle w:val="BodyText"/>
      </w:pPr>
      <w:r>
        <w:rPr>
          <w:b/>
        </w:rPr>
        <w:t>Version 0.5.7 — July 2026.</w:t>
      </w:r>
      <w:r>
        <w:t xml:space="preserve"> Responded to the first external review: Models ladder rescaled to the 16-point weight (L0–L4 = 0/4/11/13/16); pooled EU compute credited in Local compute (≤2 of 4 points); front matter consolidated; residual inconsistencies corrected.</w:t>
      </w:r>
    </w:p>
    <w:p w14:paraId="4FA9D1DE" w14:textId="77777777" w:rsidR="008A25C9" w:rsidRDefault="00000000">
      <w:pPr>
        <w:pStyle w:val="BodyText"/>
      </w:pPr>
      <w:r>
        <w:rPr>
          <w:b/>
        </w:rPr>
        <w:t>Version 0.5.6 — June 2026.</w:t>
      </w:r>
      <w:r>
        <w:t xml:space="preserve"> Added the data-egress dimension to the Data pillar in both field guides; pillar totals held by redistribution.</w:t>
      </w:r>
    </w:p>
    <w:p w14:paraId="40E50FD5" w14:textId="77777777" w:rsidR="008A25C9" w:rsidRDefault="00000000">
      <w:pPr>
        <w:pStyle w:val="BodyText"/>
      </w:pPr>
      <w:r>
        <w:rPr>
          <w:b/>
        </w:rPr>
        <w:t>Version 0.5.5 — June 2026.</w:t>
      </w:r>
      <w:r>
        <w:t xml:space="preserve"> Added the Anthropic Fable 5 / Mythos 5 suspension (12 June 2026) as a flagship case; no scores or methodology changed.</w:t>
      </w:r>
    </w:p>
    <w:p w14:paraId="2E9D4495" w14:textId="77777777" w:rsidR="008A25C9" w:rsidRDefault="00000000">
      <w:pPr>
        <w:pStyle w:val="BodyText"/>
      </w:pPr>
      <w:r>
        <w:rPr>
          <w:b/>
        </w:rPr>
        <w:t>Version 0.5.4 — May 2026.</w:t>
      </w:r>
      <w:r>
        <w:t xml:space="preserve"> First public release of the document package.</w:t>
      </w:r>
    </w:p>
    <w:p w14:paraId="625CD8AD" w14:textId="77777777" w:rsidR="008A25C9" w:rsidRDefault="00000000">
      <w:pPr>
        <w:pStyle w:val="Heading1"/>
      </w:pPr>
      <w:bookmarkStart w:id="206" w:name="rights-and-licensing"/>
      <w:bookmarkStart w:id="207" w:name="_Toc238848894"/>
      <w:r>
        <w:t>Rights and licensing</w:t>
      </w:r>
      <w:bookmarkEnd w:id="206"/>
      <w:bookmarkEnd w:id="207"/>
    </w:p>
    <w:p w14:paraId="1EF148CE" w14:textId="77777777" w:rsidR="008A25C9" w:rsidRDefault="00000000">
      <w:pPr>
        <w:pStyle w:val="FirstParagraph"/>
      </w:pPr>
      <w:r>
        <w:rPr>
          <w:b/>
        </w:rPr>
        <w:t>AI Strategic Autonomy Framework: Assessment Framework</w:t>
      </w:r>
    </w:p>
    <w:p w14:paraId="2982C627" w14:textId="77777777" w:rsidR="008A25C9" w:rsidRDefault="00000000">
      <w:pPr>
        <w:pStyle w:val="BodyText"/>
      </w:pPr>
      <w:r>
        <w:t>Version 0.7.1 · August 2026</w:t>
      </w:r>
    </w:p>
    <w:p w14:paraId="18F88C4E" w14:textId="77777777" w:rsidR="008A25C9" w:rsidRDefault="00000000">
      <w:pPr>
        <w:pStyle w:val="BodyText"/>
      </w:pPr>
      <w:r>
        <w:t>Factual snapshot: April 2026, with an August 2026 evidence update (entries marked [Added v0.7.1] in the Evidence Base; Document 4, State of Play, reflects August 2026 throughout). The state-of-play material ages quickly; the package is revised on a stated cadence, and each revision updates the snapshot date here and on the cover.</w:t>
      </w:r>
    </w:p>
    <w:p w14:paraId="122B406A" w14:textId="77777777" w:rsidR="008A25C9" w:rsidRDefault="00000000">
      <w:pPr>
        <w:pStyle w:val="BodyText"/>
      </w:pPr>
      <w:r>
        <w:t>This document package, comprising the AI Strategic Autonomy Framework (AI-SAF) and its business (AI-SAF-C) and national (AI-SAF-N) variants, is licensed under a Creative Commons Attribution 4.0 International License (CC BY 4.0). You are free to share — copy and redistribute the material in any medium or format — and to adapt — remix, transform, and build upon the material — for any purpose, including commercially, under the following terms: Attribution — you must give appropriate credit, provide a link to the licence, and indicate if changes were made. Full licence text: https://creativecommons.org/licenses/by/4.0/</w:t>
      </w:r>
    </w:p>
    <w:p w14:paraId="2052DF34" w14:textId="77777777" w:rsidR="008A25C9" w:rsidRDefault="00000000">
      <w:pPr>
        <w:pStyle w:val="BodyText"/>
      </w:pPr>
      <w:r>
        <w:t xml:space="preserve">Suggested citation: Alexandrov, G. (2026). </w:t>
      </w:r>
      <w:r>
        <w:rPr>
          <w:i/>
        </w:rPr>
        <w:t>AI Strategic Autonomy Framework: Assessment Framework</w:t>
      </w:r>
      <w:r>
        <w:t xml:space="preserve"> (Version 0.7.1) [Document package]. [DOI: pending Zenodo registration]</w:t>
      </w:r>
    </w:p>
    <w:p w14:paraId="26498650" w14:textId="77777777" w:rsidR="008A25C9" w:rsidRDefault="00000000">
      <w:pPr>
        <w:pStyle w:val="BodyText"/>
      </w:pPr>
      <w:r>
        <w:t>Future updates will be recorded in the Version History. Small fixes (typos, broken links) keep the same version number with a dated note; changes to scoring, pillar definitions, or method get a new version number.</w:t>
      </w:r>
    </w:p>
    <w:p w14:paraId="6DB27C48" w14:textId="77777777" w:rsidR="008A25C9" w:rsidRDefault="00000000">
      <w:pPr>
        <w:pStyle w:val="BodyText"/>
      </w:pPr>
      <w:r>
        <w:t>— end of document —</w:t>
      </w:r>
    </w:p>
    <w:sectPr w:rsidR="008A25C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14E331" w14:textId="77777777" w:rsidR="001B450A" w:rsidRDefault="001B450A">
      <w:pPr>
        <w:spacing w:after="0"/>
      </w:pPr>
      <w:r>
        <w:separator/>
      </w:r>
    </w:p>
  </w:endnote>
  <w:endnote w:type="continuationSeparator" w:id="0">
    <w:p w14:paraId="40C811EC" w14:textId="77777777" w:rsidR="001B450A" w:rsidRDefault="001B450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ofia Sans">
    <w:panose1 w:val="00000000000000000000"/>
    <w:charset w:val="00"/>
    <w:family w:val="auto"/>
    <w:pitch w:val="variable"/>
    <w:sig w:usb0="A00002EF" w:usb1="4000A47B"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A30C3F" w14:textId="77777777" w:rsidR="001B450A" w:rsidRDefault="001B450A">
      <w:r>
        <w:separator/>
      </w:r>
    </w:p>
  </w:footnote>
  <w:footnote w:type="continuationSeparator" w:id="0">
    <w:p w14:paraId="1DFDB2A1" w14:textId="77777777" w:rsidR="001B450A" w:rsidRDefault="001B450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62E09C9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8F14818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AE5ED57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581518986">
    <w:abstractNumId w:val="1"/>
  </w:num>
  <w:num w:numId="2" w16cid:durableId="733698202">
    <w:abstractNumId w:val="0"/>
  </w:num>
  <w:num w:numId="3" w16cid:durableId="652291431">
    <w:abstractNumId w:val="0"/>
  </w:num>
  <w:num w:numId="4" w16cid:durableId="812411767">
    <w:abstractNumId w:val="0"/>
  </w:num>
  <w:num w:numId="5" w16cid:durableId="1786192693">
    <w:abstractNumId w:val="0"/>
  </w:num>
  <w:num w:numId="6" w16cid:durableId="354573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1B450A"/>
    <w:rsid w:val="004E29B3"/>
    <w:rsid w:val="00573BBE"/>
    <w:rsid w:val="00590D07"/>
    <w:rsid w:val="00784D58"/>
    <w:rsid w:val="008A25C9"/>
    <w:rsid w:val="008D6863"/>
    <w:rsid w:val="00AC3BA0"/>
    <w:rsid w:val="00B86B75"/>
    <w:rsid w:val="00BC48D5"/>
    <w:rsid w:val="00C36279"/>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07CDED"/>
  <w15:docId w15:val="{2E9E99C7-3445-A04A-B3AD-E6EACDCE3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573BBE"/>
    <w:pPr>
      <w:spacing w:after="100"/>
    </w:pPr>
  </w:style>
  <w:style w:type="paragraph" w:styleId="TOC2">
    <w:name w:val="toc 2"/>
    <w:basedOn w:val="Normal"/>
    <w:next w:val="Normal"/>
    <w:autoRedefine/>
    <w:uiPriority w:val="39"/>
    <w:rsid w:val="00573BB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Sofia Sa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Sofia San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24899</Words>
  <Characters>149648</Characters>
  <Application>Microsoft Office Word</Application>
  <DocSecurity>0</DocSecurity>
  <Lines>3480</Lines>
  <Paragraphs>1983</Paragraphs>
  <ScaleCrop>false</ScaleCrop>
  <Company/>
  <LinksUpToDate>false</LinksUpToDate>
  <CharactersWithSpaces>172564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Strategic Autonomy Framework</dc:title>
  <dc:creator>George</dc:creator>
  <cp:keywords/>
  <cp:lastModifiedBy>George</cp:lastModifiedBy>
  <cp:revision>2</cp:revision>
  <dcterms:created xsi:type="dcterms:W3CDTF">2026-08-28T19:34:00Z</dcterms:created>
  <dcterms:modified xsi:type="dcterms:W3CDTF">2026-08-28T19:34:00Z</dcterms:modified>
</cp:coreProperties>
</file>