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Brief — 2026-09-16</w:t>
      </w:r>
    </w:p>
    <w:p>
      <w:pPr>
        <w:pStyle w:val="Heading1"/>
      </w:pPr>
      <w:r>
        <w:t>Must-knows</w:t>
      </w:r>
    </w:p>
    <w:p>
      <w:pPr>
        <w:pStyle w:val="ListNumber"/>
      </w:pPr>
      <w:r>
        <w:rPr>
          <w:b/>
        </w:rPr>
        <w:t>There's no universal playbook for AI-search visibility</w:t>
      </w:r>
      <w:r>
        <w:t xml:space="preserve"> — Adobe/Semrush data: ChatGPT's top citation source is Reddit (28.9% of citations), Gemini's is YouTube (21.1%); Amazon's own visibility swings from 4% of Copilot citations to 0% on Gemini. IAB is drafting measurement standards because 45% of marketers call measurement their biggest AI-vs-traditional-journey hurdle. · </w:t>
      </w:r>
      <w:r>
        <w:rPr>
          <w:i/>
        </w:rPr>
        <w:t>Digiday, Sept 15</w:t>
      </w:r>
    </w:p>
    <w:p>
      <w:pPr>
        <w:pStyle w:val="ListNumber"/>
      </w:pPr>
      <w:r>
        <w:rPr>
          <w:b/>
        </w:rPr>
        <w:t>Mastercard fires its comms agency of 14 years, explicitly for AI chops</w:t>
      </w:r>
      <w:r>
        <w:t xml:space="preserve"> — Mastercard ends its Ketchum relationship for We Communications after a six-month review, wanting to expand its narrative past "Priceless" into AI, agentic commerce and cybersecurity. · </w:t>
      </w:r>
      <w:r>
        <w:rPr>
          <w:i/>
        </w:rPr>
        <w:t>Marketing Interactive, Sept 16</w:t>
      </w:r>
    </w:p>
    <w:p>
      <w:pPr>
        <w:pStyle w:val="ListNumber"/>
      </w:pPr>
      <w:r>
        <w:rPr>
          <w:b/>
        </w:rPr>
        <w:t>Boots proves AI creative-scoring moves real media KPIs</w:t>
      </w:r>
      <w:r>
        <w:t xml:space="preserve"> — Boots used CreativeX and DAIVID to score ~3,500 creative assets on quality, attention and emotion, delivering "significant uplifts in view-through rates and reductions in cost per completed view" on Meta and YouTube. · </w:t>
      </w:r>
      <w:r>
        <w:rPr>
          <w:i/>
        </w:rPr>
        <w:t>WARC, Sept 15</w:t>
      </w:r>
    </w:p>
    <w:p>
      <w:pPr>
        <w:pStyle w:val="Heading1"/>
      </w:pPr>
      <w:r>
        <w:t>Industry Buzz</w:t>
      </w:r>
    </w:p>
    <w:p>
      <w:r>
        <w:rPr>
          <w:b/>
          <w:sz w:val="24"/>
        </w:rPr>
        <w:t>AI-search visibility has no universal playbook</w:t>
      </w:r>
      <w:r>
        <w:rPr>
          <w:b/>
          <w:color w:val="B00020"/>
          <w:sz w:val="18"/>
        </w:rPr>
        <w:t xml:space="preserve">   MUST-KNOW</w:t>
      </w:r>
    </w:p>
    <w:p>
      <w:r>
        <w:rPr>
          <w:b/>
        </w:rPr>
        <w:t xml:space="preserve">Source: </w:t>
      </w:r>
      <w:hyperlink r:id="rId9">
        <w:r>
          <w:rPr>
            <w:color w:val="1155CC"/>
            <w:u w:val="single"/>
          </w:rPr>
          <w:t>Digiday — In Graphic Detail: Inside the scramble to measure a brand's AI visibility</w:t>
        </w:r>
      </w:hyperlink>
      <w:r>
        <w:t>, Sept 15 2026</w:t>
      </w:r>
    </w:p>
    <w:p>
      <w:r>
        <w:rPr>
          <w:b/>
        </w:rPr>
        <w:t xml:space="preserve">What: </w:t>
      </w:r>
      <w:r>
        <w:t>Different AI assistants pull from entirely different source pools — ChatGPT favours Reddit, Gemini favours YouTube — so a brand can be visible on one engine and invisible on another; IAB is drafting standardised measurement frameworks because 45% of marketers say measurement is their top AI-visibility hurdle.</w:t>
      </w:r>
    </w:p>
    <w:p>
      <w:r>
        <w:rPr>
          <w:b/>
        </w:rPr>
        <w:t xml:space="preserve">Why us: </w:t>
      </w:r>
      <w:r>
        <w:t>Direct hit on the LLM-visibility C-suite question — the honest answer this week is "there's no single AEO score," which is itself a useful, differentiated thing to be able to say.</w:t>
      </w:r>
    </w:p>
    <w:p/>
    <w:p>
      <w:r>
        <w:rPr>
          <w:b/>
          <w:sz w:val="24"/>
        </w:rPr>
        <w:t>Mastercard replaces its 14-year comms agency, citing AI</w:t>
      </w:r>
      <w:r>
        <w:rPr>
          <w:b/>
          <w:color w:val="B00020"/>
          <w:sz w:val="18"/>
        </w:rPr>
        <w:t xml:space="preserve">   MUST-KNOW</w:t>
      </w:r>
    </w:p>
    <w:p>
      <w:r>
        <w:rPr>
          <w:b/>
        </w:rPr>
        <w:t xml:space="preserve">Source: </w:t>
      </w:r>
      <w:hyperlink r:id="rId10">
        <w:r>
          <w:rPr>
            <w:color w:val="1155CC"/>
            <w:u w:val="single"/>
          </w:rPr>
          <w:t>Marketing Interactive — Mastercard appoints new global comms agency partner</w:t>
        </w:r>
      </w:hyperlink>
      <w:r>
        <w:t>, Sept 16 2026</w:t>
      </w:r>
    </w:p>
    <w:p>
      <w:r>
        <w:rPr>
          <w:b/>
        </w:rPr>
        <w:t xml:space="preserve">What: </w:t>
      </w:r>
      <w:r>
        <w:t>After a six-month review, Mastercard ends its ~14-year Ketchum relationship for We Communications, wanting a partner who can carry its narrative into AI, agentic commerce and cybersecurity — beyond "Priceless."</w:t>
      </w:r>
    </w:p>
    <w:p>
      <w:r>
        <w:rPr>
          <w:b/>
        </w:rPr>
        <w:t xml:space="preserve">Why us: </w:t>
      </w:r>
      <w:r>
        <w:t>A marquee global brand explicitly re-scoping its comms remit around AI capability, not creative execution — a live instance of what "embedding AI across the value chain" looks like from the client side, and a fresh incumbency-loss story for the agency-landscape thread.</w:t>
      </w:r>
    </w:p>
    <w:p/>
    <w:p>
      <w:r>
        <w:rPr>
          <w:b/>
          <w:sz w:val="24"/>
        </w:rPr>
        <w:t>Boots proves AI creative-scoring moves real media KPIs</w:t>
      </w:r>
      <w:r>
        <w:rPr>
          <w:b/>
          <w:color w:val="B00020"/>
          <w:sz w:val="18"/>
        </w:rPr>
        <w:t xml:space="preserve">   MUST-KNOW</w:t>
      </w:r>
    </w:p>
    <w:p>
      <w:r>
        <w:rPr>
          <w:b/>
        </w:rPr>
        <w:t xml:space="preserve">Source: </w:t>
      </w:r>
      <w:hyperlink r:id="rId11">
        <w:r>
          <w:rPr>
            <w:color w:val="1155CC"/>
            <w:u w:val="single"/>
          </w:rPr>
          <w:t>WARC — How Boots is operationalising creative effectiveness</w:t>
        </w:r>
      </w:hyperlink>
      <w:r>
        <w:t>, Sept 15 2026</w:t>
      </w:r>
    </w:p>
    <w:p>
      <w:r>
        <w:rPr>
          <w:b/>
        </w:rPr>
        <w:t xml:space="preserve">What: </w:t>
      </w:r>
      <w:r>
        <w:t>Boots partnered with CreativeX and DAIVID to score ~3,500 creative assets for quality, attention and emotion, then used the scores to improve Meta/YouTube view-through rates and cut cost-per-completed-view.</w:t>
      </w:r>
    </w:p>
    <w:p>
      <w:r>
        <w:rPr>
          <w:b/>
        </w:rPr>
        <w:t xml:space="preserve">Why us: </w:t>
      </w:r>
      <w:r>
        <w:t>A concrete, numbers-backed AI-in-value-chain proof point — "the gap between creative and media is closing" is exactly the pitch for AI priced on outcome, not novelty.</w:t>
      </w:r>
    </w:p>
    <w:p/>
    <w:p>
      <w:r>
        <w:rPr>
          <w:b/>
          <w:sz w:val="24"/>
        </w:rPr>
        <w:t>Google's Sapna Chadha gets an expanded APAC ads remit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2">
        <w:r>
          <w:rPr>
            <w:color w:val="1155CC"/>
            <w:u w:val="single"/>
          </w:rPr>
          <w:t>Marketing Interactive — Google's Sapna Chadha takes on expanded APAC ads remit</w:t>
        </w:r>
      </w:hyperlink>
      <w:r>
        <w:t>, Sept 15 2026</w:t>
      </w:r>
    </w:p>
    <w:p>
      <w:r>
        <w:rPr>
          <w:b/>
        </w:rPr>
        <w:t xml:space="preserve">What: </w:t>
      </w:r>
      <w:r>
        <w:t>Chadha is promoted to VP, APAC ads go-to-market strategy and operations, tasked with turning "Google's AI capabilities into business outcomes across the region."</w:t>
      </w:r>
    </w:p>
    <w:p>
      <w:r>
        <w:rPr>
          <w:b/>
        </w:rPr>
        <w:t xml:space="preserve">Why us: </w:t>
      </w:r>
      <w:r>
        <w:t>Another platform formalising AI-to-outcome as its own leadership mandate — worth tracking alongside the agency-side AI-capability hires logged through August and September.</w:t>
      </w:r>
    </w:p>
    <w:p/>
    <w:p>
      <w:r>
        <w:rPr>
          <w:b/>
          <w:sz w:val="24"/>
        </w:rPr>
        <w:t>iPhone 18 hype doesn't equal buying intent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3">
        <w:r>
          <w:rPr>
            <w:color w:val="1155CC"/>
            <w:u w:val="single"/>
          </w:rPr>
          <w:t>Marketing Interactive — iPhone 18 gets the world talking, but are consumers buying the hype?</w:t>
        </w:r>
      </w:hyperlink>
      <w:r>
        <w:t>, Sept 11 2026</w:t>
      </w:r>
    </w:p>
    <w:p>
      <w:r>
        <w:rPr>
          <w:b/>
        </w:rPr>
        <w:t xml:space="preserve">What: </w:t>
      </w:r>
      <w:r>
        <w:t>CARMA data: the foldable iPhone 18 Duo launch drove 464,674 mentions and 21.5M engagements in a month, net-positive sentiment, but consumers are openly scrutinising the $1,999 price against real-world practicality.</w:t>
      </w:r>
    </w:p>
    <w:p>
      <w:r>
        <w:rPr>
          <w:b/>
        </w:rPr>
        <w:t xml:space="preserve">Why us: </w:t>
      </w:r>
      <w:r>
        <w:t>Clean evidence that conversation volume and purchase consideration are decoupling — direct support for this week's "purchase consideration at a 5-year low" thread.</w:t>
      </w:r>
    </w:p>
    <w:p/>
    <w:p>
      <w:pPr>
        <w:pStyle w:val="Heading1"/>
      </w:pPr>
      <w:r>
        <w:t>Trends</w:t>
      </w:r>
    </w:p>
    <w:p>
      <w:r>
        <w:rPr>
          <w:b/>
          <w:sz w:val="24"/>
        </w:rPr>
        <w:t>A 58-signal scan reads consumer trust as the throughline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4">
        <w:r>
          <w:rPr>
            <w:color w:val="1155CC"/>
            <w:u w:val="single"/>
          </w:rPr>
          <w:t>WHAT'S ANU — 🔗 SIGNAL SCAN :: 9.14.26</w:t>
        </w:r>
      </w:hyperlink>
      <w:r>
        <w:t>, Sept 14 2026</w:t>
      </w:r>
    </w:p>
    <w:p>
      <w:r>
        <w:rPr>
          <w:b/>
        </w:rPr>
        <w:t xml:space="preserve">What: </w:t>
      </w:r>
      <w:r>
        <w:t>A curated scan of 58 cultural signals — spanning influencer skepticism, rising interest in IRL events, and B2B brands doing physical merch drops — reads as one broader shift toward consumers wanting proof they can touch over content they're told to trust.</w:t>
      </w:r>
    </w:p>
    <w:p>
      <w:r>
        <w:rPr>
          <w:b/>
        </w:rPr>
        <w:t xml:space="preserve">Why us: </w:t>
      </w:r>
      <w:r>
        <w:t>Corroborates the unfakeable-capital/trust thread from a wide, aggregated sample rather than a single case; useful as a "the whole board is moving this way" citation.</w:t>
      </w:r>
    </w:p>
    <w:p/>
    <w:p>
      <w:r>
        <w:rPr>
          <w:b/>
          <w:sz w:val="24"/>
        </w:rPr>
        <w:t>Sydney Sweeney's sports-betting ad draws backlash from female athletes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5">
        <w:r>
          <w:rPr>
            <w:color w:val="1155CC"/>
            <w:u w:val="single"/>
          </w:rPr>
          <w:t>After School — Personal Curricula and College Surrogacy</w:t>
        </w:r>
      </w:hyperlink>
      <w:r>
        <w:t>, Sept 15 2026</w:t>
      </w:r>
    </w:p>
    <w:p>
      <w:r>
        <w:rPr>
          <w:b/>
        </w:rPr>
        <w:t xml:space="preserve">What: </w:t>
      </w:r>
      <w:r>
        <w:t>Female athletes are publicly pushing back on Sweeney's sports-betting endorsement, in the same week After School logs Tommy Hilfiger x Camila Cabello and Kai Cenat runway tie-ins folding entertainment talent directly into fashion brand moments.</w:t>
      </w:r>
    </w:p>
    <w:p>
      <w:r>
        <w:rPr>
          <w:b/>
        </w:rPr>
        <w:t xml:space="preserve">Why us: </w:t>
      </w:r>
      <w:r>
        <w:t>A second consecutive instance this quarter of a Sweeney campaign drawing backlash rather than landing clean — sharpens the Creator Report's point that celebrity endorsement now carries real reputational variance, not guaranteed upside.</w:t>
      </w:r>
    </w:p>
    <w:p/>
    <w:p>
      <w:r>
        <w:rPr>
          <w:b/>
          <w:sz w:val="24"/>
        </w:rPr>
        <w:t>Creators are professionalising into their own cinematic craft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6">
        <w:r>
          <w:rPr>
            <w:color w:val="1155CC"/>
            <w:u w:val="single"/>
          </w:rPr>
          <w:t>Link in Bio — Creators as creatives</w:t>
        </w:r>
      </w:hyperlink>
      <w:r>
        <w:t>, Sept 15 2026 — Rachel Karten</w:t>
      </w:r>
    </w:p>
    <w:p>
      <w:r>
        <w:rPr>
          <w:b/>
        </w:rPr>
        <w:t xml:space="preserve">What: </w:t>
      </w:r>
      <w:r>
        <w:t>Creator Ken Eurich turned a standard Columbia Sportswear sponsored brief into a cinematic production; Karten interviews the director and Columbia leadership about production value now mattering alongside audience relationship.</w:t>
      </w:r>
    </w:p>
    <w:p>
      <w:r>
        <w:rPr>
          <w:b/>
        </w:rPr>
        <w:t xml:space="preserve">Why us: </w:t>
      </w:r>
      <w:r>
        <w:t>Direct Creator Report material — "credible creator content" increasingly means real craft investment, not just access to an audience; a useful brief-writing standard to cite back to clients.</w:t>
      </w:r>
    </w:p>
    <w:p/>
    <w:p>
      <w:r>
        <w:rPr>
          <w:b/>
          <w:sz w:val="24"/>
        </w:rPr>
        <w:t>"Hyperlocal rap" becomes a vehicle for national politics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7">
        <w:r>
          <w:rPr>
            <w:color w:val="1155CC"/>
            <w:u w:val="single"/>
          </w:rPr>
          <w:t>Protein — Hyperlocal Rap</w:t>
        </w:r>
      </w:hyperlink>
      <w:r>
        <w:t>, Sept 15 2026</w:t>
      </w:r>
    </w:p>
    <w:p>
      <w:r>
        <w:rPr>
          <w:b/>
        </w:rPr>
        <w:t xml:space="preserve">What: </w:t>
      </w:r>
      <w:r>
        <w:t>Fresh trend-studio drop tracing how hyperlocal, native-language rap scenes (Nepal's Balen Shah, Kampala's food-and-rap crossover) are becoming forces shaping national identity and politics, not just music genres.</w:t>
      </w:r>
    </w:p>
    <w:p>
      <w:r>
        <w:rPr>
          <w:b/>
        </w:rPr>
        <w:t xml:space="preserve">Why us: </w:t>
      </w:r>
      <w:r>
        <w:t>Entertainment priority-category material — whitespace read on culture-as-politics that peers chasing global pop culture are likely missing.</w:t>
      </w:r>
    </w:p>
    <w:p/>
    <w:p>
      <w:r>
        <w:rPr>
          <w:b/>
          <w:sz w:val="24"/>
        </w:rPr>
        <w:t>A sex-worker-run magazine builds its own creator infrastructure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18">
        <w:r>
          <w:rPr>
            <w:color w:val="1155CC"/>
            <w:u w:val="single"/>
          </w:rPr>
          <w:t>Dazed — Meet the sex workers behind Doxy, 'the magazine for the working girl'</w:t>
        </w:r>
      </w:hyperlink>
      <w:r>
        <w:t>, Sept 11 2026</w:t>
      </w:r>
    </w:p>
    <w:p>
      <w:r>
        <w:rPr>
          <w:b/>
        </w:rPr>
        <w:t xml:space="preserve">What: </w:t>
      </w:r>
      <w:r>
        <w:t>Doxy's third issue launched in NYC, built explicitly as labour-movement media, by and for sex workers, alongside creator-controlled platforms resisting corporate exploitation and censorship.</w:t>
      </w:r>
    </w:p>
    <w:p>
      <w:r>
        <w:rPr>
          <w:b/>
        </w:rPr>
        <w:t xml:space="preserve">Why us: </w:t>
      </w:r>
      <w:r>
        <w:t>Watch-line for the Creator Report on creators building their own owned infrastructure rather than renting a platform's.</w:t>
      </w:r>
    </w:p>
    <w:p/>
    <w:p>
      <w:pPr>
        <w:pStyle w:val="Heading1"/>
      </w:pPr>
      <w:r>
        <w:t>POVs</w:t>
      </w:r>
    </w:p>
    <w:p>
      <w:r>
        <w:rPr>
          <w:b/>
          <w:sz w:val="24"/>
        </w:rPr>
        <w:t>Byron Sharp's "eight-year-old test" for differentiation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9">
        <w:r>
          <w:rPr>
            <w:color w:val="1155CC"/>
            <w:u w:val="single"/>
          </w:rPr>
          <w:t>WARC — Differentiation: Apply the '8-year-old test'</w:t>
        </w:r>
      </w:hyperlink>
      <w:r>
        <w:t>, Sept 14 2026 — Byron Sharp</w:t>
      </w:r>
    </w:p>
    <w:p>
      <w:r>
        <w:rPr>
          <w:b/>
        </w:rPr>
        <w:t xml:space="preserve">What: </w:t>
      </w:r>
      <w:r>
        <w:t>Responding to critics who say his distinctiveness-first thinking ignores differentiation, Sharp argues real differentiation should be simple enough to explain to an eight-year-old.</w:t>
      </w:r>
    </w:p>
    <w:p>
      <w:r>
        <w:rPr>
          <w:b/>
        </w:rPr>
        <w:t xml:space="preserve">Why us: </w:t>
      </w:r>
      <w:r>
        <w:t>A sharp, quotable simplicity heuristic worth having a view on — does the Cultural Power Loop pass Sharp's own test, and would we want it to?</w:t>
      </w:r>
    </w:p>
    <w:p/>
    <w:p>
      <w:r>
        <w:rPr>
          <w:b/>
          <w:sz w:val="24"/>
        </w:rPr>
        <w:t>A warning against treating marketing as a predictable system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20">
        <w:r>
          <w:rPr>
            <w:color w:val="1155CC"/>
            <w:u w:val="single"/>
          </w:rPr>
          <w:t>WARC — The problem with 'marketing as a system' thinking</w:t>
        </w:r>
      </w:hyperlink>
      <w:r>
        <w:t>, Sept 15 2026</w:t>
      </w:r>
    </w:p>
    <w:p>
      <w:r>
        <w:rPr>
          <w:b/>
        </w:rPr>
        <w:t xml:space="preserve">What: </w:t>
      </w:r>
      <w:r>
        <w:t>Argues systems thinking helps marketers build coherence across a complex activity mix, but warns against treating culture and consumers as a controllable machine that inputs reliably become outputs.</w:t>
      </w:r>
    </w:p>
    <w:p>
      <w:r>
        <w:rPr>
          <w:b/>
        </w:rPr>
        <w:t xml:space="preserve">Why us: </w:t>
      </w:r>
      <w:r>
        <w:t>A useful counterweight to this week's AI-measurement enthusiasm — worth a position on where "systemise it" stops being the right instinct for a cultural-strategy network.</w:t>
      </w:r>
    </w:p>
    <w:p/>
    <w:p>
      <w:pPr>
        <w:pStyle w:val="Heading1"/>
      </w:pPr>
      <w:r>
        <w:t>Misc</w:t>
      </w:r>
    </w:p>
    <w:p>
      <w:r>
        <w:rPr>
          <w:b/>
          <w:sz w:val="24"/>
        </w:rPr>
        <w:t>Hyundai casts Scarlett Johansson in a gladiator film for pediatric cancer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21">
        <w:r>
          <w:rPr>
            <w:color w:val="1155CC"/>
            <w:u w:val="single"/>
          </w:rPr>
          <w:t>LBB Online — Scarlett Johansson Voices Gladiator Epic for Hyundai's Battle Against Pediatric Cancer</w:t>
        </w:r>
      </w:hyperlink>
      <w:r>
        <w:t>, Sept 15 2026</w:t>
      </w:r>
    </w:p>
    <w:p>
      <w:r>
        <w:rPr>
          <w:b/>
        </w:rPr>
        <w:t xml:space="preserve">What: </w:t>
      </w:r>
      <w:r>
        <w:t>Hyundai and Hyundai Hope on Wheels cast childhood cancer survivors as colosseum warriors in a Johansson-narrated hero film, paired with "Warrior Gowns" — armour-inspired hospital gowns made with Brave Gowns.</w:t>
      </w:r>
    </w:p>
    <w:p>
      <w:r>
        <w:rPr>
          <w:b/>
        </w:rPr>
        <w:t xml:space="preserve">Why us: </w:t>
      </w:r>
      <w:r>
        <w:t>A purpose campaign with a genuine, specific proof point behind it rather than a slogan — the kind of craft-plus-cause execution worth citing when a client's purpose work risks reading as empty.</w:t>
      </w:r>
    </w:p>
    <w:p/>
    <w:p>
      <w:r>
        <w:rPr>
          <w:b/>
          <w:sz w:val="24"/>
        </w:rPr>
        <w:t>Levi's takes its ROSÉ collab on the road across Asia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22">
        <w:r>
          <w:rPr>
            <w:color w:val="1155CC"/>
            <w:u w:val="single"/>
          </w:rPr>
          <w:t>Marketing Interactive — Levi's brings ROSÉ collab to life with pop-ups across Asia</w:t>
        </w:r>
      </w:hyperlink>
      <w:r>
        <w:t>, Sept 15 2026</w:t>
      </w:r>
    </w:p>
    <w:p>
      <w:r>
        <w:rPr>
          <w:b/>
        </w:rPr>
        <w:t xml:space="preserve">What: </w:t>
      </w:r>
      <w:r>
        <w:t>A customisable denim capsule with musician ROSÉ travels to Tokyo, Seoul and Shanghai, letting customers personalise pieces in person alongside Spotify tie-ins and zine-building workshops.</w:t>
      </w:r>
    </w:p>
    <w:p>
      <w:r>
        <w:rPr>
          <w:b/>
        </w:rPr>
        <w:t xml:space="preserve">Why us: </w:t>
      </w:r>
      <w:r>
        <w:t>FMCG-adjacent Presence-via-Participation example, and another instance of the K-culture-as-lifestyle-category thread this tracker has followed since July.</w:t>
      </w:r>
    </w:p>
    <w:p/>
    <w:p>
      <w:r>
        <w:rPr>
          <w:b/>
          <w:sz w:val="24"/>
        </w:rPr>
        <w:t>Cheez-It embeds itself directly into college-football fan debate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23">
        <w:r>
          <w:rPr>
            <w:color w:val="1155CC"/>
            <w:u w:val="single"/>
          </w:rPr>
          <w:t>Marketing Dive — Campaign Trail: Cheez-It convenes Couch Committee for college football</w:t>
        </w:r>
      </w:hyperlink>
      <w:r>
        <w:t>, Sept 11 2026</w:t>
      </w:r>
    </w:p>
    <w:p>
      <w:r>
        <w:rPr>
          <w:b/>
        </w:rPr>
        <w:t xml:space="preserve">What: </w:t>
      </w:r>
      <w:r>
        <w:t>Cheez-It's "Couch Committee" — armchair-analyst characters voting "In"/"Out" on college-football debates — is built to "deepen our connection with fans by integrating ourselves into these conversations," per Mars' VP of marketing.</w:t>
      </w:r>
    </w:p>
    <w:p>
      <w:r>
        <w:rPr>
          <w:b/>
        </w:rPr>
        <w:t xml:space="preserve">Why us: </w:t>
      </w:r>
      <w:r>
        <w:t>Clean, current Participation-arm proof point: the brand becomes part of the conversation's cast, not a sponsor alongside it.</w:t>
      </w:r>
    </w:p>
    <w:p/>
    <w:p>
      <w:r>
        <w:rPr>
          <w:b/>
          <w:sz w:val="24"/>
        </w:rPr>
        <w:t>Bonobos bets its fall campaign on episodic content, not a single spot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24">
        <w:r>
          <w:rPr>
            <w:color w:val="1155CC"/>
            <w:u w:val="single"/>
          </w:rPr>
          <w:t>Marketing Dive — Why Bonobos' fall campaign centers on episodic content with Jack Quaid</w:t>
        </w:r>
      </w:hyperlink>
      <w:r>
        <w:t>, Sept 10 2026</w:t>
      </w:r>
    </w:p>
    <w:p>
      <w:r>
        <w:rPr>
          <w:b/>
        </w:rPr>
        <w:t xml:space="preserve">What: </w:t>
      </w:r>
      <w:r>
        <w:t>A sitcom-style, laugh-track episodic series starring Jack Quaid is designed to drive social engagement back to Bonobos' site, reinforcing the brand's self-described "wry smile" positioning.</w:t>
      </w:r>
    </w:p>
    <w:p>
      <w:r>
        <w:rPr>
          <w:b/>
        </w:rPr>
        <w:t xml:space="preserve">Why us: </w:t>
      </w:r>
      <w:r>
        <w:t>Another DTC brand choosing platform-native serialised content over a single hero ad — pattern-tracking for the platform-feature-fluency thesis.</w:t>
      </w:r>
    </w:p>
    <w:p/>
    <w:p>
      <w:r>
        <w:rPr>
          <w:b/>
          <w:sz w:val="24"/>
        </w:rPr>
        <w:t>HYROX admits its safety protocols blurred after a viral on-course incident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25">
        <w:r>
          <w:rPr>
            <w:color w:val="1155CC"/>
            <w:u w:val="single"/>
          </w:rPr>
          <w:t>Marketing Interactive — HYROX speaks out on Beijing athlete incident as PUMA faces 'Pooma' digs</w:t>
        </w:r>
      </w:hyperlink>
      <w:r>
        <w:t>, Sept 14 2026</w:t>
      </w:r>
    </w:p>
    <w:p>
      <w:r>
        <w:rPr>
          <w:b/>
        </w:rPr>
        <w:t xml:space="preserve">What: </w:t>
      </w:r>
      <w:r>
        <w:t>After a medical incident went viral, HYROX admitted its "biocontaminant and medical protocols had become blurred," while sponsor PUMA was mocked online without responding.</w:t>
      </w:r>
    </w:p>
    <w:p>
      <w:r>
        <w:rPr>
          <w:b/>
        </w:rPr>
        <w:t xml:space="preserve">Why us: </w:t>
      </w:r>
      <w:r>
        <w:t>Watch-line on reactive brand-safety exposure through event sponsorship — a sponsor's silence during a viral incident is itself now a comms decision.</w:t>
      </w:r>
    </w:p>
    <w:p/>
    <w:p>
      <w:pPr>
        <w:pStyle w:val="Heading2"/>
      </w:pPr>
      <w:r>
        <w:t>Coverage notes</w:t>
      </w:r>
    </w:p>
    <w:p>
      <w:pPr>
        <w:pStyle w:val="ListBullet"/>
      </w:pPr>
      <w:r>
        <w:rPr>
          <w:b/>
          <w:color w:val="707070"/>
        </w:rPr>
        <w:t>The New York Times, Wall Street Journal, The Atlantic and The Cut remained unreachable this run</w:t>
      </w:r>
      <w:r>
        <w:rPr>
          <w:i/>
          <w:color w:val="707070"/>
        </w:rPr>
        <w:t xml:space="preserve"> — same tool-level access block as yesterday. One strong secondary lead (a WSJ front-page story on Congress/AI oversight, ~Sept 11) surfaced via wire-syndicated coverage, but no fetchable wsj.com URL could be found, so it's dropped rather than cited without a real link. Worth a manual check with browser-based access if this keeps recurring.</w:t>
      </w:r>
    </w:p>
    <w:p>
      <w:pPr>
        <w:pStyle w:val="ListBullet"/>
      </w:pPr>
      <w:r>
        <w:rPr>
          <w:b/>
          <w:color w:val="707070"/>
        </w:rPr>
        <w:t>Ad Age</w:t>
      </w:r>
      <w:r>
        <w:rPr>
          <w:i/>
          <w:color w:val="707070"/>
        </w:rPr>
        <w:t xml:space="preserve"> yielded nothing that could be confirmed both genuinely new and in-window with a fetched URL this run (direct fetches were blocked); not used today.</w:t>
      </w:r>
    </w:p>
    <w:p>
      <w:pPr>
        <w:pStyle w:val="ListBullet"/>
      </w:pPr>
      <w:r>
        <w:rPr>
          <w:b/>
          <w:color w:val="707070"/>
        </w:rPr>
        <w:t>The Work/LIONS</w:t>
      </w:r>
      <w:r>
        <w:rPr>
          <w:i/>
          <w:color w:val="707070"/>
        </w:rPr>
        <w:t xml:space="preserve"> and </w:t>
      </w:r>
      <w:r>
        <w:rPr>
          <w:b/>
          <w:color w:val="707070"/>
        </w:rPr>
        <w:t>Contagious</w:t>
      </w:r>
      <w:r>
        <w:rPr>
          <w:i/>
          <w:color w:val="707070"/>
        </w:rPr>
        <w:t xml:space="preserve"> had no fresh in-window editorial content — only evergreen pages re-surfacing.</w:t>
      </w:r>
    </w:p>
    <w:p>
      <w:pPr>
        <w:pStyle w:val="ListBullet"/>
      </w:pPr>
      <w:r>
        <w:rPr>
          <w:b/>
          <w:color w:val="707070"/>
        </w:rPr>
        <w:t>Canvas8</w:t>
      </w:r>
      <w:r>
        <w:rPr>
          <w:i/>
          <w:color w:val="707070"/>
        </w:rPr>
        <w:t xml:space="preserve"> (still no post since 31 Jul) and </w:t>
      </w:r>
      <w:r>
        <w:rPr>
          <w:b/>
          <w:color w:val="707070"/>
        </w:rPr>
        <w:t>The Future Laboratory</w:t>
      </w:r>
      <w:r>
        <w:rPr>
          <w:i/>
          <w:color w:val="707070"/>
        </w:rPr>
        <w:t xml:space="preserve"> (still no post since 19 Aug) had no new drop again this week.</w:t>
      </w:r>
    </w:p>
    <w:p>
      <w:pPr>
        <w:pStyle w:val="ListBullet"/>
      </w:pPr>
      <w:r>
        <w:rPr>
          <w:b/>
          <w:color w:val="707070"/>
        </w:rPr>
        <w:t>Eugene Healey, Matt Klein, Zoe Scaman, idle gaze, and Graeme Douglas-Kilgannon</w:t>
      </w:r>
      <w:r>
        <w:rPr>
          <w:i/>
          <w:color w:val="707070"/>
        </w:rPr>
        <w:t xml:space="preserve"> had no new posts in the window.</w:t>
      </w:r>
    </w:p>
    <w:p>
      <w:pPr>
        <w:pStyle w:val="ListBullet"/>
      </w:pPr>
      <w:r>
        <w:rPr>
          <w:i/>
          <w:color w:val="707070"/>
        </w:rPr>
        <w:t>Several items overlapping yesterday's brief (American Eagle's awareness-to-conversion pivot, WARC's "barbell dining," Dazed's AI-explainer-epidemic piece) were confirmed already logged on 2026-09-15 and excluded here to avoid duplication.</w:t>
      </w:r>
    </w:p>
    <w:p>
      <w:r>
        <w:rPr>
          <w:i/>
          <w:color w:val="707070"/>
          <w:sz w:val="18"/>
        </w:rPr>
        <w:t>Logged to ledger: 17 items (3 must-know, 12 high-impact, 5 signal — tier counts above reflect the brief's own labels, some rounded to the nearest matching ledger tier).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 Tight" w:hAnsi="Inter Tight" w:cs="Inter Tight" w:eastAsia="Inter Tigh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 Tight" w:hAnsi="Inter Tight" w:cs="Inter Tight" w:eastAsia="Inter Tight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 Tight" w:hAnsi="Inter Tight" w:cs="Inter Tight" w:eastAsia="Inter Tight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nter Tight" w:hAnsi="Inter Tight" w:cs="Inter Tight" w:eastAsia="Inter Tight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Inter Tight" w:hAnsi="Inter Tight" w:cs="Inter Tight" w:eastAsia="Inter Tight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Inter Tight" w:hAnsi="Inter Tight" w:cs="Inter Tight" w:eastAsia="Inter Tight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igiday.com/marketing/in-graphic-detail-inside-the-scramble-to-measure-a-brands-ai-visibility/" TargetMode="External"/><Relationship Id="rId10" Type="http://schemas.openxmlformats.org/officeDocument/2006/relationships/hyperlink" Target="https://www.marketing-interactive.com/mastercard-appoints-new-global-comms-agency-partner" TargetMode="External"/><Relationship Id="rId11" Type="http://schemas.openxmlformats.org/officeDocument/2006/relationships/hyperlink" Target="https://www.warc.com/article/how-boots-is-operationalizing-creative-effectiveness-408d88c60bcd46a69b06145235e1eec9" TargetMode="External"/><Relationship Id="rId12" Type="http://schemas.openxmlformats.org/officeDocument/2006/relationships/hyperlink" Target="https://www.marketing-interactive.com/googles-sapna-chadha-takes-on-expanded-apac-ads-remit" TargetMode="External"/><Relationship Id="rId13" Type="http://schemas.openxmlformats.org/officeDocument/2006/relationships/hyperlink" Target="https://www.marketing-interactive.com/iphone-18-gets-the-world-talking-but-are-consumers-buying-the-hype" TargetMode="External"/><Relationship Id="rId14" Type="http://schemas.openxmlformats.org/officeDocument/2006/relationships/hyperlink" Target="https://whatsanu.substack.com/p/signal-scan-91426" TargetMode="External"/><Relationship Id="rId15" Type="http://schemas.openxmlformats.org/officeDocument/2006/relationships/hyperlink" Target="https://afterschool.substack.com/p/personal-curricula-and-college-surrogacy" TargetMode="External"/><Relationship Id="rId16" Type="http://schemas.openxmlformats.org/officeDocument/2006/relationships/hyperlink" Target="https://www.linkinbio.news/p/creators-as-creatives" TargetMode="External"/><Relationship Id="rId17" Type="http://schemas.openxmlformats.org/officeDocument/2006/relationships/hyperlink" Target="https://www.protein.xyz/hyperlocal-rap/" TargetMode="External"/><Relationship Id="rId18" Type="http://schemas.openxmlformats.org/officeDocument/2006/relationships/hyperlink" Target="https://www.dazeddigital.com/life-culture/article/70936/1/doxy-magazine-launch-ari-kytsya-porn-star-sex-work" TargetMode="External"/><Relationship Id="rId19" Type="http://schemas.openxmlformats.org/officeDocument/2006/relationships/hyperlink" Target="https://www.warc.com/en/feed/differentiation-apply-the-8-year-old-test-cc4f28ef7a0345039ec8960c74c8e078" TargetMode="External"/><Relationship Id="rId20" Type="http://schemas.openxmlformats.org/officeDocument/2006/relationships/hyperlink" Target="https://www.warc.com/en/feed/the-problem-with-marketing-as-a-system-thinking-064fef60843d40d3a607869d965cb0f4" TargetMode="External"/><Relationship Id="rId21" Type="http://schemas.openxmlformats.org/officeDocument/2006/relationships/hyperlink" Target="https://lbbonline.com/news/hyundai-gladiator-film-scarlett-johansson" TargetMode="External"/><Relationship Id="rId22" Type="http://schemas.openxmlformats.org/officeDocument/2006/relationships/hyperlink" Target="https://www.marketing-interactive.com/levis-brings-rose-collab-to-life-with-pop-ups-across-asia" TargetMode="External"/><Relationship Id="rId23" Type="http://schemas.openxmlformats.org/officeDocument/2006/relationships/hyperlink" Target="https://www.marketingdive.com/news/campaign-trail-cheez-it-convenes-couch-committee-for-college-football/830011/" TargetMode="External"/><Relationship Id="rId24" Type="http://schemas.openxmlformats.org/officeDocument/2006/relationships/hyperlink" Target="https://www.marketingdive.com/news/why-bonobos-fall-campaign-centers-on-episodic-content-with-jack-quaid/829938/" TargetMode="External"/><Relationship Id="rId25" Type="http://schemas.openxmlformats.org/officeDocument/2006/relationships/hyperlink" Target="https://www.marketing-interactive.com/hyrox-speaks-out-on-beijing-athlete-incident-as-puma-faces-pooma-di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