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Brief — 2026-07-31</w:t>
      </w:r>
    </w:p>
    <w:p>
      <w:pPr>
        <w:pStyle w:val="Heading1"/>
      </w:pPr>
      <w:r>
        <w:t>Must-knows</w:t>
      </w:r>
    </w:p>
    <w:p>
      <w:pPr>
        <w:pStyle w:val="ListNumber"/>
      </w:pPr>
      <w:r>
        <w:rPr>
          <w:b/>
        </w:rPr>
        <w:t>Stanley 1913 hires Born Social as global AOR</w:t>
      </w:r>
      <w:r>
        <w:t xml:space="preserve"> — A viral-famous heritage brand explicitly chose a social-first specialist over a general agency to move past "Quencher Woman" fame into durable, segment-specific community strategy. · </w:t>
      </w:r>
      <w:hyperlink r:id="rId9">
        <w:r>
          <w:rPr>
            <w:color w:val="1155CC"/>
            <w:u w:val="single"/>
          </w:rPr>
          <w:t>Adweek, Jul 31 2026</w:t>
        </w:r>
      </w:hyperlink>
    </w:p>
    <w:p>
      <w:pPr>
        <w:pStyle w:val="ListNumber"/>
      </w:pPr>
      <w:r>
        <w:rPr>
          <w:b/>
        </w:rPr>
        <w:t>The "influencer recession"</w:t>
      </w:r>
      <w:r>
        <w:t xml:space="preserve"> — Aspirational lifestyle content now triggers backlash instead of envy; influencers are pivoting to deliberate "rage-bait" (flaunting waste) to monetize outrage instead of aspiration. · </w:t>
      </w:r>
      <w:hyperlink r:id="rId10">
        <w:r>
          <w:rPr>
            <w:color w:val="1155CC"/>
            <w:u w:val="single"/>
          </w:rPr>
          <w:t>After School, Jul 30 2026</w:t>
        </w:r>
      </w:hyperlink>
    </w:p>
    <w:p>
      <w:pPr>
        <w:pStyle w:val="ListNumber"/>
      </w:pPr>
      <w:r>
        <w:rPr>
          <w:b/>
        </w:rPr>
        <w:t>Amazon's Sponsored AI Prompts becomes a real ad line</w:t>
      </w:r>
      <w:r>
        <w:t xml:space="preserve"> — Inside record Q2 ad revenue ($20bn, +26% YoY), Jassy flagged "strong initial results" from AI-answer ad placements — AEO is now a monetized product at hyperscale, not a hypothetical. · </w:t>
      </w:r>
      <w:hyperlink r:id="rId11">
        <w:r>
          <w:rPr>
            <w:color w:val="1155CC"/>
            <w:u w:val="single"/>
          </w:rPr>
          <w:t>Adweek, Jul 30 2026</w:t>
        </w:r>
      </w:hyperlink>
    </w:p>
    <w:p>
      <w:pPr>
        <w:pStyle w:val="Heading1"/>
      </w:pPr>
      <w:r>
        <w:t>Industry Buzz</w:t>
      </w:r>
    </w:p>
    <w:p>
      <w:r>
        <w:rPr>
          <w:b/>
          <w:sz w:val="24"/>
        </w:rPr>
        <w:t>Stanley 1913 hires Born Social as global AOR</w:t>
      </w:r>
      <w:r>
        <w:rPr>
          <w:b/>
          <w:color w:val="B00020"/>
          <w:sz w:val="18"/>
        </w:rPr>
        <w:t xml:space="preserve">   MUST-KNOW</w:t>
      </w:r>
    </w:p>
    <w:p>
      <w:r>
        <w:rPr>
          <w:b/>
        </w:rPr>
        <w:t xml:space="preserve">Source: </w:t>
      </w:r>
      <w:hyperlink r:id="rId9">
        <w:r>
          <w:rPr>
            <w:color w:val="1155CC"/>
            <w:u w:val="single"/>
          </w:rPr>
          <w:t>Adweek — After Viral Fame, Stanley 1913 Chooses New AOR Born Social</w:t>
        </w:r>
      </w:hyperlink>
      <w:r>
        <w:t>, Jul 31 2026</w:t>
      </w:r>
    </w:p>
    <w:p>
      <w:r>
        <w:rPr>
          <w:b/>
        </w:rPr>
        <w:t xml:space="preserve">What: </w:t>
      </w:r>
      <w:r>
        <w:t>Stanley 1913 hired social-first agency Born Social — already its EMEA social AOR — to run global social production and community strategy, moving beyond chasing virality toward speaking to distinct social niches.</w:t>
      </w:r>
    </w:p>
    <w:p>
      <w:r>
        <w:rPr>
          <w:b/>
        </w:rPr>
        <w:t xml:space="preserve">Why us: </w:t>
      </w:r>
      <w:r>
        <w:t>The exact pitch we make, said out loud by a client: social specialism beats general-agency incumbency once virality fades. Platform feature fluency as the win condition, not the afterthought.</w:t>
      </w:r>
    </w:p>
    <w:p/>
    <w:p>
      <w:r>
        <w:rPr>
          <w:b/>
          <w:sz w:val="24"/>
        </w:rPr>
        <w:t>Amazon's Sponsored AI Prompts becomes a real ad line</w:t>
      </w:r>
      <w:r>
        <w:rPr>
          <w:b/>
          <w:color w:val="B00020"/>
          <w:sz w:val="18"/>
        </w:rPr>
        <w:t xml:space="preserve">   MUST-KNOW</w:t>
      </w:r>
    </w:p>
    <w:p>
      <w:r>
        <w:rPr>
          <w:b/>
        </w:rPr>
        <w:t xml:space="preserve">Source: </w:t>
      </w:r>
      <w:hyperlink r:id="rId11">
        <w:r>
          <w:rPr>
            <w:color w:val="1155CC"/>
            <w:u w:val="single"/>
          </w:rPr>
          <w:t>Adweek — Amazon's Ad Revenue Hits $76B Over the Past 12 Months</w:t>
        </w:r>
      </w:hyperlink>
      <w:r>
        <w:t>, Jul 30 2026</w:t>
      </w:r>
    </w:p>
    <w:p>
      <w:r>
        <w:rPr>
          <w:b/>
        </w:rPr>
        <w:t xml:space="preserve">What: </w:t>
      </w:r>
      <w:r>
        <w:t>Amazon's Q2 ad revenue hit $20bn (+26% YoY, $76bn trailing 12 months); CEO Andy Jassy cited "strong initial results" from Sponsored AI Prompts alongside Sponsored Products as growth drivers.</w:t>
      </w:r>
    </w:p>
    <w:p>
      <w:r>
        <w:rPr>
          <w:b/>
        </w:rPr>
        <w:t xml:space="preserve">Why us: </w:t>
      </w:r>
      <w:r>
        <w:t>AEO stops being a framework slide and becomes a live, monetized media line at hyperscale — a hard number to sharpen the LLM-visibility conversation with the C-suite.</w:t>
      </w:r>
    </w:p>
    <w:p/>
    <w:p>
      <w:r>
        <w:rPr>
          <w:b/>
          <w:sz w:val="24"/>
        </w:rPr>
        <w:t>WARC: brand investment has the evidence behind it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2">
        <w:r>
          <w:rPr>
            <w:color w:val="1155CC"/>
            <w:u w:val="single"/>
          </w:rPr>
          <w:t>WARC — Evidence that your brand is a strategic asset worth investment</w:t>
        </w:r>
      </w:hyperlink>
      <w:r>
        <w:t>, Jul 30 2026 (subscription-gated — headline/reported finding only)</w:t>
      </w:r>
    </w:p>
    <w:p>
      <w:r>
        <w:rPr>
          <w:b/>
        </w:rPr>
        <w:t xml:space="preserve">What: </w:t>
      </w:r>
      <w:r>
        <w:t>WARC makes the case for treating brand as an appreciating strategic asset rather than a discretionary spend line.</w:t>
      </w:r>
    </w:p>
    <w:p>
      <w:r>
        <w:rPr>
          <w:b/>
        </w:rPr>
        <w:t xml:space="preserve">Why us: </w:t>
      </w:r>
      <w:r>
        <w:t>Another entry in the evidence bank for "compound, don't hoard" — joins IPA Bellwether (Jul 23) and CreativeX (Jul 27) as material for the Q2 Digital Culture Review and Think Forward.</w:t>
      </w:r>
    </w:p>
    <w:p/>
    <w:p>
      <w:r>
        <w:rPr>
          <w:b/>
          <w:sz w:val="24"/>
        </w:rPr>
        <w:t>WARC: creative swap beats channel swap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3">
        <w:r>
          <w:rPr>
            <w:color w:val="1155CC"/>
            <w:u w:val="single"/>
          </w:rPr>
          <w:t>WARC — Swap the ad, not the channel: creative swings ROAS by 48%</w:t>
        </w:r>
      </w:hyperlink>
      <w:r>
        <w:t>, Jul 30 2026 (subscription-gated — headline/reported finding only)</w:t>
      </w:r>
    </w:p>
    <w:p>
      <w:r>
        <w:rPr>
          <w:b/>
        </w:rPr>
        <w:t xml:space="preserve">What: </w:t>
      </w:r>
      <w:r>
        <w:t>New research finds swapping the creative asset moves ROAS more than switching media channels — a 48% swing attributed to creative alone.</w:t>
      </w:r>
    </w:p>
    <w:p>
      <w:r>
        <w:rPr>
          <w:b/>
        </w:rPr>
        <w:t xml:space="preserve">Why us: </w:t>
      </w:r>
      <w:r>
        <w:t>Proof that craft and idea quality — our end of the value chain — is the higher-leverage lever than media reallocation; useful counter to media-only optimisation pitches.</w:t>
      </w:r>
    </w:p>
    <w:p/>
    <w:p>
      <w:r>
        <w:rPr>
          <w:b/>
          <w:sz w:val="24"/>
        </w:rPr>
        <w:t>Ad Age: holding-company earnings brief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4">
        <w:r>
          <w:rPr>
            <w:color w:val="1155CC"/>
            <w:u w:val="single"/>
          </w:rPr>
          <w:t>Ad Age — Agency Brief: Dissecting Omnicom and Stagwell's latest earnings</w:t>
        </w:r>
      </w:hyperlink>
      <w:r>
        <w:t>, Jul 31 2026</w:t>
      </w:r>
    </w:p>
    <w:p>
      <w:r>
        <w:rPr>
          <w:b/>
        </w:rPr>
        <w:t xml:space="preserve">What: </w:t>
      </w:r>
      <w:r>
        <w:t>Today's earnings read on the two largest holdcos extends a week of consolidation news (Omnicom's Mediahub/Hearts &amp; Science merger, Ogilvy's US CEO exit).</w:t>
      </w:r>
    </w:p>
    <w:p>
      <w:r>
        <w:rPr>
          <w:b/>
        </w:rPr>
        <w:t xml:space="preserve">Why us: </w:t>
      </w:r>
      <w:r>
        <w:t>Sharpens the differentiated pitch — a network built to compound cultural capital, not consolidate its way out of a margin problem.</w:t>
      </w:r>
    </w:p>
    <w:p/>
    <w:p>
      <w:r>
        <w:rPr>
          <w:b/>
          <w:sz w:val="24"/>
        </w:rPr>
        <w:t>Ad Age: agencies footing AI's second bill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5">
        <w:r>
          <w:rPr>
            <w:color w:val="1155CC"/>
            <w:u w:val="single"/>
          </w:rPr>
          <w:t>Ad Age — How agencies can rein in runaway AI token costs</w:t>
        </w:r>
      </w:hyperlink>
      <w:r>
        <w:t>, Jul 30 2026</w:t>
      </w:r>
    </w:p>
    <w:p>
      <w:r>
        <w:rPr>
          <w:b/>
        </w:rPr>
        <w:t xml:space="preserve">What: </w:t>
      </w:r>
      <w:r>
        <w:t>Agencies are discovering AI adoption's hidden cost is proving the work was worth automating — PMG caps token budgets per team, Dept absorbs the cost rather than itemise it, arguing itemising cheapens the person using the tool.</w:t>
      </w:r>
    </w:p>
    <w:p>
      <w:r>
        <w:rPr>
          <w:b/>
        </w:rPr>
        <w:t xml:space="preserve">Why us: </w:t>
      </w:r>
      <w:r>
        <w:t>Direct hit on the AI-in-value-chain hot button; supports a stance of "AI embedded to make the work better, priced on outcome, not token count."</w:t>
      </w:r>
    </w:p>
    <w:p/>
    <w:p>
      <w:pPr>
        <w:pStyle w:val="Heading1"/>
      </w:pPr>
      <w:r>
        <w:t>Trends</w:t>
      </w:r>
    </w:p>
    <w:p>
      <w:r>
        <w:rPr>
          <w:b/>
          <w:sz w:val="24"/>
        </w:rPr>
        <w:t>The "influencer recession"</w:t>
      </w:r>
      <w:r>
        <w:rPr>
          <w:b/>
          <w:color w:val="B00020"/>
          <w:sz w:val="18"/>
        </w:rPr>
        <w:t xml:space="preserve">   MUST-KNOW</w:t>
      </w:r>
    </w:p>
    <w:p>
      <w:r>
        <w:rPr>
          <w:b/>
        </w:rPr>
        <w:t xml:space="preserve">Source: </w:t>
      </w:r>
      <w:hyperlink r:id="rId10">
        <w:r>
          <w:rPr>
            <w:color w:val="1155CC"/>
            <w:u w:val="single"/>
          </w:rPr>
          <w:t>After School — Loot Boxes and Influencer Recessions</w:t>
        </w:r>
      </w:hyperlink>
      <w:r>
        <w:t>, Jul 30 2026</w:t>
      </w:r>
    </w:p>
    <w:p>
      <w:r>
        <w:rPr>
          <w:b/>
        </w:rPr>
        <w:t xml:space="preserve">What: </w:t>
      </w:r>
      <w:r>
        <w:t>Aspirational lifestyle content now reads as tone-deaf and draws backlash rather than envy; influencers like Audrey Peters pivot to flaunting waste as deliberate "rage-bait" to monetize outrage instead. The same dispatch flags prediction-market apps (Kalshi) converting women into frequent gamblers via targeted campaigns, and loot-box mechanics in kids' games running the same variable-reward loop as slot machines.</w:t>
      </w:r>
    </w:p>
    <w:p>
      <w:r>
        <w:rPr>
          <w:b/>
        </w:rPr>
        <w:t xml:space="preserve">Why us: </w:t>
      </w:r>
      <w:r>
        <w:t>Changes what "credible creator content" means mid-Creator-Report — aspiration is now a liability for a chunk of the audience, not an asset. A Participation-arm risk (and opportunity) worth naming before the report ships in August.</w:t>
      </w:r>
    </w:p>
    <w:p/>
    <w:p>
      <w:pPr>
        <w:pStyle w:val="Heading1"/>
      </w:pPr>
      <w:r>
        <w:t>POVs</w:t>
      </w:r>
    </w:p>
    <w:p>
      <w:r>
        <w:rPr>
          <w:b/>
          <w:sz w:val="24"/>
        </w:rPr>
        <w:t>WARC: stop chasing youth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6">
        <w:r>
          <w:rPr>
            <w:color w:val="1155CC"/>
            <w:u w:val="single"/>
          </w:rPr>
          <w:t>WARC — A wakeup call for advertisers to stop chasing youth</w:t>
        </w:r>
      </w:hyperlink>
      <w:r>
        <w:t>, Jul 30 2026 (subscription-gated — headline/reported finding only)</w:t>
      </w:r>
    </w:p>
    <w:p>
      <w:r>
        <w:rPr>
          <w:b/>
        </w:rPr>
        <w:t xml:space="preserve">What: </w:t>
      </w:r>
      <w:r>
        <w:t>Argues brands over-index on chasing the youngest audience at the expense of durable, whole-audience brand-building.</w:t>
      </w:r>
    </w:p>
    <w:p>
      <w:r>
        <w:rPr>
          <w:b/>
        </w:rPr>
        <w:t xml:space="preserve">Why us: </w:t>
      </w:r>
      <w:r>
        <w:t>Direct counter to the "fleeting trend" anti-priority — supports a POV that compounding a brand across its full audience beats chasing the youngest cohort for its own sake.</w:t>
      </w:r>
    </w:p>
    <w:p/>
    <w:p>
      <w:r>
        <w:rPr>
          <w:b/>
          <w:sz w:val="24"/>
        </w:rPr>
        <w:t>Rachel Karten: the disclosure problem in creator ads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7">
        <w:r>
          <w:rPr>
            <w:color w:val="1155CC"/>
            <w:u w:val="single"/>
          </w:rPr>
          <w:t>Link in Bio — That storytime TikTok is probably an ad</w:t>
        </w:r>
      </w:hyperlink>
      <w:r>
        <w:t>, Jul 30 2026 — Rachel Karten</w:t>
      </w:r>
    </w:p>
    <w:p>
      <w:r>
        <w:rPr>
          <w:b/>
        </w:rPr>
        <w:t xml:space="preserve">What: </w:t>
      </w:r>
      <w:r>
        <w:t>UGC creators are posting scripted "storytime" skits about workplace drama or family conflict that are secretly paid promotion, without FTC-compliant disclosure.</w:t>
      </w:r>
    </w:p>
    <w:p>
      <w:r>
        <w:rPr>
          <w:b/>
        </w:rPr>
        <w:t xml:space="preserve">Why us: </w:t>
      </w:r>
      <w:r>
        <w:t>Fourth consecutive week Karten's newsletter clears the bar on the participation/authenticity thread; sharpens a POV on where "authentic-style" creator work tips into deceptive practice — a question client legal and comms teams will ask.</w:t>
      </w:r>
    </w:p>
    <w:p/>
    <w:p>
      <w:pPr>
        <w:pStyle w:val="Heading1"/>
      </w:pPr>
      <w:r>
        <w:t>Misc</w:t>
      </w:r>
    </w:p>
    <w:p>
      <w:r>
        <w:rPr>
          <w:b/>
          <w:sz w:val="24"/>
        </w:rPr>
        <w:t>Dermal Therapy's post-acquisition creator push</w:t>
      </w:r>
      <w:r>
        <w:rPr>
          <w:b/>
          <w:color w:val="606060"/>
          <w:sz w:val="18"/>
        </w:rPr>
        <w:t xml:space="preserve">   SIGNAL</w:t>
      </w:r>
    </w:p>
    <w:p>
      <w:r>
        <w:rPr>
          <w:b/>
        </w:rPr>
        <w:t xml:space="preserve">Source: </w:t>
      </w:r>
      <w:hyperlink r:id="rId18">
        <w:r>
          <w:rPr>
            <w:color w:val="1155CC"/>
            <w:u w:val="single"/>
          </w:rPr>
          <w:t>Marketing-Interactive — Dermal Therapy ramps up marketing after $150m acquisition with biggest campaign yet</w:t>
        </w:r>
      </w:hyperlink>
      <w:r>
        <w:t>, Jul 31 2026</w:t>
      </w:r>
    </w:p>
    <w:p>
      <w:r>
        <w:rPr>
          <w:b/>
        </w:rPr>
        <w:t xml:space="preserve">What: </w:t>
      </w:r>
      <w:r>
        <w:t>Newly-acquired FMCG skincare brand launches its largest-ever campaign — OOH, retail and creator-led activity together — to enter New Zealand.</w:t>
      </w:r>
    </w:p>
    <w:p>
      <w:r>
        <w:rPr>
          <w:b/>
        </w:rPr>
        <w:t xml:space="preserve">Why us: </w:t>
      </w:r>
      <w:r>
        <w:t>Watch-line for the FMCG Report: private-equity-style FMCG consolidation reaching straight for creator-led activation, not just mass media, to build a newly-acquired brand.</w:t>
      </w:r>
    </w:p>
    <w:p/>
    <w:p>
      <w:r>
        <w:rPr>
          <w:b/>
          <w:sz w:val="24"/>
        </w:rPr>
        <w:t>An AI-hype fund manager's mythology collapses</w:t>
      </w:r>
      <w:r>
        <w:rPr>
          <w:b/>
          <w:color w:val="606060"/>
          <w:sz w:val="18"/>
        </w:rPr>
        <w:t xml:space="preserve">   SIGNAL</w:t>
      </w:r>
    </w:p>
    <w:p>
      <w:r>
        <w:rPr>
          <w:b/>
        </w:rPr>
        <w:t xml:space="preserve">Source: </w:t>
      </w:r>
      <w:hyperlink r:id="rId19">
        <w:r>
          <w:rPr>
            <w:color w:val="1155CC"/>
            <w:u w:val="single"/>
          </w:rPr>
          <w:t>Feed Me — Leopold Aschenbrenner is the most famous man on fintwit</w:t>
        </w:r>
      </w:hyperlink>
      <w:r>
        <w:t>, Jul 30 2026</w:t>
      </w:r>
    </w:p>
    <w:p>
      <w:r>
        <w:rPr>
          <w:b/>
        </w:rPr>
        <w:t xml:space="preserve">What: </w:t>
      </w:r>
      <w:r>
        <w:t>A hedge fund manager built a cult following on insider-adjacent AI mythology and market-beating returns; recent losses wiped out the year's gains, exposing borrowed conviction as leverage rather than skill.</w:t>
      </w:r>
    </w:p>
    <w:p>
      <w:r>
        <w:rPr>
          <w:b/>
        </w:rPr>
        <w:t xml:space="preserve">Why us: </w:t>
      </w:r>
      <w:r>
        <w:t>Unfakeable capital cutting the other way — a personal brand built on proximity-to-AI-insiders collapses the moment performance can't back the story.</w:t>
      </w:r>
    </w:p>
    <w:p/>
    <w:p>
      <w:r>
        <w:rPr>
          <w:b/>
          <w:sz w:val="24"/>
        </w:rPr>
        <w:t>Netflix's new APAC brand-partnerships lead</w:t>
      </w:r>
      <w:r>
        <w:rPr>
          <w:b/>
          <w:color w:val="606060"/>
          <w:sz w:val="18"/>
        </w:rPr>
        <w:t xml:space="preserve">   SIGNAL</w:t>
      </w:r>
    </w:p>
    <w:p>
      <w:r>
        <w:rPr>
          <w:b/>
        </w:rPr>
        <w:t xml:space="preserve">Source: </w:t>
      </w:r>
      <w:hyperlink r:id="rId20">
        <w:r>
          <w:rPr>
            <w:color w:val="1155CC"/>
            <w:u w:val="single"/>
          </w:rPr>
          <w:t>Marketing-Interactive — Netflix names new director of brand partnerships for Asia Pacific</w:t>
        </w:r>
      </w:hyperlink>
      <w:r>
        <w:t>, Jul 30 2026</w:t>
      </w:r>
    </w:p>
    <w:p>
      <w:r>
        <w:rPr>
          <w:b/>
        </w:rPr>
        <w:t xml:space="preserve">What: </w:t>
      </w:r>
      <w:r>
        <w:t>Netflix hired an ex-IPG Mediabrands APAC chief strategy officer to run brand partnerships regionally as its ad-supported tier scales.</w:t>
      </w:r>
    </w:p>
    <w:p>
      <w:r>
        <w:rPr>
          <w:b/>
        </w:rPr>
        <w:t xml:space="preserve">Why us: </w:t>
      </w:r>
      <w:r>
        <w:t>Watch-line for who controls entertainment-tie-in ad inventory in APAC as the Entertainment category keeps generating deal flow (Sony/Spotify, BMW's Spider-Man tie-ins, both logged this week).</w:t>
      </w:r>
    </w:p>
    <w:p/>
    <w:p>
      <w:r>
        <w:rPr>
          <w:i/>
          <w:color w:val="707070"/>
          <w:sz w:val="18"/>
        </w:rPr>
        <w:t>Logged to ledger: 12 items (3 must-know, 6 high-impact, 3 signal).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 Tight" w:hAnsi="Inter Tight" w:cs="Inter Tight" w:eastAsia="Inter Tigh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nter Tight" w:hAnsi="Inter Tight" w:cs="Inter Tight" w:eastAsia="Inter Tight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 Tight" w:hAnsi="Inter Tight" w:cs="Inter Tight" w:eastAsia="Inter Tight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Inter Tight" w:hAnsi="Inter Tight" w:cs="Inter Tight" w:eastAsia="Inter Tight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Inter Tight" w:hAnsi="Inter Tight" w:cs="Inter Tight" w:eastAsia="Inter Tight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Inter Tight" w:hAnsi="Inter Tight" w:cs="Inter Tight" w:eastAsia="Inter Tight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adweek.com/agencies/after-viral-fame-stanley-1913-chooses-new-aor-born-social/" TargetMode="External"/><Relationship Id="rId10" Type="http://schemas.openxmlformats.org/officeDocument/2006/relationships/hyperlink" Target="https://afterschool.substack.com/p/loot-boxes-and-influencer-recessions" TargetMode="External"/><Relationship Id="rId11" Type="http://schemas.openxmlformats.org/officeDocument/2006/relationships/hyperlink" Target="https://www.adweek.com/commerce/amazons-ad-revenue-hits-76b/" TargetMode="External"/><Relationship Id="rId12" Type="http://schemas.openxmlformats.org/officeDocument/2006/relationships/hyperlink" Target="https://www.warc.com/en/feed/evidence-that-your-brand-is-a-strategic-asset-worth-investment-a7b284cb5f174040b0d6bf889622310c" TargetMode="External"/><Relationship Id="rId13" Type="http://schemas.openxmlformats.org/officeDocument/2006/relationships/hyperlink" Target="https://www.warc.com/en/feed/swap-the-ad-not-the-channel-creative-swings-roas-by-48-06fe18488aa34313a0d7ad81575379e9" TargetMode="External"/><Relationship Id="rId14" Type="http://schemas.openxmlformats.org/officeDocument/2006/relationships/hyperlink" Target="https://adage.com/agencies/aa-agency-brief-omnicom-stagwell-havas/" TargetMode="External"/><Relationship Id="rId15" Type="http://schemas.openxmlformats.org/officeDocument/2006/relationships/hyperlink" Target="https://adage.com/technology/ai/aa-how-ad-agencies-can-reduce-ai-token-costs/" TargetMode="External"/><Relationship Id="rId16" Type="http://schemas.openxmlformats.org/officeDocument/2006/relationships/hyperlink" Target="https://www.warc.com/en/feed/a-wakeup-call-for-advertisers-to-stop-chasing-youth-86229f40aa0b47f8b1c99626037d4649" TargetMode="External"/><Relationship Id="rId17" Type="http://schemas.openxmlformats.org/officeDocument/2006/relationships/hyperlink" Target="https://www.linkinbio.news/p/storytime-tiktok-secret-ad" TargetMode="External"/><Relationship Id="rId18" Type="http://schemas.openxmlformats.org/officeDocument/2006/relationships/hyperlink" Target="https://www.marketing-interactive.com/dermal-therapy-150m-acquisition-biggest-marketing-campaign" TargetMode="External"/><Relationship Id="rId19" Type="http://schemas.openxmlformats.org/officeDocument/2006/relationships/hyperlink" Target="https://www.readfeedme.com/p/leopold-aschenbrenner-is-the-most" TargetMode="External"/><Relationship Id="rId20" Type="http://schemas.openxmlformats.org/officeDocument/2006/relationships/hyperlink" Target="https://www.marketing-interactive.com/netflix-taps-ipg-mediabrands-apac-chief-strategy-officer-as-brand-partnerships-direc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