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2026-09-14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Amazon starts buying ChatGPT ads through its own DSP, and OpenAI ships a native "click-to-chat" ad format</w:t>
      </w:r>
      <w:r>
        <w:t xml:space="preserve"> — AEO just stopped being a framework and became transacted media, at Amazon's scale. · </w:t>
      </w:r>
      <w:hyperlink r:id="rId9">
        <w:r>
          <w:rPr>
            <w:color w:val="1155CC"/>
            <w:u w:val="single"/>
          </w:rPr>
          <w:t>Marketing Dive</w:t>
        </w:r>
      </w:hyperlink>
      <w:r>
        <w:t xml:space="preserve">, Sep 2026; </w:t>
      </w:r>
      <w:hyperlink r:id="rId10">
        <w:r>
          <w:rPr>
            <w:color w:val="1155CC"/>
            <w:u w:val="single"/>
          </w:rPr>
          <w:t>Digiday</w:t>
        </w:r>
      </w:hyperlink>
      <w:r>
        <w:t>, Sep 14 2026</w:t>
      </w:r>
    </w:p>
    <w:p>
      <w:pPr>
        <w:pStyle w:val="ListNumber"/>
      </w:pPr>
      <w:r>
        <w:rPr>
          <w:b/>
        </w:rPr>
        <w:t>Google's ad-tech antitrust case ends with behavioral remedies, not a break-up — and the fight is already moving to AI</w:t>
      </w:r>
      <w:r>
        <w:t xml:space="preserve"> — the leverage question shifts from search/ad-serving to who controls agentic commerce. · </w:t>
      </w:r>
      <w:hyperlink r:id="rId11">
        <w:r>
          <w:rPr>
            <w:color w:val="1155CC"/>
            <w:u w:val="single"/>
          </w:rPr>
          <w:t>Digiday</w:t>
        </w:r>
      </w:hyperlink>
      <w:r>
        <w:t>, Sep 14 2026</w:t>
      </w:r>
    </w:p>
    <w:p>
      <w:pPr>
        <w:pStyle w:val="ListNumber"/>
      </w:pPr>
      <w:r>
        <w:rPr>
          <w:b/>
        </w:rPr>
        <w:t>WHAT'S ANU names "post-reality marketing": brands split into manipulative reach vs. trust-building, with Anthropic's brand health cited ahead of OpenAI's after its influencer trip backfired</w:t>
      </w:r>
      <w:r>
        <w:t xml:space="preserve"> — a quotable, checked proof point about our own AI-partner ecosystem. · </w:t>
      </w:r>
      <w:hyperlink r:id="rId12">
        <w:r>
          <w:rPr>
            <w:color w:val="1155CC"/>
            <w:u w:val="single"/>
          </w:rPr>
          <w:t>WHAT'S ANU</w:t>
        </w:r>
      </w:hyperlink>
      <w:r>
        <w:t>, Sep 11 2026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Amazon buys ChatGPT ads via its DSP; OpenAI ships in-chat "click-to-chat" ads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Marketing Dive</w:t>
        </w:r>
      </w:hyperlink>
      <w:r>
        <w:t xml:space="preserve">, Sep 2026 · </w:t>
      </w:r>
      <w:hyperlink r:id="rId10">
        <w:r>
          <w:rPr>
            <w:color w:val="1155CC"/>
            <w:u w:val="single"/>
          </w:rPr>
          <w:t>Digiday</w:t>
        </w:r>
      </w:hyperlink>
      <w:r>
        <w:t>, Sep 14 2026</w:t>
      </w:r>
    </w:p>
    <w:p>
      <w:r>
        <w:rPr>
          <w:b/>
        </w:rPr>
        <w:t xml:space="preserve">What: </w:t>
      </w:r>
      <w:r>
        <w:t>Amazon's DSP now sells managed ChatGPT ad inventory (CPC/CPM, Delta Vacations among the first US pilots); separately, OpenAI's new format lets a "Chat to us" click drop shoppers straight into a branded AI agent conversation inside ChatGPT instead of out to a website — Wayfair is trialling it.</w:t>
      </w:r>
    </w:p>
    <w:p>
      <w:r>
        <w:rPr>
          <w:b/>
        </w:rPr>
        <w:t xml:space="preserve">Why us: </w:t>
      </w:r>
      <w:r>
        <w:t>Direct hit on the LLM-visibility C-suite button — AEO now has a real media line and a real interface pattern to have an opinion on, not just a citation-visibility dashboard.</w:t>
      </w:r>
    </w:p>
    <w:p/>
    <w:p>
      <w:r>
        <w:rPr>
          <w:b/>
          <w:sz w:val="24"/>
        </w:rPr>
        <w:t>Google's ad-tech antitrust case closes; scrutiny turns to AI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Digiday</w:t>
        </w:r>
      </w:hyperlink>
      <w:r>
        <w:t>, Sep 14 2026</w:t>
      </w:r>
    </w:p>
    <w:p>
      <w:r>
        <w:rPr>
          <w:b/>
        </w:rPr>
        <w:t xml:space="preserve">What: </w:t>
      </w:r>
      <w:r>
        <w:t>Google avoids a forced Chrome/ad-exchange break-up despite the monopoly finding; behavioral remedies are coming instead, while critics flag Google's AI Max and agentic-commerce push as the next leverage point.</w:t>
      </w:r>
    </w:p>
    <w:p>
      <w:r>
        <w:rPr>
          <w:b/>
        </w:rPr>
        <w:t xml:space="preserve">Why us: </w:t>
      </w:r>
      <w:r>
        <w:t>Agency-landscape watch-line — the platform economics our media partners operate inside are about to be rewritten around AI, not search.</w:t>
      </w:r>
    </w:p>
    <w:p/>
    <w:p>
      <w:r>
        <w:rPr>
          <w:b/>
          <w:sz w:val="24"/>
        </w:rPr>
        <w:t>Old Navy's MrBeast-fronted back-to-school push lands 100M+ views, 1.4bn impressions, 22% traffic lift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Marketing Dive</w:t>
        </w:r>
      </w:hyperlink>
      <w:r>
        <w:t>, Sep 11 2026</w:t>
      </w:r>
    </w:p>
    <w:p>
      <w:r>
        <w:rPr>
          <w:b/>
        </w:rPr>
        <w:t xml:space="preserve">What: </w:t>
      </w:r>
      <w:r>
        <w:t>Gap Inc. says creators are "driving culture more than almost anything else" and is committing to more creator content through holiday.</w:t>
      </w:r>
    </w:p>
    <w:p>
      <w:r>
        <w:rPr>
          <w:b/>
        </w:rPr>
        <w:t xml:space="preserve">Why us: </w:t>
      </w:r>
      <w:r>
        <w:t>Concrete, numbers-backed proof point for the Creator Report — a legacy retailer choosing creator fit over reach as its recovery lever.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WHAT'S ANU: "Post-Reality Marketing" — trust localizes as AI content floods feeds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WHAT'S ANU</w:t>
        </w:r>
      </w:hyperlink>
      <w:r>
        <w:t>, Sep 11 2026</w:t>
      </w:r>
    </w:p>
    <w:p>
      <w:r>
        <w:rPr>
          <w:b/>
        </w:rPr>
        <w:t xml:space="preserve">What: </w:t>
      </w:r>
      <w:r>
        <w:t>As AI-generated content proliferates, consumers default to blanket skepticism; brands split into "Stealth Acceleration" (manipulative reach tactics) versus "Intentional Slowdown" (craft, IRL, coherent positioning) — with Anthropic's brand-health trajectory cited against OpenAI's Wildflower Farms influencer trip backfiring.</w:t>
      </w:r>
    </w:p>
    <w:p>
      <w:r>
        <w:rPr>
          <w:b/>
        </w:rPr>
        <w:t xml:space="preserve">Why us: </w:t>
      </w:r>
      <w:r>
        <w:t>Near-verbatim overlap with "unfakeable capital" — a live, named case for why compounding trust beats chasing reach, in the exact AI-partner space our own C-suite conversations sit in.</w:t>
      </w:r>
    </w:p>
    <w:p/>
    <w:p>
      <w:r>
        <w:rPr>
          <w:b/>
          <w:sz w:val="24"/>
        </w:rPr>
        <w:t>After School: "Fambushing" — teens track parents' locations as intensively as parents track them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After School</w:t>
        </w:r>
      </w:hyperlink>
      <w:r>
        <w:t>, Sep 9 2026</w:t>
      </w:r>
    </w:p>
    <w:p>
      <w:r>
        <w:rPr>
          <w:b/>
        </w:rPr>
        <w:t xml:space="preserve">What: </w:t>
      </w:r>
      <w:r>
        <w:t>Bidirectional family location-surveillance ("fambushing") pairs with 8-year-olds requesting $100–150 barbershop cuts styled off platform aesthetics — Gen Alpha's taste is being set by feeds before they can drive.</w:t>
      </w:r>
    </w:p>
    <w:p>
      <w:r>
        <w:rPr>
          <w:b/>
        </w:rPr>
        <w:t xml:space="preserve">Why us: </w:t>
      </w:r>
      <w:r>
        <w:t>Surveillance/gen-z throughline extends into a genuinely new register (family, not brand); Creator Report and Think Forward material on how early platform fluency starts.</w:t>
      </w:r>
    </w:p>
    <w:p/>
    <w:p>
      <w:r>
        <w:rPr>
          <w:b/>
          <w:sz w:val="24"/>
        </w:rPr>
        <w:t>Marketing-Interactive: concert culture outgrows the venues built for it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Marketing-Interactive</w:t>
        </w:r>
      </w:hyperlink>
      <w:r>
        <w:t>, Sep 8 2026</w:t>
      </w:r>
    </w:p>
    <w:p>
      <w:r>
        <w:rPr>
          <w:b/>
        </w:rPr>
        <w:t xml:space="preserve">What: </w:t>
      </w:r>
      <w:r>
        <w:t>Demand for live music now regularly outstrips physical venue capacity.</w:t>
      </w:r>
    </w:p>
    <w:p>
      <w:r>
        <w:rPr>
          <w:b/>
        </w:rPr>
        <w:t xml:space="preserve">Why us: </w:t>
      </w:r>
      <w:r>
        <w:t>Extends the scarcity-as-Proof thread (Nolan's *Odyssey* sell-outs, artists rolling back to $20 tickets) — manufactured scarcity keeps compounding as the sharper lever than reach.</w:t>
      </w:r>
    </w:p>
    <w:p/>
    <w:p>
      <w:r>
        <w:rPr>
          <w:b/>
          <w:sz w:val="24"/>
        </w:rPr>
        <w:t>WARC: Gen Alpha is reshaping household purchase decisions past "pester power"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WARC</w:t>
        </w:r>
      </w:hyperlink>
      <w:r>
        <w:t>, Sep 10 2026</w:t>
      </w:r>
    </w:p>
    <w:p>
      <w:r>
        <w:rPr>
          <w:b/>
        </w:rPr>
        <w:t xml:space="preserve">What: </w:t>
      </w:r>
      <w:r>
        <w:t>Gen Alpha is influencing category and brand choice directly, not just nagging for treats.</w:t>
      </w:r>
    </w:p>
    <w:p>
      <w:r>
        <w:rPr>
          <w:b/>
        </w:rPr>
        <w:t xml:space="preserve">Why us: </w:t>
      </w:r>
      <w:r>
        <w:t>FMCG Report material — a named cohort brands need a real strategy for, not just a kids'-marketing footnote.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Mark Ritson: Publicis "really didn't have to choose" between Coke and Pepsi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Adweek</w:t>
        </w:r>
      </w:hyperlink>
      <w:r>
        <w:t>, Sep 9 2026 — Mark Ritson</w:t>
      </w:r>
    </w:p>
    <w:p>
      <w:r>
        <w:rPr>
          <w:b/>
        </w:rPr>
        <w:t xml:space="preserve">What: </w:t>
      </w:r>
      <w:r>
        <w:t>Ritson pushes back on reading Publicis's dual FMCG wins as an unavoidable conflict of interest.</w:t>
      </w:r>
    </w:p>
    <w:p>
      <w:r>
        <w:rPr>
          <w:b/>
        </w:rPr>
        <w:t xml:space="preserve">Why us: </w:t>
      </w:r>
      <w:r>
        <w:t>Extends last week's Coca-Cola/Publicis media-review must-know with a named industry voice's counter-read — useful peer reference point for our own consolidation-not-compounding pitch.</w:t>
      </w:r>
    </w:p>
    <w:p/>
    <w:p>
      <w:r>
        <w:rPr>
          <w:b/>
          <w:sz w:val="24"/>
        </w:rPr>
        <w:t>WARC: APAC consumers don't complain when trust breaks — they just leave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WARC</w:t>
        </w:r>
      </w:hyperlink>
      <w:r>
        <w:t>, Sep 10 2026</w:t>
      </w:r>
    </w:p>
    <w:p>
      <w:r>
        <w:rPr>
          <w:b/>
        </w:rPr>
        <w:t xml:space="preserve">What: </w:t>
      </w:r>
      <w:r>
        <w:t>Social-listening dashboards built to catch public complaints are structurally blind to the region's dominant churn signal — silent walk-away.</w:t>
      </w:r>
    </w:p>
    <w:p>
      <w:r>
        <w:rPr>
          <w:b/>
        </w:rPr>
        <w:t xml:space="preserve">Why us: </w:t>
      </w:r>
      <w:r>
        <w:t>Sharpens the "unfakeable capital" argument: earned trust has to be actively maintained because its loss won't announce itself.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Duolingo launches an Hermès-coded wearable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Marketing-Interactive</w:t>
        </w:r>
      </w:hyperlink>
      <w:r>
        <w:t>, Sep 9 2026</w:t>
      </w:r>
    </w:p>
    <w:p>
      <w:r>
        <w:rPr>
          <w:b/>
        </w:rPr>
        <w:t xml:space="preserve">What: </w:t>
      </w:r>
      <w:r>
        <w:t>A playful product riffing on luxury codes rather than Duolingo's usual mascot chaos.</w:t>
      </w:r>
    </w:p>
    <w:p>
      <w:r>
        <w:rPr>
          <w:b/>
        </w:rPr>
        <w:t xml:space="preserve">Why us: </w:t>
      </w:r>
      <w:r>
        <w:t>Small instance of a brand borrowing earned cultural signals rather than buying them — watch-line for the unfakeable-capital thread.</w:t>
      </w:r>
    </w:p>
    <w:p/>
    <w:p>
      <w:r>
        <w:rPr>
          <w:b/>
          <w:sz w:val="24"/>
        </w:rPr>
        <w:t>Anthropic hires an ANZ comms lead as its APAC footprint grows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Marketing-Interactive</w:t>
        </w:r>
      </w:hyperlink>
      <w:r>
        <w:t>, Sep 9 2026</w:t>
      </w:r>
    </w:p>
    <w:p>
      <w:r>
        <w:rPr>
          <w:b/>
        </w:rPr>
        <w:t xml:space="preserve">What: </w:t>
      </w:r>
      <w:r>
        <w:t>A dedicated regional communications hire signals Anthropic treating APAC as a standing market, not an outpost.</w:t>
      </w:r>
    </w:p>
    <w:p>
      <w:r>
        <w:rPr>
          <w:b/>
        </w:rPr>
        <w:t xml:space="preserve">Why us: </w:t>
      </w:r>
      <w:r>
        <w:t>Worth tracking alongside this week's Anthropic-vs-OpenAI brand-health story — the AI partner our own AEO conversations lean on is visibly investing in presence here.</w:t>
      </w:r>
    </w:p>
    <w:p/>
    <w:p>
      <w:r>
        <w:rPr>
          <w:b/>
          <w:sz w:val="24"/>
        </w:rPr>
        <w:t>ChatGPT has reportedly gutted Kenya's essay-writing gig economy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Links I Would Gchat You If We Were Friends</w:t>
        </w:r>
      </w:hyperlink>
      <w:r>
        <w:t>, Sep 13 2026</w:t>
      </w:r>
    </w:p>
    <w:p>
      <w:r>
        <w:rPr>
          <w:b/>
        </w:rPr>
        <w:t xml:space="preserve">What: </w:t>
      </w:r>
      <w:r>
        <w:t>Work that once paid roughly 5x standard local wages has largely disappeared as AI absorbs the task.</w:t>
      </w:r>
    </w:p>
    <w:p>
      <w:r>
        <w:rPr>
          <w:b/>
        </w:rPr>
        <w:t xml:space="preserve">Why us: </w:t>
      </w:r>
      <w:r>
        <w:t>A concrete, non-Western labor-market data point for "AI across the value chain" — useful counterweight when the C-suite conversation stays abstract.</w:t>
      </w:r>
    </w:p>
    <w:p/>
    <w:p>
      <w:r>
        <w:rPr>
          <w:i/>
          <w:color w:val="707070"/>
          <w:sz w:val="18"/>
        </w:rPr>
        <w:t>Logged to ledger: 12 items (3 must-know, 6 high-impact, 3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arketingdive.com/news/amazon-pilots-ad-services-in-chatgpt-what-marketers-need-to-know/829945/" TargetMode="External"/><Relationship Id="rId10" Type="http://schemas.openxmlformats.org/officeDocument/2006/relationships/hyperlink" Target="https://digiday.com/marketing/openais-next-chatgpt-ad-format-click-to-chat-not-to-site/" TargetMode="External"/><Relationship Id="rId11" Type="http://schemas.openxmlformats.org/officeDocument/2006/relationships/hyperlink" Target="https://digiday.com/marketing/as-googles-ad-tech-case-nears-its-end-the-antitrust-fight-moves-to-ai/" TargetMode="External"/><Relationship Id="rId12" Type="http://schemas.openxmlformats.org/officeDocument/2006/relationships/hyperlink" Target="https://whatsanu.substack.com/p/post-reality-marketing" TargetMode="External"/><Relationship Id="rId13" Type="http://schemas.openxmlformats.org/officeDocument/2006/relationships/hyperlink" Target="https://www.marketingdive.com/news/old-navys-mrbeast-deal-boosts-engagement-amid-bigger-bet-on-creators/830100/" TargetMode="External"/><Relationship Id="rId14" Type="http://schemas.openxmlformats.org/officeDocument/2006/relationships/hyperlink" Target="https://afterschool.substack.com/p/fambushed-and-fairmaxxing" TargetMode="External"/><Relationship Id="rId15" Type="http://schemas.openxmlformats.org/officeDocument/2006/relationships/hyperlink" Target="https://www.marketing-interactive.com/concert-culture-is-booming-but-the-audience-is-bigger-than-the-venue" TargetMode="External"/><Relationship Id="rId16" Type="http://schemas.openxmlformats.org/officeDocument/2006/relationships/hyperlink" Target="https://www.warc.com/article/beyond-the-tantrum-how-gen-alpha-is-reshaping-household-purchase-decisions-b923d10612d14ac1a5e93ae1caf9e758" TargetMode="External"/><Relationship Id="rId17" Type="http://schemas.openxmlformats.org/officeDocument/2006/relationships/hyperlink" Target="https://www.adweek.com/agencies/publicis-really-didnt-have-to-choose-between-coke-and-pepsi/" TargetMode="External"/><Relationship Id="rId18" Type="http://schemas.openxmlformats.org/officeDocument/2006/relationships/hyperlink" Target="https://www.warc.com/en/feed/the-silent-majority-when-consumers-walk-away-from-brands-d2cab98533734428b8b6cba1c676e2e7" TargetMode="External"/><Relationship Id="rId19" Type="http://schemas.openxmlformats.org/officeDocument/2006/relationships/hyperlink" Target="https://www.marketing-interactive.com/can-t-pronounce-hermes-duolingo-has-something-you-can-wear" TargetMode="External"/><Relationship Id="rId20" Type="http://schemas.openxmlformats.org/officeDocument/2006/relationships/hyperlink" Target="https://www.marketing-interactive.com/anthropic-names-anz-comms-lead-as-apac-expansion-gathers-pace" TargetMode="External"/><Relationship Id="rId21" Type="http://schemas.openxmlformats.org/officeDocument/2006/relationships/hyperlink" Target="https://linksiwouldgchatyou.substack.com/p/784-the-absurdity-of-the-apocalyp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