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2026-07-28</w:t>
      </w:r>
    </w:p>
    <w:p>
      <w:pPr>
        <w:pStyle w:val="Heading1"/>
      </w:pPr>
      <w:r>
        <w:t>Must-knows</w:t>
      </w:r>
    </w:p>
    <w:p>
      <w:pPr>
        <w:pStyle w:val="ListNumber"/>
      </w:pPr>
      <w:r>
        <w:rPr>
          <w:b/>
        </w:rPr>
        <w:t>Patreon cuts 20% of staff (93 people)</w:t>
      </w:r>
      <w:r>
        <w:t xml:space="preserve"> — CEO Jack Conte calls it a "painful" restructuring, insists the "core business is healthy" and denies AI is the cause — but it lands as the platform layer creators depend on visibly contracting. · </w:t>
      </w:r>
      <w:hyperlink r:id="rId9">
        <w:r>
          <w:rPr>
            <w:color w:val="1155CC"/>
            <w:u w:val="single"/>
          </w:rPr>
          <w:t>Feed Me — "I don't want to hide these clothing tags"</w:t>
        </w:r>
      </w:hyperlink>
      <w:r>
        <w:rPr>
          <w:i/>
        </w:rPr>
        <w:t>, Jul 27 2026</w:t>
      </w:r>
    </w:p>
    <w:p>
      <w:pPr>
        <w:pStyle w:val="ListNumber"/>
      </w:pPr>
      <w:r>
        <w:rPr>
          <w:b/>
        </w:rPr>
        <w:t>Omnicom merges Mediahub and Hearts &amp; Science into one ~$9bn global network</w:t>
      </w:r>
      <w:r>
        <w:t xml:space="preserve"> (40 markets, Australia excepted) — the first big post-IPG-acquisition consolidation move at the holdco level, days after Adweek/Evros clocked record independent-agency sell appetite. · </w:t>
      </w:r>
      <w:hyperlink r:id="rId10">
        <w:r>
          <w:rPr>
            <w:color w:val="1155CC"/>
            <w:u w:val="single"/>
          </w:rPr>
          <w:t>Marketing-Interactive</w:t>
        </w:r>
      </w:hyperlink>
      <w:r>
        <w:rPr>
          <w:i/>
        </w:rPr>
        <w:t>, Jul 21 2026</w:t>
      </w:r>
    </w:p>
    <w:p>
      <w:pPr>
        <w:pStyle w:val="Heading1"/>
      </w:pPr>
      <w:r>
        <w:t>Industry Buzz</w:t>
      </w:r>
    </w:p>
    <w:p>
      <w:r>
        <w:rPr>
          <w:b/>
          <w:sz w:val="24"/>
        </w:rPr>
        <w:t>Patreon lays off 93 people (20% of staff)</w:t>
      </w:r>
      <w:r>
        <w:rPr>
          <w:b/>
          <w:color w:val="B00020"/>
          <w:sz w:val="18"/>
        </w:rPr>
        <w:t xml:space="preserve">   MUST-KNOW</w:t>
      </w:r>
    </w:p>
    <w:p>
      <w:r>
        <w:rPr>
          <w:b/>
        </w:rPr>
        <w:t xml:space="preserve">Source: </w:t>
      </w:r>
      <w:hyperlink r:id="rId9">
        <w:r>
          <w:rPr>
            <w:color w:val="1155CC"/>
            <w:u w:val="single"/>
          </w:rPr>
          <w:t>Feed Me</w:t>
        </w:r>
      </w:hyperlink>
      <w:r>
        <w:t>, Jul 27 2026</w:t>
      </w:r>
    </w:p>
    <w:p>
      <w:r>
        <w:rPr>
          <w:b/>
        </w:rPr>
        <w:t xml:space="preserve">What: </w:t>
      </w:r>
      <w:r>
        <w:t>Jack Conte's staff memo cites "rapid market changes," explicitly rules out AI as the driver, and frames the cuts as making Patreon "a stable, dependable rock" for creators — its largest reduction since 2022.</w:t>
      </w:r>
    </w:p>
    <w:p>
      <w:r>
        <w:rPr>
          <w:b/>
        </w:rPr>
        <w:t xml:space="preserve">Why us: </w:t>
      </w:r>
      <w:r>
        <w:t>The platform layer creators lean on is visibly unstable while our Creator Report (in progress) is arguing the opposite case — that durable creator relationships are earned and portfolio-built, not platform-dependent. A live counter-example worth naming.</w:t>
      </w:r>
    </w:p>
    <w:p/>
    <w:p>
      <w:r>
        <w:rPr>
          <w:b/>
          <w:sz w:val="24"/>
        </w:rPr>
        <w:t>Omnicom folds Mediahub and Hearts &amp; Science into a single global network</w:t>
      </w:r>
      <w:r>
        <w:rPr>
          <w:b/>
          <w:color w:val="B00020"/>
          <w:sz w:val="18"/>
        </w:rPr>
        <w:t xml:space="preserve">   MUST-KNOW</w:t>
      </w:r>
    </w:p>
    <w:p>
      <w:r>
        <w:rPr>
          <w:b/>
        </w:rPr>
        <w:t xml:space="preserve">Source: </w:t>
      </w:r>
      <w:hyperlink r:id="rId10">
        <w:r>
          <w:rPr>
            <w:color w:val="1155CC"/>
            <w:u w:val="single"/>
          </w:rPr>
          <w:t>Marketing-Interactive</w:t>
        </w:r>
      </w:hyperlink>
      <w:r>
        <w:t>, Jul 21 2026</w:t>
      </w:r>
    </w:p>
    <w:p>
      <w:r>
        <w:rPr>
          <w:b/>
        </w:rPr>
        <w:t xml:space="preserve">What: </w:t>
      </w:r>
      <w:r>
        <w:t>Combined ~$9bn in 2025 billings, spanning 40 markets under a new (not-yet-named) brand — the media-agency layer consolidating for scale and simplified client access to data/tech/commerce, following Omnicom's IPG acquisition.</w:t>
      </w:r>
    </w:p>
    <w:p>
      <w:r>
        <w:rPr>
          <w:b/>
        </w:rPr>
        <w:t xml:space="preserve">Why us: </w:t>
      </w:r>
      <w:r>
        <w:t>Extends the 07-24 Adweek/Evros must-know (independent owners at record appetite to sell) — the same consolidation logic is now hitting the holdco layer too. Sharpens a differentiated pitch: a network built to compound cultural capital, not one restructuring for cost synergy.</w:t>
      </w:r>
    </w:p>
    <w:p/>
    <w:p>
      <w:r>
        <w:rPr>
          <w:b/>
          <w:sz w:val="24"/>
        </w:rPr>
        <w:t>Sony Pictures Canada x Spotify: data-driven "Spider-Man: Brand New Day" fan experience</w:t>
      </w:r>
      <w:r>
        <w:rPr>
          <w:b/>
          <w:color w:val="1A5C2A"/>
          <w:sz w:val="18"/>
        </w:rPr>
        <w:t xml:space="preserve">   HIGH-IMPACT</w:t>
      </w:r>
    </w:p>
    <w:p>
      <w:r>
        <w:rPr>
          <w:b/>
        </w:rPr>
        <w:t xml:space="preserve">Source: </w:t>
      </w:r>
      <w:hyperlink r:id="rId11">
        <w:r>
          <w:rPr>
            <w:color w:val="1155CC"/>
            <w:u w:val="single"/>
          </w:rPr>
          <w:t>LBB Online</w:t>
        </w:r>
      </w:hyperlink>
      <w:r>
        <w:t>, Jul 27 2026</w:t>
      </w:r>
    </w:p>
    <w:p>
      <w:r>
        <w:rPr>
          <w:b/>
        </w:rPr>
        <w:t xml:space="preserve">What: </w:t>
      </w:r>
      <w:r>
        <w:t>Ahead of the July 31 theatrical release, Spotify turns fans' own three-year listening history into a "then vs. now" journey mapped to the film's themes, benchmarked against the wider fanbase, with a phone-flip gesture triggering the reveal.</w:t>
      </w:r>
    </w:p>
    <w:p>
      <w:r>
        <w:rPr>
          <w:b/>
        </w:rPr>
        <w:t xml:space="preserve">Why us: </w:t>
      </w:r>
      <w:r>
        <w:t>A clean platform-feature-fluency proof point — native Spotify mechanics (Wrapped-style personalization), not a bolted-on ad unit, engineered specifically for an Entertainment-category tentpole. Presence built via manufactured Proof.</w:t>
      </w:r>
    </w:p>
    <w:p/>
    <w:p>
      <w:pPr>
        <w:pStyle w:val="Heading1"/>
      </w:pPr>
      <w:r>
        <w:t>Trends</w:t>
      </w:r>
    </w:p>
    <w:p>
      <w:r>
        <w:rPr>
          <w:b/>
          <w:sz w:val="24"/>
        </w:rPr>
        <w:t>Gen Z prenups add AI-infidelity clauses ("the intimacy economy")</w:t>
      </w:r>
      <w:r>
        <w:rPr>
          <w:b/>
          <w:color w:val="1A5C2A"/>
          <w:sz w:val="18"/>
        </w:rPr>
        <w:t xml:space="preserve">   HIGH-IMPACT</w:t>
      </w:r>
    </w:p>
    <w:p>
      <w:r>
        <w:rPr>
          <w:b/>
        </w:rPr>
        <w:t xml:space="preserve">Source: </w:t>
      </w:r>
      <w:hyperlink r:id="rId12">
        <w:r>
          <w:rPr>
            <w:color w:val="1155CC"/>
            <w:u w:val="single"/>
          </w:rPr>
          <w:t>After School</w:t>
        </w:r>
      </w:hyperlink>
      <w:r>
        <w:t>, Jul 27 2026</w:t>
      </w:r>
    </w:p>
    <w:p>
      <w:r>
        <w:rPr>
          <w:b/>
        </w:rPr>
        <w:t xml:space="preserve">What: </w:t>
      </w:r>
      <w:r>
        <w:t>Services like HelloPrenup report growing demand for clauses addressing AI companions/deepfake infidelity, alongside broader Gen Z prenup uptake — codifying trust into contracts rather than assuming it.</w:t>
      </w:r>
    </w:p>
    <w:p>
      <w:r>
        <w:rPr>
          <w:b/>
        </w:rPr>
        <w:t xml:space="preserve">Why us: </w:t>
      </w:r>
      <w:r>
        <w:t>A sharp, personal-life instance of the "provably human" thread the Future Laboratory's Global Drivers report flagged on 07-27 (three registries converging on unfakeable-capital-as-answer-to-AI). If people are now legally contracting for proof of realness, brands should expect the same bar.</w:t>
      </w:r>
    </w:p>
    <w:p/>
    <w:p>
      <w:pPr>
        <w:pStyle w:val="Heading1"/>
      </w:pPr>
      <w:r>
        <w:t>POVs</w:t>
      </w:r>
    </w:p>
    <w:p>
      <w:r>
        <w:t>Nothing clears the bar today. Every tracked thinker (Eugene Healey, Matt Klein, Zoe Scaman) last published more than two weeks ago, Rachel Karten's newest posts are already logged, and no verifiable, dated Graeme Douglas-Kilgannon LinkedIn post could be confirmed this week — see coverage notes.</w:t>
      </w:r>
    </w:p>
    <w:p>
      <w:pPr>
        <w:pStyle w:val="Heading1"/>
      </w:pPr>
      <w:r>
        <w:t>Misc</w:t>
      </w:r>
    </w:p>
    <w:p>
      <w:r>
        <w:rPr>
          <w:b/>
          <w:sz w:val="24"/>
        </w:rPr>
        <w:t>WSJ Magazine launches a personality-led wellness newsletter</w:t>
      </w:r>
      <w:r>
        <w:rPr>
          <w:b/>
          <w:color w:val="606060"/>
          <w:sz w:val="18"/>
        </w:rPr>
        <w:t xml:space="preserve">   SIGNAL</w:t>
      </w:r>
    </w:p>
    <w:p>
      <w:r>
        <w:rPr>
          <w:b/>
        </w:rPr>
        <w:t xml:space="preserve">Source: </w:t>
      </w:r>
      <w:hyperlink r:id="rId9">
        <w:r>
          <w:rPr>
            <w:color w:val="1155CC"/>
            <w:u w:val="single"/>
          </w:rPr>
          <w:t>Feed Me</w:t>
        </w:r>
      </w:hyperlink>
      <w:r>
        <w:t>, Jul 27 2026</w:t>
      </w:r>
    </w:p>
    <w:p>
      <w:r>
        <w:rPr>
          <w:b/>
        </w:rPr>
        <w:t xml:space="preserve">What: </w:t>
      </w:r>
      <w:r>
        <w:t>Sara O'Brien fronts a new WSJ Magazine wellness newsletter, joining a field already crowded with creator-style entries (Air Mail's LOOK, High Touch, Health Gossip) — institutional media adopting the personal-voice newsletter format wholesale.</w:t>
      </w:r>
    </w:p>
    <w:p>
      <w:r>
        <w:rPr>
          <w:b/>
        </w:rPr>
        <w:t xml:space="preserve">Why us: </w:t>
      </w:r>
      <w:r>
        <w:t>Validates our creator-fluency positioning from the other direction — legacy media is now borrowing the exact mechanic (single-voice, personality-led, niche) that creator marketing already proved out.</w:t>
      </w:r>
    </w:p>
    <w:p/>
    <w:p>
      <w:r>
        <w:rPr>
          <w:b/>
          <w:sz w:val="24"/>
        </w:rPr>
        <w:t>Organic, creator-native formats top Ad Age's brand-TikTok list</w:t>
      </w:r>
      <w:r>
        <w:rPr>
          <w:b/>
          <w:color w:val="606060"/>
          <w:sz w:val="18"/>
        </w:rPr>
        <w:t xml:space="preserve">   SIGNAL</w:t>
      </w:r>
    </w:p>
    <w:p>
      <w:r>
        <w:rPr>
          <w:b/>
        </w:rPr>
        <w:t xml:space="preserve">Source: </w:t>
      </w:r>
      <w:hyperlink r:id="rId13">
        <w:r>
          <w:rPr>
            <w:color w:val="1155CC"/>
            <w:u w:val="single"/>
          </w:rPr>
          <w:t>Ad Age — Top 5 brand TikToks</w:t>
        </w:r>
      </w:hyperlink>
      <w:r>
        <w:t>, Jul 24 2026</w:t>
      </w:r>
    </w:p>
    <w:p>
      <w:r>
        <w:rPr>
          <w:b/>
        </w:rPr>
        <w:t xml:space="preserve">What: </w:t>
      </w:r>
      <w:r>
        <w:t>Alo's AMC-parody with Jake Shane and Rare Beauty's ambassador spot lead the week purely on native, creator-cadence execution rather than paid push.</w:t>
      </w:r>
    </w:p>
    <w:p>
      <w:r>
        <w:rPr>
          <w:b/>
        </w:rPr>
        <w:t xml:space="preserve">Why us: </w:t>
      </w:r>
      <w:r>
        <w:t>Another data point for platform feature fluency as the mechanic, not "good creative" in the abstract — Creator Report corroboration.</w:t>
      </w:r>
    </w:p>
    <w:p/>
    <w:p>
      <w:r>
        <w:rPr>
          <w:i/>
          <w:color w:val="707070"/>
          <w:sz w:val="18"/>
        </w:rPr>
        <w:t>Logged to ledger: 6 items (2 must-know, 2 high-impact, 2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adfeedme.com/p/i-dont-want-to-hide-these-clothing" TargetMode="External"/><Relationship Id="rId10" Type="http://schemas.openxmlformats.org/officeDocument/2006/relationships/hyperlink" Target="https://www.marketing-interactive.com/omnicom-media-merge-mediahub-and-hearts-science-into-new-global-agency" TargetMode="External"/><Relationship Id="rId11" Type="http://schemas.openxmlformats.org/officeDocument/2006/relationships/hyperlink" Target="https://lbbonline.com/news/Sony-Pictures-Canada-Spotify-Personalised-Fan-Experience-Spider-Man-Brand-New-Day" TargetMode="External"/><Relationship Id="rId12" Type="http://schemas.openxmlformats.org/officeDocument/2006/relationships/hyperlink" Target="https://afterschool.substack.com/p/intimacy-economy-and-labubi-clauses" TargetMode="External"/><Relationship Id="rId13" Type="http://schemas.openxmlformats.org/officeDocument/2006/relationships/hyperlink" Target="https://adage.com/creativity/campaigns-commercials/aa-top-5-brand-tiktoks-alo-yoga-rare-beauty-american-ea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