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Brief — 2026-07-27</w:t>
      </w:r>
    </w:p>
    <w:p>
      <w:pPr>
        <w:pStyle w:val="Heading1"/>
      </w:pPr>
      <w:r>
        <w:t>Must-knows</w:t>
      </w:r>
    </w:p>
    <w:p>
      <w:pPr>
        <w:pStyle w:val="ListNumber"/>
      </w:pPr>
      <w:r>
        <w:rPr>
          <w:b/>
        </w:rPr>
        <w:t>K-culture graduates from fad to lifestyle category</w:t>
      </w:r>
      <w:r>
        <w:t xml:space="preserve"> — Korean culture is shifting from awareness-driving entertainment spike to a sustained lifestyle habit across beauty, food, fashion and home — but only converts to lasting purchase when brands add product performance, creator partnerships and local nuance on top of cultural relevance. · </w:t>
      </w:r>
      <w:hyperlink r:id="rId9">
        <w:r>
          <w:rPr>
            <w:color w:val="1155CC"/>
            <w:u w:val="single"/>
          </w:rPr>
          <w:t>Marketing-Interactive — Is this the end of the Korean wave?</w:t>
        </w:r>
      </w:hyperlink>
      <w:r>
        <w:rPr>
          <w:i/>
        </w:rPr>
        <w:t>, 27 Jul 2026</w:t>
      </w:r>
    </w:p>
    <w:p>
      <w:pPr>
        <w:pStyle w:val="ListNumber"/>
      </w:pPr>
      <w:r>
        <w:rPr>
          <w:b/>
        </w:rPr>
        <w:t>New data quantifies the "churn and burn" problem the industry keeps talking about</w:t>
      </w:r>
      <w:r>
        <w:t xml:space="preserve"> — CreativeX's study of 633,000 ads finds content production up 29% while media spend per ad is down 15%, with as much as $100bn a year going into content that's never even published. · </w:t>
      </w:r>
      <w:hyperlink r:id="rId10">
        <w:r>
          <w:rPr>
            <w:color w:val="1155CC"/>
            <w:u w:val="single"/>
          </w:rPr>
          <w:t>WARC — The trap of digital "churn and burn" strategies</w:t>
        </w:r>
      </w:hyperlink>
      <w:r>
        <w:rPr>
          <w:i/>
        </w:rPr>
        <w:t>, 22 Jul 2026</w:t>
      </w:r>
    </w:p>
    <w:p>
      <w:pPr>
        <w:pStyle w:val="ListNumber"/>
      </w:pPr>
      <w:r>
        <w:rPr>
          <w:b/>
        </w:rPr>
        <w:t>The AI backlash has a name, and it's analog</w:t>
      </w:r>
      <w:r>
        <w:t xml:space="preserve"> — The Future Laboratory's inaugural Global Drivers report names AI/quantum/synthetic-biology convergence as the top force shaping 2027+, alongside a rising counter-reaction of surveillance anxiety, digital-sovereignty demands and a turn toward analog experience — corroborated the same week by Ad Age's review of Polaroid's anti-tech billboard campaign and After School's piece on Gen Z's craving for provably-human "natural aegyo." · </w:t>
      </w:r>
      <w:hyperlink r:id="rId11">
        <w:r>
          <w:rPr>
            <w:color w:val="1155CC"/>
            <w:u w:val="single"/>
          </w:rPr>
          <w:t>The Future Laboratory — Global Drivers 2027+: Colliding Technologies</w:t>
        </w:r>
      </w:hyperlink>
      <w:r>
        <w:rPr>
          <w:i/>
        </w:rPr>
        <w:t>, 22 Jul 2026</w:t>
      </w:r>
    </w:p>
    <w:p>
      <w:pPr>
        <w:pStyle w:val="Heading1"/>
      </w:pPr>
      <w:r>
        <w:t>Industry Buzz</w:t>
      </w:r>
    </w:p>
    <w:p>
      <w:r>
        <w:rPr>
          <w:b/>
          <w:sz w:val="24"/>
        </w:rPr>
        <w:t>K-culture graduates from fad to lifestyle category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9">
        <w:r>
          <w:rPr>
            <w:color w:val="1155CC"/>
            <w:u w:val="single"/>
          </w:rPr>
          <w:t>Marketing-Interactive — Is this the end of the Korean wave?</w:t>
        </w:r>
      </w:hyperlink>
      <w:r>
        <w:t>, 27 Jul 2026</w:t>
      </w:r>
    </w:p>
    <w:p>
      <w:r>
        <w:rPr>
          <w:b/>
        </w:rPr>
        <w:t xml:space="preserve">What: </w:t>
      </w:r>
      <w:r>
        <w:t>K-culture is maturing from an entertainment-driven fad into a durable lifestyle category — but "cultural relevance alone is no longer enough": brands need product performance, creator partnerships and market-specific localization to convert curiosity into habitual purchase.</w:t>
      </w:r>
    </w:p>
    <w:p>
      <w:r>
        <w:rPr>
          <w:b/>
        </w:rPr>
        <w:t xml:space="preserve">Why us: </w:t>
      </w:r>
      <w:r>
        <w:t>Direct proof that Presence alone doesn't compound — it needs earned Proof and creator-led Participation behind it; feeds the in-flight Creator Report (Aug) and sits squarely in Entertainment, a named priority category.</w:t>
      </w:r>
    </w:p>
    <w:p/>
    <w:p>
      <w:r>
        <w:rPr>
          <w:b/>
          <w:sz w:val="24"/>
        </w:rPr>
        <w:t>New data quantifies the "churn and burn" problem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0">
        <w:r>
          <w:rPr>
            <w:color w:val="1155CC"/>
            <w:u w:val="single"/>
          </w:rPr>
          <w:t>WARC — The trap of digital "churn and burn" strategies</w:t>
        </w:r>
      </w:hyperlink>
      <w:r>
        <w:t>, 22 Jul 2026</w:t>
      </w:r>
    </w:p>
    <w:p>
      <w:r>
        <w:rPr>
          <w:b/>
        </w:rPr>
        <w:t xml:space="preserve">What: </w:t>
      </w:r>
      <w:r>
        <w:t>New CreativeX data across 633,000 ads: content production up 29%, media spend per ad down 15%, 93% of ads run on under $10k, and up to $100bn a year spent on content that's never published.</w:t>
      </w:r>
    </w:p>
    <w:p>
      <w:r>
        <w:rPr>
          <w:b/>
        </w:rPr>
        <w:t xml:space="preserve">Why us: </w:t>
      </w:r>
      <w:r>
        <w:t>Hard numbers behind what NOT compounding looks like at scale — corroborates last week's IPA Bellwether must-know and gives "don't hoard cultural capital, compound it" a concrete industry-wide waste figure; FMCG Report and Think Forward material.</w:t>
      </w:r>
    </w:p>
    <w:p/>
    <w:p>
      <w:r>
        <w:rPr>
          <w:b/>
          <w:sz w:val="24"/>
        </w:rPr>
        <w:t>AI is reshaping SEA shopping, but trust still runs through people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2">
        <w:r>
          <w:rPr>
            <w:color w:val="1155CC"/>
            <w:u w:val="single"/>
          </w:rPr>
          <w:t>Marketing-Interactive — AI is changing how SEA shops, but trust still wins the checkout</w:t>
        </w:r>
      </w:hyperlink>
      <w:r>
        <w:t>, 24 Jul 2026</w:t>
      </w:r>
    </w:p>
    <w:p>
      <w:r>
        <w:rPr>
          <w:b/>
        </w:rPr>
        <w:t xml:space="preserve">What: </w:t>
      </w:r>
      <w:r>
        <w:t>24% of SEA consumers now use generative AI in shopping decisions, but trusted people (family/friends, then creators at 36%) still outrank AI recommendations (25%) — AI is an added layer, not a replacement channel.</w:t>
      </w:r>
    </w:p>
    <w:p>
      <w:r>
        <w:rPr>
          <w:b/>
        </w:rPr>
        <w:t xml:space="preserve">Why us: </w:t>
      </w:r>
      <w:r>
        <w:t>Direct evidence for the AEO/AI-in-value-chain C-suite hot button and our "creators as trust infrastructure" argument — AI adoption doesn't dilute the case for creator partnerships, it raises the bar for them.</w:t>
      </w:r>
    </w:p>
    <w:p/>
    <w:p>
      <w:pPr>
        <w:pStyle w:val="Heading1"/>
      </w:pPr>
      <w:r>
        <w:t>Trends</w:t>
      </w:r>
    </w:p>
    <w:p>
      <w:r>
        <w:rPr>
          <w:b/>
          <w:sz w:val="24"/>
        </w:rPr>
        <w:t>The AI backlash has a name, and it's analog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1">
        <w:r>
          <w:rPr>
            <w:color w:val="1155CC"/>
            <w:u w:val="single"/>
          </w:rPr>
          <w:t>The Future Laboratory — Global Drivers 2027+: Colliding Technologies</w:t>
        </w:r>
      </w:hyperlink>
      <w:r>
        <w:t>, 22 Jul 2026</w:t>
      </w:r>
    </w:p>
    <w:p>
      <w:r>
        <w:rPr>
          <w:b/>
        </w:rPr>
        <w:t xml:space="preserve">What: </w:t>
      </w:r>
      <w:r>
        <w:t>The Future Laboratory's first Global Drivers report names AI/quantum/synbio convergence as 2027+'s defining force — and flags the direct cultural counter-reaction: surveillance anxiety, digital-sovereignty demands, and a turn back to analog experience. Same week, Ad Age's Thomas Kolster reviewed Polaroid's anti-tech "analog life" billboards, and After School reported Gen Z prizing unpolished "natural aegyo" over AI-perfected imagery.</w:t>
      </w:r>
    </w:p>
    <w:p>
      <w:r>
        <w:rPr>
          <w:b/>
        </w:rPr>
        <w:t xml:space="preserve">Why us: </w:t>
      </w:r>
      <w:r>
        <w:t>Three independent registries converging on one thesis in a single week is a whitespace signal, not consensus — "provably human" as unfakeable capital is the answer to AI backlash we're positioned to own; Think Forward (kicks off Oct) shaping material.</w:t>
      </w:r>
    </w:p>
    <w:p/>
    <w:p>
      <w:r>
        <w:rPr>
          <w:b/>
          <w:sz w:val="24"/>
        </w:rPr>
        <w:t>Gen Z's craving for "natural aegyo" over AI polish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3">
        <w:r>
          <w:rPr>
            <w:color w:val="1155CC"/>
            <w:u w:val="single"/>
          </w:rPr>
          <w:t>After School — Natural Aegyo and Artificial Idiots</w:t>
        </w:r>
      </w:hyperlink>
      <w:r>
        <w:t>, 24 Jul 2026</w:t>
      </w:r>
    </w:p>
    <w:p>
      <w:r>
        <w:rPr>
          <w:b/>
        </w:rPr>
        <w:t xml:space="preserve">What: </w:t>
      </w:r>
      <w:r>
        <w:t>Gen Z is praising "natural aegyo" (visibly unpolished charm) as relief from AI-perfected imagery, while distrusting traditional ambition — the gym and extreme saving read as rare "controllable" domains in an unpredictable world.</w:t>
      </w:r>
    </w:p>
    <w:p>
      <w:r>
        <w:rPr>
          <w:b/>
        </w:rPr>
        <w:t xml:space="preserve">Why us: </w:t>
      </w:r>
      <w:r>
        <w:t>A fourth consecutive week After School has surfaced authenticity-craving behaviour — clears the rubric's own multi-week trend bar; live "unfakeable capital" proof point and Creator Report material on what reads as credible vs. synthetic talent.</w:t>
      </w:r>
    </w:p>
    <w:p/>
    <w:p>
      <w:r>
        <w:rPr>
          <w:b/>
          <w:sz w:val="24"/>
        </w:rPr>
        <w:t>Institutional capital bets on the Gen Z "jam boom"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4">
        <w:r>
          <w:rPr>
            <w:color w:val="1155CC"/>
            <w:u w:val="single"/>
          </w:rPr>
          <w:t>Feed Me — Why are young people eating so much jam?</w:t>
        </w:r>
      </w:hyperlink>
      <w:r>
        <w:t>, 24 Jul 2026</w:t>
      </w:r>
    </w:p>
    <w:p>
      <w:r>
        <w:rPr>
          <w:b/>
        </w:rPr>
        <w:t xml:space="preserve">What: </w:t>
      </w:r>
      <w:r>
        <w:t>LVMH's L Catterton backed an $18m round for a jam brand, treating a niche Gen Z food habit as a genuine investable category.</w:t>
      </w:r>
    </w:p>
    <w:p>
      <w:r>
        <w:rPr>
          <w:b/>
        </w:rPr>
        <w:t xml:space="preserve">Why us: </w:t>
      </w:r>
      <w:r>
        <w:t>Watch-line for the FMCG Report (Oct) — whether "compounding" cultural capital in food has become legible to institutional capital, not just brand marketers.</w:t>
      </w:r>
    </w:p>
    <w:p/>
    <w:p>
      <w:r>
        <w:rPr>
          <w:b/>
          <w:sz w:val="24"/>
        </w:rPr>
        <w:t>Movie theaters trade as cheap, viable assets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5">
        <w:r>
          <w:rPr>
            <w:color w:val="1155CC"/>
            <w:u w:val="single"/>
          </w:rPr>
          <w:t>Feed Me — Buy a movie theater for under $1 million</w:t>
        </w:r>
      </w:hyperlink>
      <w:r>
        <w:t>, 22 Jul 2026</w:t>
      </w:r>
    </w:p>
    <w:p>
      <w:r>
        <w:rPr>
          <w:b/>
        </w:rPr>
        <w:t xml:space="preserve">What: </w:t>
      </w:r>
      <w:r>
        <w:t>Independent cinemas are changing hands as surprisingly affordable, still-viable businesses even as the format is declared dead everywhere else.</w:t>
      </w:r>
    </w:p>
    <w:p>
      <w:r>
        <w:rPr>
          <w:b/>
        </w:rPr>
        <w:t xml:space="preserve">Why us: </w:t>
      </w:r>
      <w:r>
        <w:t>Second data point this month (after the Nolan "Odyssey" scarcity-sellout item logged 24 Jul) that theatrical exclusivity compounds value rather than eroding it — Entertainment category material.</w:t>
      </w:r>
    </w:p>
    <w:p/>
    <w:p>
      <w:pPr>
        <w:pStyle w:val="Heading1"/>
      </w:pPr>
      <w:r>
        <w:t>POVs</w:t>
      </w:r>
    </w:p>
    <w:p>
      <w:r>
        <w:rPr>
          <w:b/>
          <w:sz w:val="24"/>
        </w:rPr>
        <w:t>Grading purpose marketing: Claude leans in, Polaroid leans out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6">
        <w:r>
          <w:rPr>
            <w:color w:val="1155CC"/>
            <w:u w:val="single"/>
          </w:rPr>
          <w:t>Ad Age — Grading 6 purpose marketing ads: Claude, Polaroid and more</w:t>
        </w:r>
      </w:hyperlink>
      <w:r>
        <w:t>, 24 Jul 2026 — Thomas Kolster</w:t>
      </w:r>
    </w:p>
    <w:p>
      <w:r>
        <w:rPr>
          <w:b/>
        </w:rPr>
        <w:t xml:space="preserve">What: </w:t>
      </w:r>
      <w:r>
        <w:t>Purpose-marketing critic Thomas Kolster grades six recent campaigns, including Anthropic's Claude work and Polaroid's anti-tech "analog life" billboards — a public scoring of the AI-embrace-vs-AI-rejection brand split.</w:t>
      </w:r>
    </w:p>
    <w:p>
      <w:r>
        <w:rPr>
          <w:b/>
        </w:rPr>
        <w:t xml:space="preserve">Why us: </w:t>
      </w:r>
      <w:r>
        <w:t>A named industry voice publicly grading the exact AI-vs-analog split we're tracking elsewhere this week — a peer reference point to agree with, extend or counter in our own culture POV.</w:t>
      </w:r>
    </w:p>
    <w:p/>
    <w:p>
      <w:r>
        <w:rPr>
          <w:b/>
          <w:sz w:val="24"/>
        </w:rPr>
        <w:t>Creator economy professionalises around college life, and gets devalued for it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7">
        <w:r>
          <w:rPr>
            <w:color w:val="1155CC"/>
            <w:u w:val="single"/>
          </w:rPr>
          <w:t>MØRNING (Burn After Reading) — We Can't Stop Watching College Girls</w:t>
        </w:r>
      </w:hyperlink>
      <w:r>
        <w:t>, 24 Jul 2026 — Rachel Lowenstein</w:t>
      </w:r>
    </w:p>
    <w:p>
      <w:r>
        <w:rPr>
          <w:b/>
        </w:rPr>
        <w:t xml:space="preserve">What: </w:t>
      </w:r>
      <w:r>
        <w:t>College life is now a major TikTok content vertical, with young women monetising their degree years through vlogs and brand-ambassador deals — the essay argues the space is already being culturally devalued precisely because women dominate it.</w:t>
      </w:r>
    </w:p>
    <w:p>
      <w:r>
        <w:rPr>
          <w:b/>
        </w:rPr>
        <w:t xml:space="preserve">Why us: </w:t>
      </w:r>
      <w:r>
        <w:t>Sharp, contestable framing for the in-flight Creator Report (Aug) — extends last week's USC Reach item on creator-economy professionalisation, plus a gendered-value argument worth having our own position on, not just citing.</w:t>
      </w:r>
    </w:p>
    <w:p/>
    <w:p>
      <w:pPr>
        <w:pStyle w:val="Heading1"/>
      </w:pPr>
      <w:r>
        <w:t>Misc</w:t>
      </w:r>
    </w:p>
    <w:p>
      <w:r>
        <w:rPr>
          <w:b/>
          <w:sz w:val="24"/>
        </w:rPr>
        <w:t>A fifth data point on aesthetic resistance to AI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8">
        <w:r>
          <w:rPr>
            <w:color w:val="1155CC"/>
            <w:u w:val="single"/>
          </w:rPr>
          <w:t>Links I Would Gchat You If We Were Friends — #778: A long-held and embarrassing secret</w:t>
        </w:r>
      </w:hyperlink>
      <w:r>
        <w:t>, 26 Jul 2026 — Caitlin Dewey</w:t>
      </w:r>
    </w:p>
    <w:p>
      <w:r>
        <w:rPr>
          <w:b/>
        </w:rPr>
        <w:t xml:space="preserve">What: </w:t>
      </w:r>
      <w:r>
        <w:t>Weekend links flag handmade goods, vintage aesthetics and marketplace Fybe (positioned against Etsy) as fresh instances of aesthetic resistance to AI.</w:t>
      </w:r>
    </w:p>
    <w:p>
      <w:r>
        <w:rPr>
          <w:b/>
        </w:rPr>
        <w:t xml:space="preserve">Why us: </w:t>
      </w:r>
      <w:r>
        <w:t>Another independent source on this week's anti-AI-authenticity thread — logged for pattern-tracking toward Think Forward rather than foregrounded twice in one brief.</w:t>
      </w:r>
    </w:p>
    <w:p/>
    <w:p>
      <w:r>
        <w:rPr>
          <w:i/>
          <w:color w:val="707070"/>
          <w:sz w:val="18"/>
        </w:rPr>
        <w:t>Logged to ledger: 10 items (3 must-know, 4 high-impact, 3 signal).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 Tight" w:hAnsi="Inter Tight" w:cs="Inter Tight" w:eastAsia="Inter Tigh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Tight" w:hAnsi="Inter Tight" w:cs="Inter Tight" w:eastAsia="Inter Tigh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 Tight" w:hAnsi="Inter Tight" w:cs="Inter Tight" w:eastAsia="Inter Tigh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 Tight" w:hAnsi="Inter Tight" w:cs="Inter Tight" w:eastAsia="Inter Tight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arketing-interactive.com/is-this-the-end-of-the-korean-wave" TargetMode="External"/><Relationship Id="rId10" Type="http://schemas.openxmlformats.org/officeDocument/2006/relationships/hyperlink" Target="https://www.warc.com/en/feed/the-trap-of-digital-churn-and-burn-strategies-31342727f7154d94bfabd2aa606f470a" TargetMode="External"/><Relationship Id="rId11" Type="http://schemas.openxmlformats.org/officeDocument/2006/relationships/hyperlink" Target="https://www.thefuturelaboratory.com/blog/an-introduction-to-our-first-global-driver-2027-colliding-technologies" TargetMode="External"/><Relationship Id="rId12" Type="http://schemas.openxmlformats.org/officeDocument/2006/relationships/hyperlink" Target="https://www.marketing-interactive.com/ai-is-changing-how-sea-shops-but-trust-still-wins-the-checkout" TargetMode="External"/><Relationship Id="rId13" Type="http://schemas.openxmlformats.org/officeDocument/2006/relationships/hyperlink" Target="https://afterschool.substack.com/p/natural-aegyo-and-artificial-idiots" TargetMode="External"/><Relationship Id="rId14" Type="http://schemas.openxmlformats.org/officeDocument/2006/relationships/hyperlink" Target="https://www.readfeedme.com/p/why-are-young-people-eating-so-much" TargetMode="External"/><Relationship Id="rId15" Type="http://schemas.openxmlformats.org/officeDocument/2006/relationships/hyperlink" Target="https://www.readfeedme.com/p/buy-a-movie-theater-for-under-1-million" TargetMode="External"/><Relationship Id="rId16" Type="http://schemas.openxmlformats.org/officeDocument/2006/relationships/hyperlink" Target="https://adage.com/brand-marketing/purpose-driven/aa-purpose-ad-review-claude-polaroid-july-2026/" TargetMode="External"/><Relationship Id="rId17" Type="http://schemas.openxmlformats.org/officeDocument/2006/relationships/hyperlink" Target="https://morningfyi.substack.com/p/we-cant-stop-watching-college-girls" TargetMode="External"/><Relationship Id="rId18" Type="http://schemas.openxmlformats.org/officeDocument/2006/relationships/hyperlink" Target="https://linksiwouldgchatyou.substack.com/p/778-a-long-held-and-embarrass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