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2026-09-15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OpenAI ships in-chat "Chat with us" ads inside ChatGPT</w:t>
      </w:r>
      <w:r>
        <w:t xml:space="preserve"> — brands can now run ads that keep users talking to a branded AI agent instead of clicking out to a website; Wayfair is the first pilot, and OpenAI's CFO called today's ChatGPT ads "the basic starting point." AEO stops being a visibility question and becomes a live ad-inventory decision. · </w:t>
      </w:r>
      <w:r>
        <w:rPr>
          <w:i/>
        </w:rPr>
        <w:t>Digiday, Sept 14</w:t>
      </w:r>
    </w:p>
    <w:p>
      <w:pPr>
        <w:pStyle w:val="ListNumber"/>
      </w:pPr>
      <w:r>
        <w:rPr>
          <w:b/>
        </w:rPr>
        <w:t>Brand purchase consideration hits a 5-year low</w:t>
      </w:r>
      <w:r>
        <w:t xml:space="preserve"> — Morning Consult: only 14% of brands grew purchase consideration this year, down from 94% last year, with trust, usage and favourability cooling across the board. · </w:t>
      </w:r>
      <w:r>
        <w:rPr>
          <w:i/>
        </w:rPr>
        <w:t>Ad Age, Sept 9</w:t>
      </w:r>
    </w:p>
    <w:p>
      <w:pPr>
        <w:pStyle w:val="ListNumber"/>
      </w:pPr>
      <w:r>
        <w:rPr>
          <w:b/>
        </w:rPr>
        <w:t>An Anthropic safety researcher publicly resigns over AI extinction risk</w:t>
      </w:r>
      <w:r>
        <w:t xml:space="preserve"> — Jacob Coxon quit citing a &gt;10% chance AI kills everyone by 2030, echoed by colleague Evan Hubinger; the story's specificity is pushing AI-doom from background hum into dinner-table conversation. · </w:t>
      </w:r>
      <w:r>
        <w:rPr>
          <w:i/>
        </w:rPr>
        <w:t>Links I Would Gchat You If We Were Friends, Sept 13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OpenAI's ChatGPT ads go conversational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Digiday — OpenAI's next ChatGPT ad format: click to chat, not to site</w:t>
        </w:r>
      </w:hyperlink>
      <w:r>
        <w:t>, Sept 14 2026</w:t>
      </w:r>
    </w:p>
    <w:p>
      <w:r>
        <w:rPr>
          <w:b/>
        </w:rPr>
        <w:t xml:space="preserve">What: </w:t>
      </w:r>
      <w:r>
        <w:t>A new ChatGPT ad format keeps the interaction inside the chat window — users click "Chat with us" and talk to the brand's own AI agent rather than leaving for a website. Wayfair is piloting it "at limited scale with guardrails."</w:t>
      </w:r>
    </w:p>
    <w:p>
      <w:r>
        <w:rPr>
          <w:b/>
        </w:rPr>
        <w:t xml:space="preserve">Why us: </w:t>
      </w:r>
      <w:r>
        <w:t>AEO now has a literal media buy attached to it — clients asking about LLM visibility will next ask whether they should be building a conversational ad presence, not just optimising for citation.</w:t>
      </w:r>
    </w:p>
    <w:p/>
    <w:p>
      <w:r>
        <w:rPr>
          <w:b/>
          <w:sz w:val="24"/>
        </w:rPr>
        <w:t>Brand purchase consideration falls to a 5-year low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 Age — Brand purchase consideration at 5-year low: Morning Consult</w:t>
        </w:r>
      </w:hyperlink>
      <w:r>
        <w:t>, Sept 9 2026</w:t>
      </w:r>
    </w:p>
    <w:p>
      <w:r>
        <w:rPr>
          <w:b/>
        </w:rPr>
        <w:t xml:space="preserve">What: </w:t>
      </w:r>
      <w:r>
        <w:t>Only 14% of tracked brands grew purchase consideration in 2026, versus 94% a year ago; trust, usage and favourability are cooling in parallel.</w:t>
      </w:r>
    </w:p>
    <w:p>
      <w:r>
        <w:rPr>
          <w:b/>
        </w:rPr>
        <w:t xml:space="preserve">Why us: </w:t>
      </w:r>
      <w:r>
        <w:t>Hard, industry-wide evidence for the "don't hoard cultural capital, compound it" thesis — consideration is collapsing exactly where brands have been spiking rather than compounding. Q2 Digital Culture Review and Think Forward material.</w:t>
      </w:r>
    </w:p>
    <w:p/>
    <w:p>
      <w:r>
        <w:rPr>
          <w:b/>
          <w:sz w:val="24"/>
        </w:rPr>
        <w:t>AI reshapes agency economics, but contracts are still catching up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Digiday — AI reshapes agency economics, but their contracts are still scrambling to catch up</w:t>
        </w:r>
      </w:hyperlink>
      <w:r>
        <w:t>, Sept 10 2026</w:t>
      </w:r>
    </w:p>
    <w:p>
      <w:r>
        <w:rPr>
          <w:b/>
        </w:rPr>
        <w:t xml:space="preserve">What: </w:t>
      </w:r>
      <w:r>
        <w:t>Agencies are shifting toward SaaS-style, outcome-linked billing under generative/agentic AI, but for now are bolting riders onto existing contracts (data use, human oversight, IP, AI-tool disclosure) rather than rewriting them.</w:t>
      </w:r>
    </w:p>
    <w:p>
      <w:r>
        <w:rPr>
          <w:b/>
        </w:rPr>
        <w:t xml:space="preserve">Why us: </w:t>
      </w:r>
      <w:r>
        <w:t>Direct hit on the AI-in-value-chain C-suite question; sharpens an "AI priced on outcome, not token count" pitch — extends the 07-31 "second bill" thread.</w:t>
      </w:r>
    </w:p>
    <w:p/>
    <w:p>
      <w:r>
        <w:rPr>
          <w:b/>
          <w:sz w:val="24"/>
        </w:rPr>
        <w:t>Anthropic builds out an APAC marketing/comms function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 Interactive — Anthropic names ANZ comms lead as APAC expansion gathers pace</w:t>
        </w:r>
      </w:hyperlink>
      <w:r>
        <w:t>, Sept 9 2026</w:t>
      </w:r>
    </w:p>
    <w:p>
      <w:r>
        <w:rPr>
          <w:b/>
        </w:rPr>
        <w:t xml:space="preserve">What: </w:t>
      </w:r>
      <w:r>
        <w:t>Anthropic hires an ANZ communications lead, is adding nine more Sydney roles and a founding APAC field-marketing leader in Singapore.</w:t>
      </w:r>
    </w:p>
    <w:p>
      <w:r>
        <w:rPr>
          <w:b/>
        </w:rPr>
        <w:t xml:space="preserve">Why us: </w:t>
      </w:r>
      <w:r>
        <w:t>The AI labs themselves are becoming conventional marketing organisations and regional advertisers, not just infrastructure vendors — a live instance of "AI across the value chain" from the vendor side, and a new category of client competing for the same regional talent and agency attention as everyone else.</w:t>
      </w:r>
    </w:p>
    <w:p/>
    <w:p>
      <w:r>
        <w:rPr>
          <w:b/>
          <w:sz w:val="24"/>
        </w:rPr>
        <w:t>Maybank Singapore appoints We Are Social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 Interactive — Gen Z perspectives: New agency pairings and a microdrama plot twist</w:t>
        </w:r>
      </w:hyperlink>
      <w:r>
        <w:t>, Sept 11 2026</w:t>
      </w:r>
    </w:p>
    <w:p>
      <w:r>
        <w:rPr>
          <w:b/>
        </w:rPr>
        <w:t xml:space="preserve">What: </w:t>
      </w:r>
      <w:r>
        <w:t>Maybank Singapore has appointed We Are Social; the same roundup covers Club Med's FABCOM pairing across 14 APAC markets and Grab Singapore's backlash over its "I Fell In Love With My Grab Driver" microdrama.</w:t>
      </w:r>
    </w:p>
    <w:p>
      <w:r>
        <w:rPr>
          <w:b/>
        </w:rPr>
        <w:t xml:space="preserve">Why us: </w:t>
      </w:r>
      <w:r>
        <w:t>Our own network's win — worth flagging directly rather than translating into an angle.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An Anthropic researcher's resignation pushes AI-doom into ordinary conversation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Links I Would Gchat You If We Were Friends — #784: The absurdity of the apocalypse</w:t>
        </w:r>
      </w:hyperlink>
      <w:r>
        <w:t>, Sept 13 2026</w:t>
      </w:r>
    </w:p>
    <w:p>
      <w:r>
        <w:rPr>
          <w:b/>
        </w:rPr>
        <w:t xml:space="preserve">What: </w:t>
      </w:r>
      <w:r>
        <w:t>Anthropic researcher Jacob Coxon resigned publicly, warning of a &gt;10% chance AI causes human extinction by 2030 — a claim echoed by colleague Evan Hubinger. Caitlin Dewey argues the story's specificity (a date, a number) is what's making it land, against the backdrop of ordinary people still just saving for retirement.</w:t>
      </w:r>
    </w:p>
    <w:p>
      <w:r>
        <w:rPr>
          <w:b/>
        </w:rPr>
        <w:t xml:space="preserve">Why us: </w:t>
      </w:r>
      <w:r>
        <w:t>Sharpens this year's "provably human" / unfakeable-capital thread into a starker register — the anxiety isn't abstract AI-slop any more, it's coming from AI's own safety researchers; Think Forward shaping material.</w:t>
      </w:r>
    </w:p>
    <w:p/>
    <w:p>
      <w:r>
        <w:rPr>
          <w:b/>
          <w:sz w:val="24"/>
        </w:rPr>
        <w:t>Nostalgia-driven brand revivals are underperforming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 — Wellness Darties and Nostalgiaslop</w:t>
        </w:r>
      </w:hyperlink>
      <w:r>
        <w:t>, Sept 8 2026</w:t>
      </w:r>
    </w:p>
    <w:p>
      <w:r>
        <w:rPr>
          <w:b/>
        </w:rPr>
        <w:t xml:space="preserve">What: </w:t>
      </w:r>
      <w:r>
        <w:t>Casey Lewis argues recent nostalgia relaunches (Target's dELiA*s, the WYouth revival, Gap's GapBag) are landing flat — "merely bringing something back isn't enough to make it relevant again."</w:t>
      </w:r>
    </w:p>
    <w:p>
      <w:r>
        <w:rPr>
          <w:b/>
        </w:rPr>
        <w:t xml:space="preserve">Why us: </w:t>
      </w:r>
      <w:r>
        <w:t>Complicates the analog/nostalgia-revival thread this tracker has followed since early August — nostalgia alone doesn't compound without a genuine present-tense why-us; Think Forward material on revival-as-strategy.</w:t>
      </w:r>
    </w:p>
    <w:p/>
    <w:p>
      <w:r>
        <w:rPr>
          <w:b/>
          <w:sz w:val="24"/>
        </w:rPr>
        <w:t>"Explainer epidemic": thinkfluencers package curiosity, not education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Dazed — We're living through an explainer epidemic</w:t>
        </w:r>
      </w:hyperlink>
      <w:r>
        <w:t>, Sept 10 2026</w:t>
      </w:r>
    </w:p>
    <w:p>
      <w:r>
        <w:rPr>
          <w:b/>
        </w:rPr>
        <w:t xml:space="preserve">What: </w:t>
      </w:r>
      <w:r>
        <w:t>Short-form "thinkfluencer" content satisfies the desire to think without the depth of real education — the format's speed and algorithm bias create what Dazed calls "a facade of education."</w:t>
      </w:r>
    </w:p>
    <w:p>
      <w:r>
        <w:rPr>
          <w:b/>
        </w:rPr>
        <w:t xml:space="preserve">Why us: </w:t>
      </w:r>
      <w:r>
        <w:t>Sharpens the line between real expertise and short-form authority for creator vetting; Creator Report material on what "credible" creator content actually requires.</w:t>
      </w:r>
    </w:p>
    <w:p/>
    <w:p>
      <w:r>
        <w:rPr>
          <w:b/>
          <w:sz w:val="24"/>
        </w:rPr>
        <w:t>Protein's "Night Mode": climate is pushing sport into nightlife hours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Protein — Night Mode</w:t>
        </w:r>
      </w:hyperlink>
      <w:r>
        <w:t>, Sept 8 2026</w:t>
      </w:r>
    </w:p>
    <w:p>
      <w:r>
        <w:rPr>
          <w:b/>
        </w:rPr>
        <w:t xml:space="preserve">What: </w:t>
      </w:r>
      <w:r>
        <w:t>Major sporting events are shifting into cooler night hours as the climate warms, blurring sport and nightlife culture — running raves, climbing-gym-as-dance-venue hybrids.</w:t>
      </w:r>
    </w:p>
    <w:p>
      <w:r>
        <w:rPr>
          <w:b/>
        </w:rPr>
        <w:t xml:space="preserve">Why us: </w:t>
      </w:r>
      <w:r>
        <w:t>Fresh trend-studio drop naming a new occasion in the Entertainment priority category; a manufactured-Presence opportunity for sponsors used to daytime sport.</w:t>
      </w:r>
    </w:p>
    <w:p/>
    <w:p>
      <w:r>
        <w:rPr>
          <w:b/>
          <w:sz w:val="24"/>
        </w:rPr>
        <w:t>"Barbell dining": the mid-market keeps hollowing out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WARC — 'Barbell' dining on the rise as gap widens between consumer segments</w:t>
        </w:r>
      </w:hyperlink>
      <w:r>
        <w:t>, Sept 14 2026</w:t>
      </w:r>
    </w:p>
    <w:p>
      <w:r>
        <w:rPr>
          <w:b/>
        </w:rPr>
        <w:t xml:space="preserve">What: </w:t>
      </w:r>
      <w:r>
        <w:t>Consumers are polarising toward either premium/indulgent or ultra-value dining, squeezing the middle.</w:t>
      </w:r>
    </w:p>
    <w:p>
      <w:r>
        <w:rPr>
          <w:b/>
        </w:rPr>
        <w:t xml:space="preserve">Why us: </w:t>
      </w:r>
      <w:r>
        <w:t>FMCG Report pattern-tracking watch-line on segment polarisation.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"Post-Reality Marketing": Stealth Acceleration vs. Intentional Slowdown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WHAT'S ANU — Post-Reality Marketing</w:t>
        </w:r>
      </w:hyperlink>
      <w:r>
        <w:t>, Sept 11 2026 — ANU</w:t>
      </w:r>
    </w:p>
    <w:p>
      <w:r>
        <w:rPr>
          <w:b/>
        </w:rPr>
        <w:t xml:space="preserve">What: </w:t>
      </w:r>
      <w:r>
        <w:t>Argues that in a climate of default skepticism toward digital content, brands must pick one of two incompatible strategies: engineered virality ("Stealth Acceleration") or offline-built trust ("Intentional Slowdown") — citing Anthropic's brand cultivation against OpenAI's failed influencer retreat as the contrast case.</w:t>
      </w:r>
    </w:p>
    <w:p>
      <w:r>
        <w:rPr>
          <w:b/>
        </w:rPr>
        <w:t xml:space="preserve">Why us: </w:t>
      </w:r>
      <w:r>
        <w:t>A peer sharpening exactly the tension our Loop's Proof and Power arms describe, using this month's own AI-trust stories as evidence — worth a considered response on which side (or synthesis) we'd argue for.</w:t>
      </w:r>
    </w:p>
    <w:p/>
    <w:p>
      <w:r>
        <w:rPr>
          <w:b/>
          <w:sz w:val="24"/>
        </w:rPr>
        <w:t>James Hurman's "Future Demand" framework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WARC — Understanding 'Future Demand' with James Hurman</w:t>
        </w:r>
      </w:hyperlink>
      <w:r>
        <w:t>, Sept 8 2026 — James Hurman</w:t>
      </w:r>
    </w:p>
    <w:p>
      <w:r>
        <w:rPr>
          <w:b/>
        </w:rPr>
        <w:t xml:space="preserve">What: </w:t>
      </w:r>
      <w:r>
        <w:t>Proposes building brand equity that pre-empts category demand shifts, rather than a brand reacting once a shift is already visible.</w:t>
      </w:r>
    </w:p>
    <w:p>
      <w:r>
        <w:rPr>
          <w:b/>
        </w:rPr>
        <w:t xml:space="preserve">Why us: </w:t>
      </w:r>
      <w:r>
        <w:t>Complements the Cultural Power Loop's forward-leaning posture — do we agree that demand-anticipation, not demand-response, is the sharper strategic unit?</w:t>
      </w:r>
    </w:p>
    <w:p/>
    <w:p>
      <w:r>
        <w:rPr>
          <w:b/>
          <w:sz w:val="24"/>
        </w:rPr>
        <w:t>A new "psychological pause" is reshaping the customer journey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WARC — The psychological 'pause' reshaping the customer journey</w:t>
        </w:r>
      </w:hyperlink>
      <w:r>
        <w:t>, Sept 10 2026</w:t>
      </w:r>
    </w:p>
    <w:p>
      <w:r>
        <w:rPr>
          <w:b/>
        </w:rPr>
        <w:t xml:space="preserve">What: </w:t>
      </w:r>
      <w:r>
        <w:t>Argues AI-search information overload has created a new hesitation point in purchase journeys that existing funnel models don't account for.</w:t>
      </w:r>
    </w:p>
    <w:p>
      <w:r>
        <w:rPr>
          <w:b/>
        </w:rPr>
        <w:t xml:space="preserve">Why us: </w:t>
      </w:r>
      <w:r>
        <w:t>A fresh creative/media-strategy problem sitting directly underneath the AEO conversation — worth a take on how to design for the pause rather than around it.</w:t>
      </w:r>
    </w:p>
    <w:p/>
    <w:p>
      <w:r>
        <w:rPr>
          <w:b/>
          <w:sz w:val="24"/>
        </w:rPr>
        <w:t>Graeme Douglas-Kilgannon's Hargreaves Lansdown work as "post-social creativity"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roastbrief.us — Hargreaves Lansdown Calls Out 'Inactive Banks' in Biggest Savings Campaign to Date</w:t>
        </w:r>
      </w:hyperlink>
      <w:r>
        <w:t xml:space="preserve"> — Graeme Douglas-Kilgannon, Sept 14 2026</w:t>
      </w:r>
    </w:p>
    <w:p>
      <w:r>
        <w:rPr>
          <w:b/>
        </w:rPr>
        <w:t xml:space="preserve">What: </w:t>
      </w:r>
      <w:r>
        <w:t>Stitchy's first above-the-line work for Hargreaves Lansdown spans TV/OOH/print/social/creator/VOD, applying social-platform mechanics — character, comic timing, creator sensibility — to traditional channels.</w:t>
      </w:r>
    </w:p>
    <w:p>
      <w:r>
        <w:rPr>
          <w:b/>
        </w:rPr>
        <w:t xml:space="preserve">Why us: </w:t>
      </w:r>
      <w:r>
        <w:t>A named peer publicly validating the platform-feature-fluency thesis in his own words, in his own campaign — a useful citation the next time we make the same argument.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MapQuest turns a viral moment into printed billboards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Ad Age — MapQuest prints directions to Lake Ontario on outdoor ads after viral surge</w:t>
        </w:r>
      </w:hyperlink>
      <w:r>
        <w:t>, Sept 10-11 2026</w:t>
      </w:r>
    </w:p>
    <w:p>
      <w:r>
        <w:rPr>
          <w:b/>
        </w:rPr>
        <w:t xml:space="preserve">What: </w:t>
      </w:r>
      <w:r>
        <w:t>After going viral for refusing to rename Lake Ontario "Lake America," MapQuest put up nostalgic printed turn-by-turn billboards in Toronto and five US cities.</w:t>
      </w:r>
    </w:p>
    <w:p>
      <w:r>
        <w:rPr>
          <w:b/>
        </w:rPr>
        <w:t xml:space="preserve">Why us: </w:t>
      </w:r>
      <w:r>
        <w:t>Clean, fast proof point for real-time platform-feature-fluency turning a live meme into Presence.</w:t>
      </w:r>
    </w:p>
    <w:p/>
    <w:p>
      <w:r>
        <w:rPr>
          <w:b/>
          <w:sz w:val="24"/>
        </w:rPr>
        <w:t>Columbia Sportswear's fax machines and flat-earth stunt keep paying off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Marketing Dive — How Columbia's marketing breaks through with fax machines, flat Earth</w:t>
        </w:r>
      </w:hyperlink>
      <w:r>
        <w:t>, Sept 14 2026</w:t>
      </w:r>
    </w:p>
    <w:p>
      <w:r>
        <w:rPr>
          <w:b/>
        </w:rPr>
        <w:t xml:space="preserve">What: </w:t>
      </w:r>
      <w:r>
        <w:t>Columbia's deliberately odd "Engineered for Whatever" stunts (fax-machine orders, a flat-Earth challenge) won a Cannes Lion and drove double-digit customer-acquisition growth.</w:t>
      </w:r>
    </w:p>
    <w:p>
      <w:r>
        <w:rPr>
          <w:b/>
        </w:rPr>
        <w:t xml:space="preserve">Why us: </w:t>
      </w:r>
      <w:r>
        <w:t>A craft-conviction counterweight to this month's consolidation/cost-cutting stories — proof that a genuinely odd idea still outperforms a safe one.</w:t>
      </w:r>
    </w:p>
    <w:p/>
    <w:p>
      <w:r>
        <w:rPr>
          <w:b/>
          <w:sz w:val="24"/>
        </w:rPr>
        <w:t>Samsung casts a real couples therapist against brand-switching anxiety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Adweek — Samsung Taps Couples Therapy's Dr. Orna Guralnik to Ease Phone Switching Fears</w:t>
        </w:r>
      </w:hyperlink>
      <w:r>
        <w:t>, Sept 14 2026</w:t>
      </w:r>
    </w:p>
    <w:p>
      <w:r>
        <w:rPr>
          <w:b/>
        </w:rPr>
        <w:t xml:space="preserve">What: </w:t>
      </w:r>
      <w:r>
        <w:t>Samsung's "Switchers" campaign reframes brand-switching as an emotional, relationship-style decision, using the real-life therapist alongside celebrity pairs.</w:t>
      </w:r>
    </w:p>
    <w:p>
      <w:r>
        <w:rPr>
          <w:b/>
        </w:rPr>
        <w:t xml:space="preserve">Why us: </w:t>
      </w:r>
      <w:r>
        <w:t>Watch-line for borrowing genuine outside expertise (not just casting a creator) to reframe a rational decision as an emotional one.</w:t>
      </w:r>
    </w:p>
    <w:p/>
    <w:p>
      <w:r>
        <w:rPr>
          <w:b/>
          <w:sz w:val="24"/>
        </w:rPr>
        <w:t>Cadbury's crystal clutch debuts at NYFW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Marketing Dive — Cadbury pairs crystal clutch with comedy series for major US campaign</w:t>
        </w:r>
      </w:hyperlink>
      <w:r>
        <w:t>, Sept 11 2026</w:t>
      </w:r>
    </w:p>
    <w:p>
      <w:r>
        <w:rPr>
          <w:b/>
        </w:rPr>
        <w:t xml:space="preserve">What: </w:t>
      </w:r>
      <w:r>
        <w:t>Cadbury's largest-ever US campaign debuts a Swarovski-crystal chocolate-bar clutch at New York Fashion Week alongside a hero spot and an episodic comedy series.</w:t>
      </w:r>
    </w:p>
    <w:p>
      <w:r>
        <w:rPr>
          <w:b/>
        </w:rPr>
        <w:t xml:space="preserve">Why us: </w:t>
      </w:r>
      <w:r>
        <w:t>FMCG-meets-fashion watch-line for engineered scarcity merch as a red-carpet-adjacent Presence play.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The New York Times, Wall Street Journal, The Atlantic and The Cut were not reachable this run</w:t>
      </w:r>
      <w:r>
        <w:rPr>
          <w:i/>
          <w:color w:val="707070"/>
        </w:rPr>
        <w:t xml:space="preserve"> (tool-level access block on all four domains) — this is a gap in this run's tooling, not evidence nothing published there this week. Flag for a re-check with browser-based access.</w:t>
      </w:r>
    </w:p>
    <w:p>
      <w:pPr>
        <w:pStyle w:val="ListBullet"/>
      </w:pPr>
      <w:r>
        <w:rPr>
          <w:b/>
          <w:color w:val="707070"/>
        </w:rPr>
        <w:t>LBB Online</w:t>
      </w:r>
      <w:r>
        <w:rPr>
          <w:i/>
          <w:color w:val="707070"/>
        </w:rPr>
        <w:t xml:space="preserve"> returned no confirmable in-window items — the site blocked direct fetching and search kept surfacing older (June–August) content.</w:t>
      </w:r>
    </w:p>
    <w:p>
      <w:pPr>
        <w:pStyle w:val="ListBullet"/>
      </w:pPr>
      <w:r>
        <w:rPr>
          <w:b/>
          <w:color w:val="707070"/>
        </w:rPr>
        <w:t>Canvas8</w:t>
      </w:r>
      <w:r>
        <w:rPr>
          <w:i/>
          <w:color w:val="707070"/>
        </w:rPr>
        <w:t xml:space="preserve"> and </w:t>
      </w:r>
      <w:r>
        <w:rPr>
          <w:b/>
          <w:color w:val="707070"/>
        </w:rPr>
        <w:t>The Future Laboratory</w:t>
      </w:r>
      <w:r>
        <w:rPr>
          <w:i/>
          <w:color w:val="707070"/>
        </w:rPr>
        <w:t xml:space="preserve"> had no new report or briefing this week — nothing to surface per their periodic cadence.</w:t>
      </w:r>
    </w:p>
    <w:p>
      <w:pPr>
        <w:pStyle w:val="ListBullet"/>
      </w:pPr>
      <w:r>
        <w:rPr>
          <w:b/>
          <w:color w:val="707070"/>
        </w:rPr>
        <w:t>Contagious</w:t>
      </w:r>
      <w:r>
        <w:rPr>
          <w:i/>
          <w:color w:val="707070"/>
        </w:rPr>
        <w:t xml:space="preserve"> had three candidate items (a Warhol Museum campaign, a "low-budget bangers" feature, and a Runway AI-filmmaking piece) whose exact canonical article URLs could not be independently confirmed beyond the outlet's listing page — dropped per the real-links-only rule rather than guessed.</w:t>
      </w:r>
    </w:p>
    <w:p>
      <w:pPr>
        <w:pStyle w:val="ListBullet"/>
      </w:pPr>
      <w:r>
        <w:rPr>
          <w:b/>
          <w:color w:val="707070"/>
        </w:rPr>
        <w:t>Idle gaze, ZINE (Matt Klein) and Zoe Scaman</w:t>
      </w:r>
      <w:r>
        <w:rPr>
          <w:i/>
          <w:color w:val="707070"/>
        </w:rPr>
        <w:t xml:space="preserve"> had no new posts in the window (feeds confirmed live, just quiet this week).</w:t>
      </w:r>
    </w:p>
    <w:p>
      <w:r>
        <w:rPr>
          <w:i/>
          <w:color w:val="707070"/>
          <w:sz w:val="18"/>
        </w:rPr>
        <w:t>Logged to ledger: 19 items (3 must-know, 14 high-impact, 2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day.com/marketing/openais-next-chatgpt-ad-format-click-to-chat-not-to-site/" TargetMode="External"/><Relationship Id="rId10" Type="http://schemas.openxmlformats.org/officeDocument/2006/relationships/hyperlink" Target="https://adage.com/brand-marketing/aa-purchase-consideration-5-year-low-morning-consult-survey/" TargetMode="External"/><Relationship Id="rId11" Type="http://schemas.openxmlformats.org/officeDocument/2006/relationships/hyperlink" Target="https://digiday.com/marketing/ai-reshapes-agency-economics-but-their-contracts-are-still-scrambling-to-catch-up/" TargetMode="External"/><Relationship Id="rId12" Type="http://schemas.openxmlformats.org/officeDocument/2006/relationships/hyperlink" Target="https://www.marketing-interactive.com/anthropic-names-anz-comms-lead-as-apac-expansion-gathers-pace" TargetMode="External"/><Relationship Id="rId13" Type="http://schemas.openxmlformats.org/officeDocument/2006/relationships/hyperlink" Target="https://www.marketing-interactive.com/gen-z-perspectives-new-agency-pairings-and-a-microdrama-plot-twist" TargetMode="External"/><Relationship Id="rId14" Type="http://schemas.openxmlformats.org/officeDocument/2006/relationships/hyperlink" Target="https://linksiwouldgchatyou.substack.com/p/784-the-absurdity-of-the-apocalypse" TargetMode="External"/><Relationship Id="rId15" Type="http://schemas.openxmlformats.org/officeDocument/2006/relationships/hyperlink" Target="https://afterschool.substack.com/p/wellness-darties-and-nostalgiaslop" TargetMode="External"/><Relationship Id="rId16" Type="http://schemas.openxmlformats.org/officeDocument/2006/relationships/hyperlink" Target="https://www.dazeddigital.com/life-culture/article/70929/1/thoughtfluencers-hot-takes-tiny-mics-explainer-epidemic-instagram-tiktok" TargetMode="External"/><Relationship Id="rId17" Type="http://schemas.openxmlformats.org/officeDocument/2006/relationships/hyperlink" Target="https://www.protein.xyz/night-mode/" TargetMode="External"/><Relationship Id="rId18" Type="http://schemas.openxmlformats.org/officeDocument/2006/relationships/hyperlink" Target="https://www.warc.com/feed/barbell-dining-on-the-rise-as-gap-widens-between-consumer-segments-0e761a0bd2c94c82884c1e0b60f37a95" TargetMode="External"/><Relationship Id="rId19" Type="http://schemas.openxmlformats.org/officeDocument/2006/relationships/hyperlink" Target="https://whatsanu.substack.com/p/post-reality-marketing" TargetMode="External"/><Relationship Id="rId20" Type="http://schemas.openxmlformats.org/officeDocument/2006/relationships/hyperlink" Target="https://www.warc.com/article/understanding-future-demand-with-james-hurman-d911225056844f07965ba9430ac8e598" TargetMode="External"/><Relationship Id="rId21" Type="http://schemas.openxmlformats.org/officeDocument/2006/relationships/hyperlink" Target="https://www.warc.com/article/the-psychological-pause-reshaping-the-customer-journey-244f129bbd2b45cda227ff5c4480073a" TargetMode="External"/><Relationship Id="rId22" Type="http://schemas.openxmlformats.org/officeDocument/2006/relationships/hyperlink" Target="https://roastbrief.us/hargreaves-lansdown-calls-out-inactive-banks-in-biggest-savings-campaign-to-date" TargetMode="External"/><Relationship Id="rId23" Type="http://schemas.openxmlformats.org/officeDocument/2006/relationships/hyperlink" Target="https://adage.com/creativity/work/aa-mapquest-directions-to-lake-ontario/" TargetMode="External"/><Relationship Id="rId24" Type="http://schemas.openxmlformats.org/officeDocument/2006/relationships/hyperlink" Target="https://www.marketingdive.com/news/how-columbias-marketing-breaks-through-with-fax-machines-flat-earth/829991/" TargetMode="External"/><Relationship Id="rId25" Type="http://schemas.openxmlformats.org/officeDocument/2006/relationships/hyperlink" Target="https://www.adweek.com/creativity/samsung-taps-couples-therapys-dr-orna-guralnik-to-ease-phone-switching-fears/" TargetMode="External"/><Relationship Id="rId26" Type="http://schemas.openxmlformats.org/officeDocument/2006/relationships/hyperlink" Target="https://www.marketingdive.com/news/cadbury-pairs-crystal-clutch-with-comedy-series-for-major-us-campaign/8301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