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Daily Brief — 2026-09-10</w:t>
      </w:r>
    </w:p>
    <w:p>
      <w:pPr>
        <w:pStyle w:val="Heading1"/>
      </w:pPr>
      <w:r>
        <w:t>Must-knows</w:t>
      </w:r>
    </w:p>
    <w:p>
      <w:pPr>
        <w:pStyle w:val="ListNumber"/>
      </w:pPr>
      <w:r>
        <w:rPr>
          <w:b/>
        </w:rPr>
        <w:t>The creator economy faces a wave of new "fakes" — human actors posing as creators, and AI/digital doubles replacing humans outright</w:t>
      </w:r>
      <w:r>
        <w:t xml:space="preserve"> — a fresh, sharper edge on this summer's AI-slop/authenticity backlash, this time aimed squarely at creator vetting itself. · </w:t>
      </w:r>
      <w:hyperlink r:id="rId9">
        <w:r>
          <w:rPr>
            <w:color w:val="1155CC"/>
            <w:u w:val="single"/>
          </w:rPr>
          <w:t>WARC — Creator industry challenged by a slew of new fakes</w:t>
        </w:r>
      </w:hyperlink>
      <w:r>
        <w:rPr>
          <w:i/>
        </w:rPr>
        <w:t>, Sep 2026</w:t>
      </w:r>
    </w:p>
    <w:p>
      <w:pPr>
        <w:pStyle w:val="ListNumber"/>
      </w:pPr>
      <w:r>
        <w:rPr>
          <w:b/>
        </w:rPr>
        <w:t>Troy Ruhanen retires after 20+ years leading Omnicom Advertising; BBDO's Andrew Robertson named CEO</w:t>
      </w:r>
      <w:r>
        <w:t xml:space="preserve"> — the first major leadership change to land since the Omnicom–IPG integration completed. · </w:t>
      </w:r>
      <w:hyperlink r:id="rId10">
        <w:r>
          <w:rPr>
            <w:color w:val="1155CC"/>
            <w:u w:val="single"/>
          </w:rPr>
          <w:t>Ad Age</w:t>
        </w:r>
      </w:hyperlink>
      <w:r>
        <w:rPr>
          <w:i/>
        </w:rPr>
        <w:t xml:space="preserve">, Sep 2026; also </w:t>
      </w:r>
      <w:hyperlink r:id="rId11">
        <w:r>
          <w:rPr>
            <w:color w:val="1155CC"/>
            <w:u w:val="single"/>
          </w:rPr>
          <w:t>Adweek</w:t>
        </w:r>
      </w:hyperlink>
      <w:r>
        <w:rPr>
          <w:i/>
        </w:rPr>
        <w:t xml:space="preserve"> and </w:t>
      </w:r>
      <w:hyperlink r:id="rId12">
        <w:r>
          <w:rPr>
            <w:color w:val="1155CC"/>
            <w:u w:val="single"/>
          </w:rPr>
          <w:t>LBB Online</w:t>
        </w:r>
      </w:hyperlink>
      <w:r>
        <w:rPr>
          <w:i/>
        </w:rPr>
        <w:t>, Sep 2026</w:t>
      </w:r>
    </w:p>
    <w:p>
      <w:pPr>
        <w:pStyle w:val="ListNumber"/>
      </w:pPr>
      <w:r>
        <w:rPr>
          <w:b/>
        </w:rPr>
        <w:t>Caesars Sportsbook deliberately uses practical effects instead of AI on a Clay Matthews campaign, explicitly betting against "AI slop"</w:t>
      </w:r>
      <w:r>
        <w:t xml:space="preserve"> — a major brand choosing visible, provable craft as the message itself. · </w:t>
      </w:r>
      <w:hyperlink r:id="rId13">
        <w:r>
          <w:rPr>
            <w:color w:val="1155CC"/>
            <w:u w:val="single"/>
          </w:rPr>
          <w:t>LBB Online — Clay Matthews' New Face Raises Eyebrows in Sportsbook's Bet Against AI Slop</w:t>
        </w:r>
      </w:hyperlink>
      <w:r>
        <w:rPr>
          <w:i/>
        </w:rPr>
        <w:t xml:space="preserve">, Sep 2026; also </w:t>
      </w:r>
      <w:hyperlink r:id="rId14">
        <w:r>
          <w:rPr>
            <w:color w:val="1155CC"/>
            <w:u w:val="single"/>
          </w:rPr>
          <w:t>Marketing Dive</w:t>
        </w:r>
      </w:hyperlink>
      <w:r>
        <w:rPr>
          <w:i/>
        </w:rPr>
        <w:t>, Sep 2026</w:t>
      </w:r>
    </w:p>
    <w:p>
      <w:pPr>
        <w:pStyle w:val="Heading1"/>
      </w:pPr>
      <w:r>
        <w:t>Industry Buzz</w:t>
      </w:r>
    </w:p>
    <w:p>
      <w:r>
        <w:rPr>
          <w:b/>
          <w:sz w:val="24"/>
        </w:rPr>
        <w:t>The creator economy faces a wave of new "fakes"</w:t>
      </w:r>
      <w:r>
        <w:rPr>
          <w:b/>
          <w:color w:val="B00020"/>
          <w:sz w:val="18"/>
        </w:rPr>
        <w:t xml:space="preserve">   MUST-KNOW</w:t>
      </w:r>
    </w:p>
    <w:p>
      <w:r>
        <w:rPr>
          <w:b/>
        </w:rPr>
        <w:t xml:space="preserve">Source: </w:t>
      </w:r>
      <w:hyperlink r:id="rId9">
        <w:r>
          <w:rPr>
            <w:color w:val="1155CC"/>
            <w:u w:val="single"/>
          </w:rPr>
          <w:t>WARC</w:t>
        </w:r>
      </w:hyperlink>
      <w:r>
        <w:t>, Sep 2026</w:t>
      </w:r>
    </w:p>
    <w:p>
      <w:r>
        <w:rPr>
          <w:b/>
        </w:rPr>
        <w:t xml:space="preserve">What: </w:t>
      </w:r>
      <w:r>
        <w:t>New reporting finds the creator economy increasingly populated by inauthentic actors — human performers posing as genuine creators, and AI/digital doubles replacing humans in creator roles entirely.</w:t>
      </w:r>
    </w:p>
    <w:p>
      <w:r>
        <w:rPr>
          <w:b/>
        </w:rPr>
        <w:t xml:space="preserve">Why us: </w:t>
      </w:r>
      <w:r>
        <w:t>Sharpens the summer's AI-slop/authenticity thread into a direct creator-vetting risk; Creator Report material on what "verifying a real creator" now has to mean.</w:t>
      </w:r>
    </w:p>
    <w:p/>
    <w:p>
      <w:r>
        <w:rPr>
          <w:b/>
          <w:sz w:val="24"/>
        </w:rPr>
        <w:t>Troy Ruhanen retires from Omnicom Advertising; BBDO's Andrew Robertson named CEO</w:t>
      </w:r>
      <w:r>
        <w:rPr>
          <w:b/>
          <w:color w:val="B00020"/>
          <w:sz w:val="18"/>
        </w:rPr>
        <w:t xml:space="preserve">   MUST-KNOW</w:t>
      </w:r>
    </w:p>
    <w:p>
      <w:r>
        <w:rPr>
          <w:b/>
        </w:rPr>
        <w:t xml:space="preserve">Source: </w:t>
      </w:r>
      <w:hyperlink r:id="rId10">
        <w:r>
          <w:rPr>
            <w:color w:val="1155CC"/>
            <w:u w:val="single"/>
          </w:rPr>
          <w:t>Ad Age</w:t>
        </w:r>
      </w:hyperlink>
      <w:r>
        <w:t xml:space="preserve">, Sep 2026; also </w:t>
      </w:r>
      <w:hyperlink r:id="rId11">
        <w:r>
          <w:rPr>
            <w:color w:val="1155CC"/>
            <w:u w:val="single"/>
          </w:rPr>
          <w:t>Adweek</w:t>
        </w:r>
      </w:hyperlink>
      <w:r>
        <w:t xml:space="preserve"> and </w:t>
      </w:r>
      <w:hyperlink r:id="rId12">
        <w:r>
          <w:rPr>
            <w:color w:val="1155CC"/>
            <w:u w:val="single"/>
          </w:rPr>
          <w:t>LBB Online</w:t>
        </w:r>
      </w:hyperlink>
      <w:r>
        <w:t>, Sep 2026</w:t>
      </w:r>
    </w:p>
    <w:p>
      <w:r>
        <w:rPr>
          <w:b/>
        </w:rPr>
        <w:t xml:space="preserve">What: </w:t>
      </w:r>
      <w:r>
        <w:t>Troy Ruhanen retires as President/CEO of Omnicom Advertising Group after 20+ years; BBDO Worldwide chairman Andrew Robertson succeeds him — the first major leadership change since the Omnicom–IPG integration completed.</w:t>
      </w:r>
    </w:p>
    <w:p>
      <w:r>
        <w:rPr>
          <w:b/>
        </w:rPr>
        <w:t xml:space="preserve">Why us: </w:t>
      </w:r>
      <w:r>
        <w:t>A concrete marker of how the mega-merger is actually reshaping who runs the combined network — sharpens the compounding-not-consolidating pitch with a face and a name, not just a deal size.</w:t>
      </w:r>
    </w:p>
    <w:p/>
    <w:p>
      <w:r>
        <w:rPr>
          <w:b/>
          <w:sz w:val="24"/>
        </w:rPr>
        <w:t>Caesars bets against "AI slop" with a deliberately practical-effects campaign</w:t>
      </w:r>
      <w:r>
        <w:rPr>
          <w:b/>
          <w:color w:val="B00020"/>
          <w:sz w:val="18"/>
        </w:rPr>
        <w:t xml:space="preserve">   MUST-KNOW</w:t>
      </w:r>
    </w:p>
    <w:p>
      <w:r>
        <w:rPr>
          <w:b/>
        </w:rPr>
        <w:t xml:space="preserve">Source: </w:t>
      </w:r>
      <w:hyperlink r:id="rId13">
        <w:r>
          <w:rPr>
            <w:color w:val="1155CC"/>
            <w:u w:val="single"/>
          </w:rPr>
          <w:t>LBB Online</w:t>
        </w:r>
      </w:hyperlink>
      <w:r>
        <w:t xml:space="preserve">, Sep 2026; also </w:t>
      </w:r>
      <w:hyperlink r:id="rId14">
        <w:r>
          <w:rPr>
            <w:color w:val="1155CC"/>
            <w:u w:val="single"/>
          </w:rPr>
          <w:t>Marketing Dive</w:t>
        </w:r>
      </w:hyperlink>
      <w:r>
        <w:t>, Sep 2026</w:t>
      </w:r>
    </w:p>
    <w:p>
      <w:r>
        <w:rPr>
          <w:b/>
        </w:rPr>
        <w:t xml:space="preserve">What: </w:t>
      </w:r>
      <w:r>
        <w:t>Caesars Sportsbook's new Clay Matthews campaign deliberately used practical effects and prosthetics rather than AI, explicitly framing the choice as a rejection of "AI slop."</w:t>
      </w:r>
    </w:p>
    <w:p>
      <w:r>
        <w:rPr>
          <w:b/>
        </w:rPr>
        <w:t xml:space="preserve">Why us: </w:t>
      </w:r>
      <w:r>
        <w:t>A major brand making its AI-abstention the actual message — direct proof point for "craft still wins" in the AI-in-value-chain conversation, and a template worth citing back to a client weighing the same choice.</w:t>
      </w:r>
    </w:p>
    <w:p/>
    <w:p>
      <w:r>
        <w:rPr>
          <w:b/>
          <w:sz w:val="24"/>
        </w:rPr>
        <w:t>Amazon's ad-auction practices face fresh scrutiny amid a wider adtech shakeout</w:t>
      </w:r>
      <w:r>
        <w:rPr>
          <w:b/>
          <w:color w:val="1A5C2A"/>
          <w:sz w:val="18"/>
        </w:rPr>
        <w:t xml:space="preserve">   HIGH-IMPACT</w:t>
      </w:r>
    </w:p>
    <w:p>
      <w:r>
        <w:rPr>
          <w:b/>
        </w:rPr>
        <w:t xml:space="preserve">Source: </w:t>
      </w:r>
      <w:hyperlink r:id="rId15">
        <w:r>
          <w:rPr>
            <w:color w:val="1155CC"/>
            <w:u w:val="single"/>
          </w:rPr>
          <w:t>Digiday</w:t>
        </w:r>
      </w:hyperlink>
      <w:r>
        <w:t>, Sep 2026</w:t>
      </w:r>
    </w:p>
    <w:p>
      <w:r>
        <w:rPr>
          <w:b/>
        </w:rPr>
        <w:t xml:space="preserve">What: </w:t>
      </w:r>
      <w:r>
        <w:t>Amazon's ad-auction practices come under fresh regulatory scrutiny even as Google's adtech monopoly ruling settles into behavioral remedies, with The Trade Desk's recent layoffs cited as evidence independents are absorbing the cost of consolidation.</w:t>
      </w:r>
    </w:p>
    <w:p>
      <w:r>
        <w:rPr>
          <w:b/>
        </w:rPr>
        <w:t xml:space="preserve">Why us: </w:t>
      </w:r>
      <w:r>
        <w:t>Extends this week's adtech-leverage story to a third platform — useful context for any client asking who actually controls programmatic economics right now.</w:t>
      </w:r>
    </w:p>
    <w:p/>
    <w:p>
      <w:r>
        <w:rPr>
          <w:b/>
          <w:sz w:val="24"/>
        </w:rPr>
        <w:t>Five Guys hires its first-ever creative agency of record</w:t>
      </w:r>
      <w:r>
        <w:rPr>
          <w:b/>
          <w:color w:val="1A5C2A"/>
          <w:sz w:val="18"/>
        </w:rPr>
        <w:t xml:space="preserve">   HIGH-IMPACT</w:t>
      </w:r>
    </w:p>
    <w:p>
      <w:r>
        <w:rPr>
          <w:b/>
        </w:rPr>
        <w:t xml:space="preserve">Source: </w:t>
      </w:r>
      <w:hyperlink r:id="rId16">
        <w:r>
          <w:rPr>
            <w:color w:val="1155CC"/>
            <w:u w:val="single"/>
          </w:rPr>
          <w:t>Adweek</w:t>
        </w:r>
      </w:hyperlink>
      <w:r>
        <w:t>, Sep 2026</w:t>
      </w:r>
    </w:p>
    <w:p>
      <w:r>
        <w:rPr>
          <w:b/>
        </w:rPr>
        <w:t xml:space="preserve">What: </w:t>
      </w:r>
      <w:r>
        <w:t>Five Guys, long known for near-zero traditional advertising, hires Mirimar as its first-ever creative AOR to build beyond pure word-of-mouth.</w:t>
      </w:r>
    </w:p>
    <w:p>
      <w:r>
        <w:rPr>
          <w:b/>
        </w:rPr>
        <w:t xml:space="preserve">Why us: </w:t>
      </w:r>
      <w:r>
        <w:t>A cult brand's own admission that earned reputation alone has a ceiling — useful counter-case for the compounding argument when a client cites "we don't need to advertise" as a strategy.</w:t>
      </w:r>
    </w:p>
    <w:p/>
    <w:p>
      <w:r>
        <w:rPr>
          <w:b/>
          <w:sz w:val="24"/>
        </w:rPr>
        <w:t>Standard Chartered embeds GenAI across a wealth-marketing push</w:t>
      </w:r>
      <w:r>
        <w:rPr>
          <w:b/>
          <w:color w:val="1A5C2A"/>
          <w:sz w:val="18"/>
        </w:rPr>
        <w:t xml:space="preserve">   HIGH-IMPACT</w:t>
      </w:r>
    </w:p>
    <w:p>
      <w:r>
        <w:rPr>
          <w:b/>
        </w:rPr>
        <w:t xml:space="preserve">Source: </w:t>
      </w:r>
      <w:hyperlink r:id="rId17">
        <w:r>
          <w:rPr>
            <w:color w:val="1155CC"/>
            <w:u w:val="single"/>
          </w:rPr>
          <w:t>Marketing Interactive</w:t>
        </w:r>
      </w:hyperlink>
      <w:r>
        <w:t>, Sep 2026</w:t>
      </w:r>
    </w:p>
    <w:p>
      <w:r>
        <w:rPr>
          <w:b/>
        </w:rPr>
        <w:t xml:space="preserve">What: </w:t>
      </w:r>
      <w:r>
        <w:t>Standard Chartered uses generative AI to convert hero visuals into short-form video and reach customers via AI-enabled search and local platforms (Naver, YiCai, LINE) as part of a wealth-marketing campaign.</w:t>
      </w:r>
    </w:p>
    <w:p>
      <w:r>
        <w:rPr>
          <w:b/>
        </w:rPr>
        <w:t xml:space="preserve">Why us: </w:t>
      </w:r>
      <w:r>
        <w:t>A concrete instance of AI genuinely embedded across production and distribution, in a category (finance) outside our usual FMCG/Entertainment focus — worth citing as a cross-category AI-in-value-chain proof point.</w:t>
      </w:r>
    </w:p>
    <w:p/>
    <w:p>
      <w:pPr>
        <w:pStyle w:val="Heading1"/>
      </w:pPr>
      <w:r>
        <w:t>Trends</w:t>
      </w:r>
    </w:p>
    <w:p>
      <w:r>
        <w:rPr>
          <w:b/>
          <w:sz w:val="24"/>
        </w:rPr>
        <w:t>Over-40s now belong to more communities than younger cohorts</w:t>
      </w:r>
      <w:r>
        <w:rPr>
          <w:b/>
          <w:color w:val="1A5C2A"/>
          <w:sz w:val="18"/>
        </w:rPr>
        <w:t xml:space="preserve">   HIGH-IMPACT</w:t>
      </w:r>
    </w:p>
    <w:p>
      <w:r>
        <w:rPr>
          <w:b/>
        </w:rPr>
        <w:t xml:space="preserve">Source: </w:t>
      </w:r>
      <w:hyperlink r:id="rId18">
        <w:r>
          <w:rPr>
            <w:color w:val="1155CC"/>
            <w:u w:val="single"/>
          </w:rPr>
          <w:t>Marketing Interactive</w:t>
        </w:r>
      </w:hyperlink>
      <w:r>
        <w:t>, Sep 2026</w:t>
      </w:r>
    </w:p>
    <w:p>
      <w:r>
        <w:rPr>
          <w:b/>
        </w:rPr>
        <w:t xml:space="preserve">What: </w:t>
      </w:r>
      <w:r>
        <w:t>New research finds over-40s belong to significantly more communities than younger cohorts (52.5% vs 39.1%), positioning an often-overlooked segment as unexpectedly high-influence.</w:t>
      </w:r>
    </w:p>
    <w:p>
      <w:r>
        <w:rPr>
          <w:b/>
        </w:rPr>
        <w:t xml:space="preserve">Why us: </w:t>
      </w:r>
      <w:r>
        <w:t>Direct support for the "stop chasing youth" POV logged in July — a fresh, specific number to back the argument that compounding across a brand's full audience beats fixating on the youngest cohort.</w:t>
      </w:r>
    </w:p>
    <w:p/>
    <w:p>
      <w:r>
        <w:rPr>
          <w:b/>
          <w:sz w:val="24"/>
        </w:rPr>
        <w:t>Concert culture's real audience extends well beyond the venue</w:t>
      </w:r>
      <w:r>
        <w:rPr>
          <w:b/>
          <w:color w:val="1A5C2A"/>
          <w:sz w:val="18"/>
        </w:rPr>
        <w:t xml:space="preserve">   HIGH-IMPACT</w:t>
      </w:r>
    </w:p>
    <w:p>
      <w:r>
        <w:rPr>
          <w:b/>
        </w:rPr>
        <w:t xml:space="preserve">Source: </w:t>
      </w:r>
      <w:hyperlink r:id="rId19">
        <w:r>
          <w:rPr>
            <w:color w:val="1155CC"/>
            <w:u w:val="single"/>
          </w:rPr>
          <w:t>Marketing Interactive</w:t>
        </w:r>
      </w:hyperlink>
      <w:r>
        <w:t>, Sep 2026</w:t>
      </w:r>
    </w:p>
    <w:p>
      <w:r>
        <w:rPr>
          <w:b/>
        </w:rPr>
        <w:t xml:space="preserve">What: </w:t>
      </w:r>
      <w:r>
        <w:t>Argues concert-going fandom now extends well beyond the ticketed event itself, into merch, content-sharing and free or community-built experiences around it.</w:t>
      </w:r>
    </w:p>
    <w:p>
      <w:r>
        <w:rPr>
          <w:b/>
        </w:rPr>
        <w:t xml:space="preserve">Why us: </w:t>
      </w:r>
      <w:r>
        <w:t>A Participation-arm proof point for the Loop — the moment a brand can credibly own may not be the ticketed event at all, but everything fans build around it.</w:t>
      </w:r>
    </w:p>
    <w:p/>
    <w:p>
      <w:r>
        <w:rPr>
          <w:b/>
          <w:sz w:val="24"/>
        </w:rPr>
        <w:t>"Digital twins" can predict purchase behaviour with 80%+ accuracy</w:t>
      </w:r>
      <w:r>
        <w:rPr>
          <w:b/>
          <w:color w:val="1A5C2A"/>
          <w:sz w:val="18"/>
        </w:rPr>
        <w:t xml:space="preserve">   HIGH-IMPACT</w:t>
      </w:r>
    </w:p>
    <w:p>
      <w:r>
        <w:rPr>
          <w:b/>
        </w:rPr>
        <w:t xml:space="preserve">Source: </w:t>
      </w:r>
      <w:hyperlink r:id="rId20">
        <w:r>
          <w:rPr>
            <w:color w:val="1155CC"/>
            <w:u w:val="single"/>
          </w:rPr>
          <w:t>WARC</w:t>
        </w:r>
      </w:hyperlink>
      <w:r>
        <w:t>, Sep 2026</w:t>
      </w:r>
    </w:p>
    <w:p>
      <w:r>
        <w:rPr>
          <w:b/>
        </w:rPr>
        <w:t xml:space="preserve">What: </w:t>
      </w:r>
      <w:r>
        <w:t>New research finds AI-modelled "digital twin" audiences can predict e-commerce purchase behaviour with over 80% accuracy given the right inputs.</w:t>
      </w:r>
    </w:p>
    <w:p>
      <w:r>
        <w:rPr>
          <w:b/>
        </w:rPr>
        <w:t xml:space="preserve">Why us: </w:t>
      </w:r>
      <w:r>
        <w:t>A concrete AI-in-value-chain proof point for measurement and targeting specifically — useful precedent the next time a client asks what AI can credibly do for prediction, not just production.</w:t>
      </w:r>
    </w:p>
    <w:p/>
    <w:p>
      <w:r>
        <w:rPr>
          <w:b/>
          <w:sz w:val="24"/>
        </w:rPr>
        <w:t>Coastal influencers content-ify the Minnesota State Fair; teens flip parental surveillance</w:t>
      </w:r>
      <w:r>
        <w:rPr>
          <w:b/>
          <w:color w:val="606060"/>
          <w:sz w:val="18"/>
        </w:rPr>
        <w:t xml:space="preserve">   SIGNAL</w:t>
      </w:r>
    </w:p>
    <w:p>
      <w:r>
        <w:rPr>
          <w:b/>
        </w:rPr>
        <w:t xml:space="preserve">Source: </w:t>
      </w:r>
      <w:hyperlink r:id="rId21">
        <w:r>
          <w:rPr>
            <w:color w:val="1155CC"/>
            <w:u w:val="single"/>
          </w:rPr>
          <w:t>After School</w:t>
        </w:r>
      </w:hyperlink>
      <w:r>
        <w:t>, Sep 2026</w:t>
      </w:r>
    </w:p>
    <w:p>
      <w:r>
        <w:rPr>
          <w:b/>
        </w:rPr>
        <w:t xml:space="preserve">What: </w:t>
      </w:r>
      <w:r>
        <w:t>Coastal influencers are treating the Minnesota State Fair as an exotic content destination, while some teens now track their parents' locations, flipping the usual parental-surveillance dynamic.</w:t>
      </w:r>
    </w:p>
    <w:p>
      <w:r>
        <w:rPr>
          <w:b/>
        </w:rPr>
        <w:t xml:space="preserve">Why us: </w:t>
      </w:r>
      <w:r>
        <w:t>A small but sharp instance of surveillance-as-culture cutting in an unexpected direction — watch-line for the surveillance-panic thread tracked over the summer.</w:t>
      </w:r>
    </w:p>
    <w:p/>
    <w:p>
      <w:pPr>
        <w:pStyle w:val="Heading1"/>
      </w:pPr>
      <w:r>
        <w:t>POVs</w:t>
      </w:r>
    </w:p>
    <w:p>
      <w:r>
        <w:t>Nothing cleared the bar today — no named-voice opinion piece surfaced across this week's sources that offered a genuine argument rather than a data point or news item.</w:t>
      </w:r>
    </w:p>
    <w:p>
      <w:pPr>
        <w:pStyle w:val="Heading1"/>
      </w:pPr>
      <w:r>
        <w:t>Misc</w:t>
      </w:r>
    </w:p>
    <w:p>
      <w:r>
        <w:rPr>
          <w:b/>
          <w:sz w:val="24"/>
        </w:rPr>
        <w:t>"Doll Invasion" reshapes Fire Island Pines through grassroots organising</w:t>
      </w:r>
      <w:r>
        <w:rPr>
          <w:b/>
          <w:color w:val="606060"/>
          <w:sz w:val="18"/>
        </w:rPr>
        <w:t xml:space="preserve">   SIGNAL</w:t>
      </w:r>
    </w:p>
    <w:p>
      <w:r>
        <w:rPr>
          <w:b/>
        </w:rPr>
        <w:t xml:space="preserve">Source: </w:t>
      </w:r>
      <w:hyperlink r:id="rId22">
        <w:r>
          <w:rPr>
            <w:color w:val="1155CC"/>
            <w:u w:val="single"/>
          </w:rPr>
          <w:t>Dazed</w:t>
        </w:r>
      </w:hyperlink>
      <w:r>
        <w:t>, Sep 2026</w:t>
      </w:r>
    </w:p>
    <w:p>
      <w:r>
        <w:rPr>
          <w:b/>
        </w:rPr>
        <w:t xml:space="preserve">What: </w:t>
      </w:r>
      <w:r>
        <w:t>A trans-led weekend event, "Doll Invasion," reshapes Fire Island Pines — a historically gay-male-dominated queer institution — through grassroots community organising.</w:t>
      </w:r>
    </w:p>
    <w:p>
      <w:r>
        <w:rPr>
          <w:b/>
        </w:rPr>
        <w:t xml:space="preserve">Why us: </w:t>
      </w:r>
      <w:r>
        <w:t>A Participation-arm instance worth logging for pattern-tracking on how communities reshape legacy spaces from within, relevant to any brief on community-building credibility.</w:t>
      </w:r>
    </w:p>
    <w:p/>
    <w:p>
      <w:r>
        <w:rPr>
          <w:b/>
          <w:sz w:val="24"/>
        </w:rPr>
        <w:t>MINISO expands its LISA collaboration into a global pop-up tour</w:t>
      </w:r>
      <w:r>
        <w:rPr>
          <w:b/>
          <w:color w:val="606060"/>
          <w:sz w:val="18"/>
        </w:rPr>
        <w:t xml:space="preserve">   SIGNAL</w:t>
      </w:r>
    </w:p>
    <w:p>
      <w:r>
        <w:rPr>
          <w:b/>
        </w:rPr>
        <w:t xml:space="preserve">Source: </w:t>
      </w:r>
      <w:hyperlink r:id="rId23">
        <w:r>
          <w:rPr>
            <w:color w:val="1155CC"/>
            <w:u w:val="single"/>
          </w:rPr>
          <w:t>Marketing Interactive</w:t>
        </w:r>
      </w:hyperlink>
      <w:r>
        <w:t>, Sep 2026</w:t>
      </w:r>
    </w:p>
    <w:p>
      <w:r>
        <w:rPr>
          <w:b/>
        </w:rPr>
        <w:t xml:space="preserve">What: </w:t>
      </w:r>
      <w:r>
        <w:t>MINISO expands its K-pop star LISA collaboration into a global pop-up tour, moving from Bangkok through China and Jakarta into North America.</w:t>
      </w:r>
    </w:p>
    <w:p>
      <w:r>
        <w:rPr>
          <w:b/>
        </w:rPr>
        <w:t xml:space="preserve">Why us: </w:t>
      </w:r>
      <w:r>
        <w:t>Another instance of borrowed-IP tentpole activation via K-pop fandom — pattern-tracking alongside this summer's other borrowed-celebrity-capital plays.</w:t>
      </w:r>
    </w:p>
    <w:p/>
    <w:p>
      <w:r>
        <w:rPr>
          <w:i/>
          <w:color w:val="707070"/>
          <w:sz w:val="18"/>
        </w:rPr>
        <w:t>Logged to ledger: 12 items (3 must-know, 6 high-impact, 3 signal).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Tight" w:hAnsi="Inter Tight" w:cs="Inter Tight" w:eastAsia="Inter Tight"/>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Inter Tight" w:hAnsi="Inter Tight" w:cs="Inter Tight" w:eastAsia="Inter Tight"/>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Inter Tight" w:hAnsi="Inter Tight" w:cs="Inter Tight" w:eastAsia="Inter Tight"/>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Inter Tight" w:hAnsi="Inter Tight" w:cs="Inter Tight" w:eastAsia="Inter Tight"/>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Inter Tight" w:hAnsi="Inter Tight" w:cs="Inter Tight" w:eastAsia="Inter Tight"/>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Inter Tight" w:hAnsi="Inter Tight" w:cs="Inter Tight" w:eastAsia="Inter Tight"/>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warc.com/en/feed/creator-industry-challenged-by-a-slew-of-new-fakes-803cd772e87642b3b931eb67f382f2b5" TargetMode="External"/><Relationship Id="rId10" Type="http://schemas.openxmlformats.org/officeDocument/2006/relationships/hyperlink" Target="https://adage.com/agencies/aa-troy-ruhanen-leaves-omnicom-advertising-group/" TargetMode="External"/><Relationship Id="rId11" Type="http://schemas.openxmlformats.org/officeDocument/2006/relationships/hyperlink" Target="https://www.adweek.com/agencies/andrew-robertson-to-lead-omnicom-advertising-as-troy-ruhanen-retires/" TargetMode="External"/><Relationship Id="rId12" Type="http://schemas.openxmlformats.org/officeDocument/2006/relationships/hyperlink" Target="https://lbbonline.com/news/troy-ruhanen-retiring-omnicom-advertising" TargetMode="External"/><Relationship Id="rId13" Type="http://schemas.openxmlformats.org/officeDocument/2006/relationships/hyperlink" Target="https://lbbonline.com/news/clay-matthews-face-work-done-caesars-sportsbook" TargetMode="External"/><Relationship Id="rId14" Type="http://schemas.openxmlformats.org/officeDocument/2006/relationships/hyperlink" Target="https://www.marketingdive.com/news/caesars-gives-nfl-legend-a-looksmaxxing-makeover-in-sportsbook-ads/829915/" TargetMode="External"/><Relationship Id="rId15" Type="http://schemas.openxmlformats.org/officeDocument/2006/relationships/hyperlink" Target="https://digiday.com/marketing/ad-tech-briefing-regulatory-storm-cloud-gather-and-scatter-over-big-tech-and-indies-count-the-cost/" TargetMode="External"/><Relationship Id="rId16" Type="http://schemas.openxmlformats.org/officeDocument/2006/relationships/hyperlink" Target="https://www.adweek.com/agencies/five-guys-chooses-mirimar-as-creative-aor-to-share-its-story-and-go-beyond-word-of-mouth/" TargetMode="External"/><Relationship Id="rId17" Type="http://schemas.openxmlformats.org/officeDocument/2006/relationships/hyperlink" Target="https://www.marketing-interactive.com/standard-chartered-takes-its-wealth-push-into-the-ai-era" TargetMode="External"/><Relationship Id="rId18" Type="http://schemas.openxmlformats.org/officeDocument/2006/relationships/hyperlink" Target="https://www.marketing-interactive.com/forget-the-midlife-crisis-the-over-40s-are-entering-their-prime" TargetMode="External"/><Relationship Id="rId19" Type="http://schemas.openxmlformats.org/officeDocument/2006/relationships/hyperlink" Target="https://www.marketing-interactive.com/concert-culture-is-booming-but-the-audience-is-bigger-than-the-venue" TargetMode="External"/><Relationship Id="rId20" Type="http://schemas.openxmlformats.org/officeDocument/2006/relationships/hyperlink" Target="https://www.warc.com/en/feed/digital-twins-can-predict-behavior-5e55d338f5f04835b505808516bca45c" TargetMode="External"/><Relationship Id="rId21" Type="http://schemas.openxmlformats.org/officeDocument/2006/relationships/hyperlink" Target="https://afterschool.substack.com/p/fambushed-and-fairmaxxing" TargetMode="External"/><Relationship Id="rId22" Type="http://schemas.openxmlformats.org/officeDocument/2006/relationships/hyperlink" Target="https://www.dazeddigital.com/life-culture/article/70908/1/doll-invasion-fire-island-pines-2026" TargetMode="External"/><Relationship Id="rId23" Type="http://schemas.openxmlformats.org/officeDocument/2006/relationships/hyperlink" Target="https://www.marketing-interactive.com/miniso-turns-lisa-partnership-into-global-pop-up-experie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