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2026-09-09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Coca-Cola opens a review of its North America media account at Publicis, days after Publicis poached PepsiCo from Omnicom</w:t>
      </w:r>
      <w:r>
        <w:t xml:space="preserve"> — incumbent WPP now under direct pressure as Publicis's AI-driven unified-media pitch lands with a second top-tier FMCG advertiser in a week. · </w:t>
      </w:r>
      <w:hyperlink r:id="rId9">
        <w:r>
          <w:rPr>
            <w:color w:val="1155CC"/>
            <w:u w:val="single"/>
          </w:rPr>
          <w:t>Ad Age — Coca-Cola to review North America media account, at Publicis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A federal judge finds Google holds an illegal adtech monopoly but denies a forced breakup, ordering behavioral remedies instead</w:t>
      </w:r>
      <w:r>
        <w:t xml:space="preserve"> — reshapes the leverage question in programmatic media without redrawing the map. · </w:t>
      </w:r>
      <w:hyperlink r:id="rId10">
        <w:r>
          <w:rPr>
            <w:color w:val="1155CC"/>
            <w:u w:val="single"/>
          </w:rPr>
          <w:t>Adweek — Google Won't Be Forced to Break Up Adtech Biz, Even After Monopoly Ruling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Brands are quietly rewriting the creator brief for AI: checking whether a creator already surfaces in AI-generated answers before booking them</w:t>
      </w:r>
      <w:r>
        <w:t xml:space="preserve"> — AEO-style visibility criteria layered on top of traditional creator vetting. · </w:t>
      </w:r>
      <w:hyperlink r:id="rId11">
        <w:r>
          <w:rPr>
            <w:color w:val="1155CC"/>
            <w:u w:val="single"/>
          </w:rPr>
          <w:t>Digiday — Inside marketing's quiet rewrite of the creator brief for AI</w:t>
        </w:r>
      </w:hyperlink>
      <w:r>
        <w:rPr>
          <w:i/>
        </w:rPr>
        <w:t>, Sep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Coca-Cola opens a North America media review at Publicis, days after the PepsiCo/Omnicom move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 Age</w:t>
        </w:r>
      </w:hyperlink>
      <w:r>
        <w:t>, Sep 2026</w:t>
      </w:r>
    </w:p>
    <w:p>
      <w:r>
        <w:rPr>
          <w:b/>
        </w:rPr>
        <w:t xml:space="preserve">What: </w:t>
      </w:r>
      <w:r>
        <w:t>Coca-Cola opens a review of its North America media relationship, with Publicis positioned to take share from incumbent WPP — days after Publicis pulled PepsiCo's global media business from Omnicom without a formal pitch.</w:t>
      </w:r>
    </w:p>
    <w:p>
      <w:r>
        <w:rPr>
          <w:b/>
        </w:rPr>
        <w:t xml:space="preserve">Why us: </w:t>
      </w:r>
      <w:r>
        <w:t>Two of the largest FMCG advertisers circling one network in a single week sharpens the compounding-not-consolidating pitch with fresh, concrete stakes; also a live test of whether an AI-driven unified-media pitch is what's actually winning share now. FMCG Report material.</w:t>
      </w:r>
    </w:p>
    <w:p/>
    <w:p>
      <w:r>
        <w:rPr>
          <w:b/>
          <w:sz w:val="24"/>
        </w:rPr>
        <w:t>Google won't be forced to break up its adtech business, despite a monopoly ruling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</w:t>
        </w:r>
      </w:hyperlink>
      <w:r>
        <w:t>, Sep 2026</w:t>
      </w:r>
    </w:p>
    <w:p>
      <w:r>
        <w:rPr>
          <w:b/>
        </w:rPr>
        <w:t xml:space="preserve">What: </w:t>
      </w:r>
      <w:r>
        <w:t>A federal judge ruled Google holds an illegal adtech monopoly but denied the DOJ's request to force a breakup, ordering behavioral remedies instead.</w:t>
      </w:r>
    </w:p>
    <w:p>
      <w:r>
        <w:rPr>
          <w:b/>
        </w:rPr>
        <w:t xml:space="preserve">Why us: </w:t>
      </w:r>
      <w:r>
        <w:t>Reshapes the leverage question in programmatic/adtech economics without redrawing the market map — a live C-suite question on what actually changes for media buying and measurement now the ruling has landed.</w:t>
      </w:r>
    </w:p>
    <w:p/>
    <w:p>
      <w:r>
        <w:rPr>
          <w:b/>
          <w:sz w:val="24"/>
        </w:rPr>
        <w:t>Marketing quietly rewrites the creator brief for AI visibility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Digiday</w:t>
        </w:r>
      </w:hyperlink>
      <w:r>
        <w:t>, Sep 2026</w:t>
      </w:r>
    </w:p>
    <w:p>
      <w:r>
        <w:rPr>
          <w:b/>
        </w:rPr>
        <w:t xml:space="preserve">What: </w:t>
      </w:r>
      <w:r>
        <w:t>Brands are now checking whether a creator already surfaces in AI-generated answers or LLM citations before briefing them — AEO-style visibility criteria layered on top of traditional reach and engagement vetting.</w:t>
      </w:r>
    </w:p>
    <w:p>
      <w:r>
        <w:rPr>
          <w:b/>
        </w:rPr>
        <w:t xml:space="preserve">Why us: </w:t>
      </w:r>
      <w:r>
        <w:t>A direct, mechanic-level convergence of two of our own named hot buttons — LLM visibility and creator marketing — in one sentence; a sharp new criterion to bring into any creator-partnership conversation. Creator Report material.</w:t>
      </w:r>
    </w:p>
    <w:p/>
    <w:p>
      <w:r>
        <w:rPr>
          <w:b/>
          <w:sz w:val="24"/>
        </w:rPr>
        <w:t>Campbell's reallocates ~85% of working media budget to social, influencer, e-commerce and AI platforms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 Dive</w:t>
        </w:r>
      </w:hyperlink>
      <w:r>
        <w:t>, Sep 2026</w:t>
      </w:r>
    </w:p>
    <w:p>
      <w:r>
        <w:rPr>
          <w:b/>
        </w:rPr>
        <w:t xml:space="preserve">What: </w:t>
      </w:r>
      <w:r>
        <w:t>Campbell's is concentrating spend on high-growth brands (Rao's, Goldfish) via social, influencer, e-commerce and AI-powered platforms, to offset declining sales elsewhere.</w:t>
      </w:r>
    </w:p>
    <w:p>
      <w:r>
        <w:rPr>
          <w:b/>
        </w:rPr>
        <w:t xml:space="preserve">Why us: </w:t>
      </w:r>
      <w:r>
        <w:t>A hard number for a top-tier CPG betting its media mix on exactly the channels we specialise in; FMCG Report material and a live instance of reallocating to what's proven rather than chasing everything.</w:t>
      </w:r>
    </w:p>
    <w:p/>
    <w:p>
      <w:r>
        <w:rPr>
          <w:b/>
          <w:sz w:val="24"/>
        </w:rPr>
        <w:t>PrettyGreen names a Managing Partner to embed AI into social and creator work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LBB Online</w:t>
        </w:r>
      </w:hyperlink>
      <w:r>
        <w:t>, Sep 2026</w:t>
      </w:r>
    </w:p>
    <w:p>
      <w:r>
        <w:rPr>
          <w:b/>
        </w:rPr>
        <w:t xml:space="preserve">What: </w:t>
      </w:r>
      <w:r>
        <w:t>PrettyGreen appoints Steve Parker (ex-Stripe Communications) Managing Partner for Social &amp; Influencer, tasked with embedding AI into the agency's social/creator ways of working, following its PinPoint Media acquisition.</w:t>
      </w:r>
    </w:p>
    <w:p>
      <w:r>
        <w:rPr>
          <w:b/>
        </w:rPr>
        <w:t xml:space="preserve">Why us: </w:t>
      </w:r>
      <w:r>
        <w:t>Another agency formalising a dedicated AI-plus-creator leadership role — continues the pattern from Archetype's AEO push, Dentsu's AI capability, Saylor's Fleet, and SuperHeroes' AI Creative Director; competitors are packaging this as a named, sellable practice.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IPA: Brits are increasingly consuming commercial media alone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WARC</w:t>
        </w:r>
      </w:hyperlink>
      <w:r>
        <w:t>, Sep 2026</w:t>
      </w:r>
    </w:p>
    <w:p>
      <w:r>
        <w:rPr>
          <w:b/>
        </w:rPr>
        <w:t xml:space="preserve">What: </w:t>
      </w:r>
      <w:r>
        <w:t>New IPA research finds UK audiences increasingly consuming commercial media alone rather than communally, shifting the context brands actually reach people in.</w:t>
      </w:r>
    </w:p>
    <w:p>
      <w:r>
        <w:rPr>
          <w:b/>
        </w:rPr>
        <w:t xml:space="preserve">Why us: </w:t>
      </w:r>
      <w:r>
        <w:t>A structural attention-context shift worth naming before a client assumes shared/communal viewing still holds; useful grounding for any POV on where and how a brand's message is actually being received.</w:t>
      </w:r>
    </w:p>
    <w:p/>
    <w:p>
      <w:r>
        <w:rPr>
          <w:b/>
          <w:sz w:val="24"/>
        </w:rPr>
        <w:t>A wave of nostalgia-driven brand revivals lands together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</w:t>
        </w:r>
      </w:hyperlink>
      <w:r>
        <w:t>, Sep 2026</w:t>
      </w:r>
    </w:p>
    <w:p>
      <w:r>
        <w:rPr>
          <w:b/>
        </w:rPr>
        <w:t xml:space="preserve">What: </w:t>
      </w:r>
      <w:r>
        <w:t>Target's dELiA*s collection, a WYouth magazine relaunch, and a new Gap bag line all draw on past design codes in the same week.</w:t>
      </w:r>
    </w:p>
    <w:p>
      <w:r>
        <w:rPr>
          <w:b/>
        </w:rPr>
        <w:t xml:space="preserve">Why us: </w:t>
      </w:r>
      <w:r>
        <w:t>A fresh cluster instance of the analog/nostalgia-revival thread tracked across the summer, now specifically expressed as brands mining their own or a category's dormant archive — Think Forward material on how far "revival as strategy" travels.</w:t>
      </w:r>
    </w:p>
    <w:p/>
    <w:p>
      <w:r>
        <w:rPr>
          <w:b/>
          <w:sz w:val="24"/>
        </w:rPr>
        <w:t>Feed Me's "Black Book" format returns for London beauty and wellness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Feed Me</w:t>
        </w:r>
      </w:hyperlink>
      <w:r>
        <w:t>, Sep 2026</w:t>
      </w:r>
    </w:p>
    <w:p>
      <w:r>
        <w:rPr>
          <w:b/>
        </w:rPr>
        <w:t xml:space="preserve">What: </w:t>
      </w:r>
      <w:r>
        <w:t>A crowdsourced guide to 40+ recommended London skincare and wellness practitioners — the same "Black Book" mechanic Feed Me has now run for California and New York's East End.</w:t>
      </w:r>
    </w:p>
    <w:p>
      <w:r>
        <w:rPr>
          <w:b/>
        </w:rPr>
        <w:t xml:space="preserve">Why us: </w:t>
      </w:r>
      <w:r>
        <w:t>A third instance of the same reputation-earned-person-by-person mechanic; worth naming directly as its own unfakeable-capital pattern rather than three separate one-offs. Beauty &amp; Wellness material.</w:t>
      </w:r>
    </w:p>
    <w:p/>
    <w:p>
      <w:r>
        <w:rPr>
          <w:b/>
          <w:sz w:val="24"/>
        </w:rPr>
        <w:t>Asian artists are increasingly influencing Western pop, not the reverse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Dazed</w:t>
        </w:r>
      </w:hyperlink>
      <w:r>
        <w:t>, Sep 2026</w:t>
      </w:r>
    </w:p>
    <w:p>
      <w:r>
        <w:rPr>
          <w:b/>
        </w:rPr>
        <w:t xml:space="preserve">What: </w:t>
      </w:r>
      <w:r>
        <w:t>Chinese pop artist Lexie Liu and Korean artist Yves discuss Asian artists increasingly shaping Western pop culture rather than following it.</w:t>
      </w:r>
    </w:p>
    <w:p>
      <w:r>
        <w:rPr>
          <w:b/>
        </w:rPr>
        <w:t xml:space="preserve">Why us: </w:t>
      </w:r>
      <w:r>
        <w:t>Extends the "K-culture matures into a lifestyle category" thread from earlier in the summer with a specific artist-level instance; Entertainment category watch-line.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The Atlantic: "There's No Such Thing as an AI 'Lab'"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Argues that calling AI companies "labs" is branding, not description, and obscures that they are commercial product businesses like any other.</w:t>
      </w:r>
    </w:p>
    <w:p>
      <w:r>
        <w:rPr>
          <w:b/>
        </w:rPr>
        <w:t xml:space="preserve">Why us: </w:t>
      </w:r>
      <w:r>
        <w:t>A useful precision for our own language when discussing AI partners or vendors — worth not borrowing industry branding uncritically in our own culture POVs.</w:t>
      </w:r>
    </w:p>
    <w:p/>
    <w:p>
      <w:r>
        <w:rPr>
          <w:b/>
          <w:sz w:val="24"/>
        </w:rPr>
        <w:t>The Atlantic: teenagers are resisting classic independence milestones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Reports that teenagers are increasingly resisting milestones like learning to drive, delaying a rite of passage previous generations took for granted.</w:t>
      </w:r>
    </w:p>
    <w:p>
      <w:r>
        <w:rPr>
          <w:b/>
        </w:rPr>
        <w:t xml:space="preserve">Why us: </w:t>
      </w:r>
      <w:r>
        <w:t>A small but concrete data point for the Creator Report and Think Forward on how Gen Z/Alpha's markers of "growing up" are shifting — useful texture for any youth-audience culture POV.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A podcaster apologises after a prediction-market ad tied to a real tragedy trial draws backlash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The Cut</w:t>
        </w:r>
      </w:hyperlink>
      <w:r>
        <w:t>, Sep 2026</w:t>
      </w:r>
    </w:p>
    <w:p>
      <w:r>
        <w:rPr>
          <w:b/>
        </w:rPr>
        <w:t xml:space="preserve">What: </w:t>
      </w:r>
      <w:r>
        <w:t>Amanda Hirsch publicly apologised after facing backlash over a Polymarket ad tied to the Lindsay Clancy criminal trial.</w:t>
      </w:r>
    </w:p>
    <w:p>
      <w:r>
        <w:rPr>
          <w:b/>
        </w:rPr>
        <w:t xml:space="preserve">Why us: </w:t>
      </w:r>
      <w:r>
        <w:t>A cautionary instance of the prediction-market-advertising trend (seen earlier with Kalshi and Polymarket's ATP deal) tipping into reputational risk when tied to real tragedy — a live boundary case worth having a position on before a client asks about betting-market partnerships.</w:t>
      </w:r>
    </w:p>
    <w:p/>
    <w:p>
      <w:r>
        <w:rPr>
          <w:b/>
          <w:sz w:val="24"/>
        </w:rPr>
        <w:t>WARC: four rules for effective CTV home-screen advertising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WARC</w:t>
        </w:r>
      </w:hyperlink>
      <w:r>
        <w:t>, Sep 2026</w:t>
      </w:r>
    </w:p>
    <w:p>
      <w:r>
        <w:rPr>
          <w:b/>
        </w:rPr>
        <w:t xml:space="preserve">What: </w:t>
      </w:r>
      <w:r>
        <w:t>New guidance lays out four rules for advertising on the CTV/smart-TV home screen as an emerging ad surface.</w:t>
      </w:r>
    </w:p>
    <w:p>
      <w:r>
        <w:rPr>
          <w:b/>
        </w:rPr>
        <w:t xml:space="preserve">Why us: </w:t>
      </w:r>
      <w:r>
        <w:t>Platform-feature fluency watch-line — worth a look next time a client asks about CTV as a channel beyond in-stream video ads.</w:t>
      </w:r>
    </w:p>
    <w:p/>
    <w:p>
      <w:r>
        <w:rPr>
          <w:i/>
          <w:color w:val="707070"/>
          <w:sz w:val="18"/>
        </w:rPr>
        <w:t>Logged to ledger: 13 items (3 must-know, 6 high-impact, 4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ge.com/agencies/accounts-in-review/aa-coca-cola-publicis-to-review-north-america-media-relationship-after-pepsico-move/" TargetMode="External"/><Relationship Id="rId10" Type="http://schemas.openxmlformats.org/officeDocument/2006/relationships/hyperlink" Target="https://www.adweek.com/media/google-wont-be-forced-to-break-up-adtech-biz-even-after-monopoly-ruling/" TargetMode="External"/><Relationship Id="rId11" Type="http://schemas.openxmlformats.org/officeDocument/2006/relationships/hyperlink" Target="https://digiday.com/marketing/future-of-marketing-brands-want-creators-who-can-win-over-humans-and-machines-at-once/" TargetMode="External"/><Relationship Id="rId12" Type="http://schemas.openxmlformats.org/officeDocument/2006/relationships/hyperlink" Target="https://www.marketingdive.com/news/campbells-heats-up-digital-focus-amid-marketing-reformulation/829764/" TargetMode="External"/><Relationship Id="rId13" Type="http://schemas.openxmlformats.org/officeDocument/2006/relationships/hyperlink" Target="https://lbbonline.com/news/PrettyGreen-Steve-Parker-Social-Influencer" TargetMode="External"/><Relationship Id="rId14" Type="http://schemas.openxmlformats.org/officeDocument/2006/relationships/hyperlink" Target="https://www.warc.com/en/feed/ipa-brits-are-increasingly-consuming-commercial-media-alone-8c645ae374af4f068b3ba960b8032cde" TargetMode="External"/><Relationship Id="rId15" Type="http://schemas.openxmlformats.org/officeDocument/2006/relationships/hyperlink" Target="https://afterschool.substack.com/p/wellness-darties-and-nostalgiaslop" TargetMode="External"/><Relationship Id="rId16" Type="http://schemas.openxmlformats.org/officeDocument/2006/relationships/hyperlink" Target="https://www.readfeedme.com/p/the-london-beauty-and-wellness-black" TargetMode="External"/><Relationship Id="rId17" Type="http://schemas.openxmlformats.org/officeDocument/2006/relationships/hyperlink" Target="https://www.dazeddigital.com/music/article/70900/1/lexie-liu-meets-yves-china-k-pop-korea-interview-2026-bts-grammys" TargetMode="External"/><Relationship Id="rId18" Type="http://schemas.openxmlformats.org/officeDocument/2006/relationships/hyperlink" Target="https://www.theatlantic.com/technology/2026/09/stop-calling-ai-companies-labs/688528/" TargetMode="External"/><Relationship Id="rId19" Type="http://schemas.openxmlformats.org/officeDocument/2006/relationships/hyperlink" Target="https://www.theatlantic.com/family/2026/09/teen-driving-lessons/688534/" TargetMode="External"/><Relationship Id="rId20" Type="http://schemas.openxmlformats.org/officeDocument/2006/relationships/hyperlink" Target="https://www.thecut.com/article/amanda-hirsch-apology-lindsay-clancy-polymarket-ad.html" TargetMode="External"/><Relationship Id="rId21" Type="http://schemas.openxmlformats.org/officeDocument/2006/relationships/hyperlink" Target="https://www.warc.com/en/feed/four-rules-for-effective-ctv-home-screen-advertising-8416db6534f44bf48161d86a14ecef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