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2026-09-01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Meta settles youth-mental-health claims for up to $18bn — a live test of what platform trust-repair looks like at scale</w:t>
      </w:r>
      <w:r>
        <w:t xml:space="preserve"> — Meta admits no wrongdoing but commits to real design changes for under-18 users, and WARC argues the settlement may open the door to wider industry scrutiny rather than closing the story. · </w:t>
      </w:r>
      <w:hyperlink r:id="rId9">
        <w:r>
          <w:rPr>
            <w:color w:val="1155CC"/>
            <w:u w:val="single"/>
          </w:rPr>
          <w:t>Ad Age — Meta agrees to pay up to $18 billion over social media claims</w:t>
        </w:r>
      </w:hyperlink>
      <w:r>
        <w:rPr>
          <w:i/>
        </w:rPr>
        <w:t xml:space="preserve">, Aug 26 2026; also </w:t>
      </w:r>
      <w:hyperlink r:id="rId10">
        <w:r>
          <w:rPr>
            <w:color w:val="1155CC"/>
            <w:u w:val="single"/>
          </w:rPr>
          <w:t>WARC</w:t>
        </w:r>
      </w:hyperlink>
      <w:r>
        <w:rPr>
          <w:i/>
        </w:rPr>
        <w:t>, Aug 28 2026</w:t>
      </w:r>
    </w:p>
    <w:p>
      <w:pPr>
        <w:pStyle w:val="ListNumber"/>
      </w:pPr>
      <w:r>
        <w:rPr>
          <w:b/>
        </w:rPr>
        <w:t>Three separate court cases now converge on the same allegation: WPP ran a global media-rebate scheme</w:t>
      </w:r>
      <w:r>
        <w:t xml:space="preserve"> — a whistleblower suit, a Sony-commissioned probe, and a China conviction all point the same direction, reopening adland's oldest transparency fight. · </w:t>
      </w:r>
      <w:hyperlink r:id="rId11">
        <w:r>
          <w:rPr>
            <w:color w:val="1155CC"/>
            <w:u w:val="single"/>
          </w:rPr>
          <w:t>Adweek — WPP's Alleged Global Rebate Scheme, Told Through Three Court Cases</w:t>
        </w:r>
      </w:hyperlink>
      <w:r>
        <w:rPr>
          <w:i/>
        </w:rPr>
        <w:t>, Aug 31 2026</w:t>
      </w:r>
    </w:p>
    <w:p>
      <w:pPr>
        <w:pStyle w:val="ListNumber"/>
      </w:pPr>
      <w:r>
        <w:rPr>
          <w:b/>
        </w:rPr>
        <w:t>WARC/PHD: AI agents will drive $3.35tn of consumer spend by 2030, up from $944bn today</w:t>
      </w:r>
      <w:r>
        <w:t xml:space="preserve"> — brands now need to be legible to machines making the purchase decision, not just emotionally resonant to the person nearby. · </w:t>
      </w:r>
      <w:hyperlink r:id="rId12">
        <w:r>
          <w:rPr>
            <w:color w:val="1155CC"/>
            <w:u w:val="single"/>
          </w:rPr>
          <w:t>WARC — Agentic AI and the new delegation of consumer choice</w:t>
        </w:r>
      </w:hyperlink>
      <w:r>
        <w:rPr>
          <w:i/>
        </w:rPr>
        <w:t>, Aug 18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Meta settles youth-mental-health claims for up to $18bn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 Age</w:t>
        </w:r>
      </w:hyperlink>
      <w:r>
        <w:t xml:space="preserve">, Aug 26 2026; also </w:t>
      </w:r>
      <w:hyperlink r:id="rId10">
        <w:r>
          <w:rPr>
            <w:color w:val="1155CC"/>
            <w:u w:val="single"/>
          </w:rPr>
          <w:t>WARC</w:t>
        </w:r>
      </w:hyperlink>
      <w:r>
        <w:t xml:space="preserve">, Aug 28 2026, and </w:t>
      </w:r>
      <w:hyperlink r:id="rId13">
        <w:r>
          <w:rPr>
            <w:color w:val="1155CC"/>
            <w:u w:val="single"/>
          </w:rPr>
          <w:t>The Atlantic</w:t>
        </w:r>
      </w:hyperlink>
      <w:r>
        <w:t>, Aug 26 2026</w:t>
      </w:r>
    </w:p>
    <w:p>
      <w:r>
        <w:rPr>
          <w:b/>
        </w:rPr>
        <w:t xml:space="preserve">What: </w:t>
      </w:r>
      <w:r>
        <w:t>Meta settles US state allegations it designed Facebook/Instagram for compulsive teen use, admitting no wrongdoing but agreeing to platform-design changes; WARC frames the settlement as resolving the immediate legal exposure while opening the door to further industry-wide scrutiny.</w:t>
      </w:r>
    </w:p>
    <w:p>
      <w:r>
        <w:rPr>
          <w:b/>
        </w:rPr>
        <w:t xml:space="preserve">Why us: </w:t>
      </w:r>
      <w:r>
        <w:t>A platform-trust reckoning lands right as new-platform-feature fluency is a named hot button — worth getting ahead of trust questions on any youth-facing creator or platform brief before a client raises it first.</w:t>
      </w:r>
    </w:p>
    <w:p/>
    <w:p>
      <w:r>
        <w:rPr>
          <w:b/>
          <w:sz w:val="24"/>
        </w:rPr>
        <w:t>WPP's global rebate scheme now spans three court cases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Adweek</w:t>
        </w:r>
      </w:hyperlink>
      <w:r>
        <w:t xml:space="preserve">, Aug 31 2026; also </w:t>
      </w:r>
      <w:hyperlink r:id="rId14">
        <w:r>
          <w:rPr>
            <w:color w:val="1155CC"/>
            <w:u w:val="single"/>
          </w:rPr>
          <w:t>Adweek</w:t>
        </w:r>
      </w:hyperlink>
      <w:r>
        <w:t xml:space="preserve">, Aug 20 2026, and </w:t>
      </w:r>
      <w:hyperlink r:id="rId15">
        <w:r>
          <w:rPr>
            <w:color w:val="1155CC"/>
            <w:u w:val="single"/>
          </w:rPr>
          <w:t>Adweek</w:t>
        </w:r>
      </w:hyperlink>
      <w:r>
        <w:t>, Aug 14 2026</w:t>
      </w:r>
    </w:p>
    <w:p>
      <w:r>
        <w:rPr>
          <w:b/>
        </w:rPr>
        <w:t xml:space="preserve">What: </w:t>
      </w:r>
      <w:r>
        <w:t>A whistleblower suit, a Sony-commissioned probe, and a China conviction all now allege the same illegal media-rebate scheme run through WPP's GroupM/WPP Media, reviving the industry's oldest kickback-transparency debate.</w:t>
      </w:r>
    </w:p>
    <w:p>
      <w:r>
        <w:rPr>
          <w:b/>
        </w:rPr>
        <w:t xml:space="preserve">Why us: </w:t>
      </w:r>
      <w:r>
        <w:t>A direct proof point for where a global network can differentiate on transparency, not just scale — sharpens the compounding-not-consolidating pitch with what unaccountable scale actually costs a network.</w:t>
      </w:r>
    </w:p>
    <w:p/>
    <w:p>
      <w:r>
        <w:rPr>
          <w:b/>
          <w:sz w:val="24"/>
        </w:rPr>
        <w:t>WARC/PHD: agentic AI to drive $3.35tn of consumer spend by 2030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WARC</w:t>
        </w:r>
      </w:hyperlink>
      <w:r>
        <w:t>, Aug 18 2026</w:t>
      </w:r>
    </w:p>
    <w:p>
      <w:r>
        <w:rPr>
          <w:b/>
        </w:rPr>
        <w:t xml:space="preserve">What: </w:t>
      </w:r>
      <w:r>
        <w:t>New research projects AI-agent-facilitated consumer spending growing from $944bn in 2026 to $3.35tn by 2030; brands need to be "readable" to AI agents making the purchase call, not just resonant with the human nearby.</w:t>
      </w:r>
    </w:p>
    <w:p>
      <w:r>
        <w:rPr>
          <w:b/>
        </w:rPr>
        <w:t xml:space="preserve">Why us: </w:t>
      </w:r>
      <w:r>
        <w:t>The concrete number behind the LLM-visibility/AEO hot button — a quantified answer ready for the next time a client asks why this matters now.</w:t>
      </w:r>
    </w:p>
    <w:p/>
    <w:p>
      <w:r>
        <w:rPr>
          <w:b/>
          <w:sz w:val="24"/>
        </w:rPr>
        <w:t>Omnicom quietly offloads the staff who built its "Omni" AI platform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Adweek</w:t>
        </w:r>
      </w:hyperlink>
      <w:r>
        <w:t>, Aug 20 2026</w:t>
      </w:r>
    </w:p>
    <w:p>
      <w:r>
        <w:rPr>
          <w:b/>
        </w:rPr>
        <w:t xml:space="preserve">What: </w:t>
      </w:r>
      <w:r>
        <w:t>Omnicom transferred 460+ engineers and product staff behind its flagship "Omni" AI platform to contractor Endava and laid off dozens more, months after calling Omni a proprietary AI moat at CES.</w:t>
      </w:r>
    </w:p>
    <w:p>
      <w:r>
        <w:rPr>
          <w:b/>
        </w:rPr>
        <w:t xml:space="preserve">Why us: </w:t>
      </w:r>
      <w:r>
        <w:t>A sourced counter-example for the "embedding AI across our value chain" hot button — useful contrast for what a credible AI capability looks like versus a press-release one, next time a client asks a competitor holdco to prove its AI claims.</w:t>
      </w:r>
    </w:p>
    <w:p/>
    <w:p>
      <w:r>
        <w:rPr>
          <w:b/>
          <w:sz w:val="24"/>
        </w:rPr>
        <w:t>Omnicom folds Hearts &amp; Science and Mediahub into "Hearts United"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Marketing Interactive</w:t>
        </w:r>
      </w:hyperlink>
      <w:r>
        <w:t>, Aug 28 2026</w:t>
      </w:r>
    </w:p>
    <w:p>
      <w:r>
        <w:rPr>
          <w:b/>
        </w:rPr>
        <w:t xml:space="preserve">What: </w:t>
      </w:r>
      <w:r>
        <w:t>Omnicom merges two of its media agencies into a new global network, Hearts United, operating in 40 markets on roughly $9.1bn of 2025 billings.</w:t>
      </w:r>
    </w:p>
    <w:p>
      <w:r>
        <w:rPr>
          <w:b/>
        </w:rPr>
        <w:t xml:space="preserve">Why us: </w:t>
      </w:r>
      <w:r>
        <w:t>Another concrete instance of the consolidation wave the compounding-not-consolidating pitch already argues against — keeps the argument current as the wave continues past a single holdco.</w:t>
      </w:r>
    </w:p>
    <w:p/>
    <w:p>
      <w:r>
        <w:rPr>
          <w:b/>
          <w:sz w:val="24"/>
        </w:rPr>
        <w:t>Travis Kelce launches a brand/college-athlete NIL matchmaker, TEKTA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Adweek</w:t>
        </w:r>
      </w:hyperlink>
      <w:r>
        <w:t>, Aug 18 2026</w:t>
      </w:r>
    </w:p>
    <w:p>
      <w:r>
        <w:rPr>
          <w:b/>
        </w:rPr>
        <w:t xml:space="preserve">What: </w:t>
      </w:r>
      <w:r>
        <w:t>Kelce partners with Publicis Sports and 3 Arts Sports to launch TEKTA, matching brands with college athletes for NIL deals across a 45,000-athlete network.</w:t>
      </w:r>
    </w:p>
    <w:p>
      <w:r>
        <w:rPr>
          <w:b/>
        </w:rPr>
        <w:t xml:space="preserve">Why us: </w:t>
      </w:r>
      <w:r>
        <w:t>A new structural model for creator/athlete monetisation at scale, landing as the Creator Report closes out — pattern-tracking material for how athlete-as-creator marketplaces are forming.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The Future Laboratory: "Fragmenting Societies: The Centre Cannot Hold"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The Future Laboratory</w:t>
        </w:r>
      </w:hyperlink>
      <w:r>
        <w:t>, Aug 19 2026</w:t>
      </w:r>
    </w:p>
    <w:p>
      <w:r>
        <w:rPr>
          <w:b/>
        </w:rPr>
        <w:t xml:space="preserve">What: </w:t>
      </w:r>
      <w:r>
        <w:t>Names eight interconnected forces — techno-oligarchy, inequality, institutional erosion among them — driving societal fragmentation beyond simple political polarisation; argues brands that help people navigate the fracture toward equitable values will outperform those that exploit it.</w:t>
      </w:r>
    </w:p>
    <w:p>
      <w:r>
        <w:rPr>
          <w:b/>
        </w:rPr>
        <w:t xml:space="preserve">Why us: </w:t>
      </w:r>
      <w:r>
        <w:t>A new periodic report landing while Think Forward's scope is still open — a candidate framework worth weighing for the annual report's central argument.</w:t>
      </w:r>
    </w:p>
    <w:p/>
    <w:p>
      <w:r>
        <w:rPr>
          <w:b/>
          <w:sz w:val="24"/>
        </w:rPr>
        <w:t>WHAT'S ANU: Q2/Midyear Macrotrend Update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WHAT'S ANU</w:t>
        </w:r>
      </w:hyperlink>
      <w:r>
        <w:t>, Aug 26 2026</w:t>
      </w:r>
    </w:p>
    <w:p>
      <w:r>
        <w:rPr>
          <w:b/>
        </w:rPr>
        <w:t xml:space="preserve">What: </w:t>
      </w:r>
      <w:r>
        <w:t>A status check across ANU's 13-macrotrend framework, naming which trends are accelerating or fading through Q2 2026.</w:t>
      </w:r>
    </w:p>
    <w:p>
      <w:r>
        <w:rPr>
          <w:b/>
        </w:rPr>
        <w:t xml:space="preserve">Why us: </w:t>
      </w:r>
      <w:r>
        <w:t>Ready-made external corroboration for which of our own throughlines are (or aren't) still gaining ground — worth cross-referencing before Think Forward scoping begins.</w:t>
      </w:r>
    </w:p>
    <w:p/>
    <w:p>
      <w:r>
        <w:rPr>
          <w:b/>
          <w:sz w:val="24"/>
        </w:rPr>
        <w:t>Dazed: "ghost-posting" as Gen Z's retreat from performative posting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Dazed</w:t>
        </w:r>
      </w:hyperlink>
      <w:r>
        <w:t>, Aug 14 2026</w:t>
      </w:r>
    </w:p>
    <w:p>
      <w:r>
        <w:rPr>
          <w:b/>
        </w:rPr>
        <w:t xml:space="preserve">What: </w:t>
      </w:r>
      <w:r>
        <w:t>Names "ghost-posting" — posting to Instagram then immediately archiving, later unarchiving — as a retreat from performance-based social media toward lower-pressure, autonomy-driven sharing.</w:t>
      </w:r>
    </w:p>
    <w:p>
      <w:r>
        <w:rPr>
          <w:b/>
        </w:rPr>
        <w:t xml:space="preserve">Why us: </w:t>
      </w:r>
      <w:r>
        <w:t>Sharpens this summer's authenticity-craving thread into a concrete platform behaviour — a Participation-arm proof point that the compounding move is giving people control, not more performance pressure.</w:t>
      </w:r>
    </w:p>
    <w:p/>
    <w:p>
      <w:r>
        <w:rPr>
          <w:b/>
          <w:sz w:val="24"/>
        </w:rPr>
        <w:t>Protein: "Aesthetic Stagnation"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Protein</w:t>
        </w:r>
      </w:hyperlink>
      <w:r>
        <w:t>, Aug 18 2026</w:t>
      </w:r>
    </w:p>
    <w:p>
      <w:r>
        <w:rPr>
          <w:b/>
        </w:rPr>
        <w:t xml:space="preserve">What: </w:t>
      </w:r>
      <w:r>
        <w:t>Argues economic risk-aversion, not a shortage of ideas, is producing today's derivative mainstream aesthetics — genuine innovation needs a shared vision of the future that current incentives don't reward.</w:t>
      </w:r>
    </w:p>
    <w:p>
      <w:r>
        <w:rPr>
          <w:b/>
        </w:rPr>
        <w:t xml:space="preserve">Why us: </w:t>
      </w:r>
      <w:r>
        <w:t>A direct economic argument for the compounding-over-spiking throughline — patient, distinctive creative work should outperform safe, trend-chasing work, and now there's a reason why.</w:t>
      </w:r>
    </w:p>
    <w:p/>
    <w:p>
      <w:r>
        <w:rPr>
          <w:b/>
          <w:sz w:val="24"/>
        </w:rPr>
        <w:t>Dazed: extreme-length hair as anti-performative-upkeep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Dazed</w:t>
        </w:r>
      </w:hyperlink>
      <w:r>
        <w:t>, Aug 19 2026</w:t>
      </w:r>
    </w:p>
    <w:p>
      <w:r>
        <w:rPr>
          <w:b/>
        </w:rPr>
        <w:t xml:space="preserve">What: </w:t>
      </w:r>
      <w:r>
        <w:t>Extreme-length hair has gone mainstream beyond runways, read as a rejection of performative upkeep in favour of authenticity, wellness, and reduced salon/product spend.</w:t>
      </w:r>
    </w:p>
    <w:p>
      <w:r>
        <w:rPr>
          <w:b/>
        </w:rPr>
        <w:t xml:space="preserve">Why us: </w:t>
      </w:r>
      <w:r>
        <w:t>Beauty &amp; Wellness priority category; an unfakeable-capital instance — visible effort traded for a lower-maintenance authenticity signal, useful for the FMCG/Beauty &amp; Wellness report work.</w:t>
      </w:r>
    </w:p>
    <w:p/>
    <w:p>
      <w:r>
        <w:rPr>
          <w:b/>
          <w:sz w:val="24"/>
        </w:rPr>
        <w:t>Dazed: GTA VI deep dive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Dazed</w:t>
        </w:r>
      </w:hyperlink>
      <w:r>
        <w:t>, Aug 26 2026</w:t>
      </w:r>
    </w:p>
    <w:p>
      <w:r>
        <w:rPr>
          <w:b/>
        </w:rPr>
        <w:t xml:space="preserve">What: </w:t>
      </w:r>
      <w:r>
        <w:t>Previews GTA VI (out Nov 19 2026), including expanded NPC systems and the franchise's first fully developed female lead.</w:t>
      </w:r>
    </w:p>
    <w:p>
      <w:r>
        <w:rPr>
          <w:b/>
        </w:rPr>
        <w:t xml:space="preserve">Why us: </w:t>
      </w:r>
      <w:r>
        <w:t>Entertainment priority category; the next monoculture-scale moment after this summer's "monoculture comeback" thread — worth a POV now on which brands could credibly ride the launch before November.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Link in Bio: "Can a brand have taste?"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Link in Bio</w:t>
        </w:r>
      </w:hyperlink>
      <w:r>
        <w:t xml:space="preserve"> — Rachel Karten, interview with cyberethnographer Ruby Justice Thelot, Aug 27 2026</w:t>
      </w:r>
    </w:p>
    <w:p>
      <w:r>
        <w:rPr>
          <w:b/>
        </w:rPr>
        <w:t xml:space="preserve">What: </w:t>
      </w:r>
      <w:r>
        <w:t>Argues algorithms are capturing and homogenising "taste," and asks whether brands can meaningfully "flop" — treating creative risk as a mark of integrity rather than failure.</w:t>
      </w:r>
    </w:p>
    <w:p>
      <w:r>
        <w:rPr>
          <w:b/>
        </w:rPr>
        <w:t xml:space="preserve">Why us: </w:t>
      </w:r>
      <w:r>
        <w:t>Extends unfakeable capital directly — a brand that never flops may be optimising away the very risk-taking that earns cultural credibility.</w:t>
      </w:r>
    </w:p>
    <w:p/>
    <w:p>
      <w:r>
        <w:rPr>
          <w:b/>
          <w:sz w:val="24"/>
        </w:rPr>
        <w:t>Link in Bio: Away shifts from posting to "programming"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6">
        <w:r>
          <w:rPr>
            <w:color w:val="1155CC"/>
            <w:u w:val="single"/>
          </w:rPr>
          <w:t>Link in Bio</w:t>
        </w:r>
      </w:hyperlink>
      <w:r>
        <w:t xml:space="preserve"> — Rachel Karten, interview with Away's Cayla DeRegis, Aug 20 2026</w:t>
      </w:r>
    </w:p>
    <w:p>
      <w:r>
        <w:rPr>
          <w:b/>
        </w:rPr>
        <w:t xml:space="preserve">What: </w:t>
      </w:r>
      <w:r>
        <w:t>Away launches @actuallyaway, moving from posting to "programming" an audience-travel-stories account with its own cadence and format.</w:t>
      </w:r>
    </w:p>
    <w:p>
      <w:r>
        <w:rPr>
          <w:b/>
        </w:rPr>
        <w:t xml:space="preserve">Why us: </w:t>
      </w:r>
      <w:r>
        <w:t>A live brand instance of the showrunner/participation thread already in the ledger — evidence the "social show" production discipline is being adopted, not just discussed.</w:t>
      </w:r>
    </w:p>
    <w:p/>
    <w:p>
      <w:r>
        <w:rPr>
          <w:b/>
          <w:sz w:val="24"/>
        </w:rPr>
        <w:t>Ad Age: grading purpose marketing's credibility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7">
        <w:r>
          <w:rPr>
            <w:color w:val="1155CC"/>
            <w:u w:val="single"/>
          </w:rPr>
          <w:t>Ad Age</w:t>
        </w:r>
      </w:hyperlink>
      <w:r>
        <w:t xml:space="preserve"> — Goodvertising's Thomas Kolster, Aug 25 2026</w:t>
      </w:r>
    </w:p>
    <w:p>
      <w:r>
        <w:rPr>
          <w:b/>
        </w:rPr>
        <w:t xml:space="preserve">What: </w:t>
      </w:r>
      <w:r>
        <w:t>Grades recent purpose-driven campaigns from LG, Monzo and Prostate United on how credibly each connects brand to a social or health cause.</w:t>
      </w:r>
    </w:p>
    <w:p>
      <w:r>
        <w:rPr>
          <w:b/>
        </w:rPr>
        <w:t xml:space="preserve">Why us: </w:t>
      </w:r>
      <w:r>
        <w:t>A live third-party rubric for what makes purpose work credible versus performative — useful precedent when a client wants a purpose campaign and needs the credibility bar named.</w:t>
      </w:r>
    </w:p>
    <w:p/>
    <w:p>
      <w:r>
        <w:rPr>
          <w:b/>
          <w:sz w:val="24"/>
        </w:rPr>
        <w:t>WARC: Byron Sharp revisits "How Brands Grow"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8">
        <w:r>
          <w:rPr>
            <w:color w:val="1155CC"/>
            <w:u w:val="single"/>
          </w:rPr>
          <w:t>WARC</w:t>
        </w:r>
      </w:hyperlink>
      <w:r>
        <w:t>, Aug 28 2026</w:t>
      </w:r>
    </w:p>
    <w:p>
      <w:r>
        <w:rPr>
          <w:b/>
        </w:rPr>
        <w:t xml:space="preserve">What: </w:t>
      </w:r>
      <w:r>
        <w:t>Ehrenberg-Bass Institute's Byron Sharp argues many marketers still misapply the core laws of *How Brands Grow*, especially mental/physical availability, in how brands actually gain market share.</w:t>
      </w:r>
    </w:p>
    <w:p>
      <w:r>
        <w:rPr>
          <w:b/>
        </w:rPr>
        <w:t xml:space="preserve">Why us: </w:t>
      </w:r>
      <w:r>
        <w:t>A trade-press reminder that fundamentals-first brand-building still outperforms chasing the moment — direct support for the compounding throughline against short-termist trend-chasing.</w:t>
      </w:r>
    </w:p>
    <w:p/>
    <w:p>
      <w:r>
        <w:rPr>
          <w:b/>
          <w:sz w:val="24"/>
        </w:rPr>
        <w:t>Links I Would Gchat You: travel planning's "enshittification"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9">
        <w:r>
          <w:rPr>
            <w:color w:val="1155CC"/>
            <w:u w:val="single"/>
          </w:rPr>
          <w:t>Links I Would Gchat You If We Were Friends</w:t>
        </w:r>
      </w:hyperlink>
      <w:r>
        <w:t>, Aug 30 2026</w:t>
      </w:r>
    </w:p>
    <w:p>
      <w:r>
        <w:rPr>
          <w:b/>
        </w:rPr>
        <w:t xml:space="preserve">What: </w:t>
      </w:r>
      <w:r>
        <w:t>Argues affiliate-driven influencer content has eroded trustworthy travel recommendations, proposing crowdsourced personal travel docs as a fix.</w:t>
      </w:r>
    </w:p>
    <w:p>
      <w:r>
        <w:rPr>
          <w:b/>
        </w:rPr>
        <w:t xml:space="preserve">Why us: </w:t>
      </w:r>
      <w:r>
        <w:t>A concrete instance of trust eroding wherever creator content is monetised without disclosure discipline — a cautionary tale for creator-partnership briefs, and Creator Report material on where affiliate incentives break trust.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PUMA and Man City let AI-assisted fans design the third kit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30">
        <w:r>
          <w:rPr>
            <w:color w:val="1155CC"/>
            <w:u w:val="single"/>
          </w:rPr>
          <w:t>Marketing Interactive</w:t>
        </w:r>
      </w:hyperlink>
      <w:r>
        <w:t>, Aug 31 2026</w:t>
      </w:r>
    </w:p>
    <w:p>
      <w:r>
        <w:rPr>
          <w:b/>
        </w:rPr>
        <w:t xml:space="preserve">What: </w:t>
      </w:r>
      <w:r>
        <w:t>PUMA's AI Creator tool let fans worldwide generate 180,000+ kit designs for Man City's 2026/27 third kit; a fan-submitted design won and will be worn on-pitch.</w:t>
      </w:r>
    </w:p>
    <w:p>
      <w:r>
        <w:rPr>
          <w:b/>
        </w:rPr>
        <w:t xml:space="preserve">Why us: </w:t>
      </w:r>
      <w:r>
        <w:t>A clean, current proof point for the Participation arm and platform-feature fluency at once — AI as a co-creation tool with fans, not just a production shortcut.</w:t>
      </w:r>
    </w:p>
    <w:p/>
    <w:p>
      <w:r>
        <w:rPr>
          <w:b/>
          <w:sz w:val="24"/>
        </w:rPr>
        <w:t>CARMA: public trust in AI rises even as media scepticism grows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31">
        <w:r>
          <w:rPr>
            <w:color w:val="1155CC"/>
            <w:u w:val="single"/>
          </w:rPr>
          <w:t>Marketing Interactive</w:t>
        </w:r>
      </w:hyperlink>
      <w:r>
        <w:t>, Aug 24 2026</w:t>
      </w:r>
    </w:p>
    <w:p>
      <w:r>
        <w:rPr>
          <w:b/>
        </w:rPr>
        <w:t xml:space="preserve">What: </w:t>
      </w:r>
      <w:r>
        <w:t>Analysis of 6,000+ articles and a 19-country survey finds public trust in AI rose from 26% to 30% year-on-year even as media coverage grew more sceptical; trust now edges out excitement as the dominant public emotion toward AI.</w:t>
      </w:r>
    </w:p>
    <w:p>
      <w:r>
        <w:rPr>
          <w:b/>
        </w:rPr>
        <w:t xml:space="preserve">Why us: </w:t>
      </w:r>
      <w:r>
        <w:t>A quantified answer for the "our take on AI" hot button — useful context before any AI-forward creative goes out.</w:t>
      </w:r>
    </w:p>
    <w:p/>
    <w:p>
      <w:r>
        <w:rPr>
          <w:b/>
          <w:sz w:val="24"/>
        </w:rPr>
        <w:t>Amex and Sky Sports put an ex-F1 boss behind a chicken-shop counter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32">
        <w:r>
          <w:rPr>
            <w:color w:val="1155CC"/>
            <w:u w:val="single"/>
          </w:rPr>
          <w:t>LBB Online</w:t>
        </w:r>
      </w:hyperlink>
      <w:r>
        <w:t>, Aug 27 2026</w:t>
      </w:r>
    </w:p>
    <w:p>
      <w:r>
        <w:rPr>
          <w:b/>
        </w:rPr>
        <w:t xml:space="preserve">What: </w:t>
      </w:r>
      <w:r>
        <w:t>American Express and Sky Media cast ex-F1 principal Guenther Steiner running an independent chicken-shop counter during the British Grand Prix, drawing a parallel between running an F1 team and a small business.</w:t>
      </w:r>
    </w:p>
    <w:p>
      <w:r>
        <w:rPr>
          <w:b/>
        </w:rPr>
        <w:t xml:space="preserve">Why us: </w:t>
      </w:r>
      <w:r>
        <w:t>A craft example worth keeping on file for making a B2B/SME product story entertaining via a well-cast personality and a clean analogy.</w:t>
      </w:r>
    </w:p>
    <w:p/>
    <w:p>
      <w:r>
        <w:rPr>
          <w:b/>
          <w:sz w:val="24"/>
        </w:rPr>
        <w:t>Kylie Jenner signals interest in launching a Substack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33">
        <w:r>
          <w:rPr>
            <w:color w:val="1155CC"/>
            <w:u w:val="single"/>
          </w:rPr>
          <w:t>Feed Me</w:t>
        </w:r>
      </w:hyperlink>
      <w:r>
        <w:t>, Aug 27 2026</w:t>
      </w:r>
    </w:p>
    <w:p>
      <w:r>
        <w:rPr>
          <w:b/>
        </w:rPr>
        <w:t xml:space="preserve">What: </w:t>
      </w:r>
      <w:r>
        <w:t>Kylie Jenner has signalled interest in launching her own Substack newsletter.</w:t>
      </w:r>
    </w:p>
    <w:p>
      <w:r>
        <w:rPr>
          <w:b/>
        </w:rPr>
        <w:t xml:space="preserve">Why us: </w:t>
      </w:r>
      <w:r>
        <w:t>A watch-line for creators/celebrities moving toward owned, newsletter-native distribution rather than platform-only presence — Creator Report pattern-tracking material.</w:t>
      </w:r>
    </w:p>
    <w:p/>
    <w:p>
      <w:r>
        <w:rPr>
          <w:i/>
          <w:color w:val="707070"/>
          <w:sz w:val="18"/>
        </w:rPr>
        <w:t>Logged to ledger: 21 items (3 must-know, 16 high-impact, 2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ge.com/technology/meta/aa-agrees-to-pay-18-billion-social-media-claims/" TargetMode="External"/><Relationship Id="rId10" Type="http://schemas.openxmlformats.org/officeDocument/2006/relationships/hyperlink" Target="https://www.warc.com/article/has-meta-opened-pandoras-box-40cf3fc3eb974b47aace343ed7a47723" TargetMode="External"/><Relationship Id="rId11" Type="http://schemas.openxmlformats.org/officeDocument/2006/relationships/hyperlink" Target="https://www.adweek.com/agencies/wpps-alleged-global-rebate-scheme-told-through-three-court-cases/" TargetMode="External"/><Relationship Id="rId12" Type="http://schemas.openxmlformats.org/officeDocument/2006/relationships/hyperlink" Target="https://www.warc.com/article/agentic-ai-and-the-new-delegation-of-consumer-choice-f26e2982b8ef4d579b0e4087319fe88d" TargetMode="External"/><Relationship Id="rId13" Type="http://schemas.openxmlformats.org/officeDocument/2006/relationships/hyperlink" Target="https://www.theatlantic.com/technology/2026/08/meta-kids-social-media-settlement/688420/" TargetMode="External"/><Relationship Id="rId14" Type="http://schemas.openxmlformats.org/officeDocument/2006/relationships/hyperlink" Target="https://www.adweek.com/agencies/sony-wpp-rebate-fraud-allegations-reawaken-age-old-debates-in-adland/" TargetMode="External"/><Relationship Id="rId15" Type="http://schemas.openxmlformats.org/officeDocument/2006/relationships/hyperlink" Target="https://www.adweek.com/agencies/exclusive-new-claims-in-wpp-whistleblower-suit-allege-sony-probe-found-rebate-fraud/" TargetMode="External"/><Relationship Id="rId16" Type="http://schemas.openxmlformats.org/officeDocument/2006/relationships/hyperlink" Target="https://www.adweek.com/agencies/exclusive-omnicom-offloads-hundreds-of-staffers-who-built-its-ai-platform-to-third-party-contractor/" TargetMode="External"/><Relationship Id="rId17" Type="http://schemas.openxmlformats.org/officeDocument/2006/relationships/hyperlink" Target="https://www.marketing-interactive.com/omnicom-media-launches-hearts-united" TargetMode="External"/><Relationship Id="rId18" Type="http://schemas.openxmlformats.org/officeDocument/2006/relationships/hyperlink" Target="https://www.adweek.com/agencies/travis-kelce-plays-nil-matchmaker-between-brands-and-athletes-in-new-partnership/" TargetMode="External"/><Relationship Id="rId19" Type="http://schemas.openxmlformats.org/officeDocument/2006/relationships/hyperlink" Target="https://www.thefuturelaboratory.com/blog/fragmenting-societies-the-centre-cannot-hold" TargetMode="External"/><Relationship Id="rId20" Type="http://schemas.openxmlformats.org/officeDocument/2006/relationships/hyperlink" Target="https://whatsanu.substack.com/p/q2midyear-macrotrend-update" TargetMode="External"/><Relationship Id="rId21" Type="http://schemas.openxmlformats.org/officeDocument/2006/relationships/hyperlink" Target="https://www.dazeddigital.com/life-culture/article/70804/1/why-is-gen-z-ghost-posting-on-instagram" TargetMode="External"/><Relationship Id="rId22" Type="http://schemas.openxmlformats.org/officeDocument/2006/relationships/hyperlink" Target="https://www.protein.xyz/aesthetic-stagnation/" TargetMode="External"/><Relationship Id="rId23" Type="http://schemas.openxmlformats.org/officeDocument/2006/relationships/hyperlink" Target="https://www.dazeddigital.com/beauty/article/70367/1/why-is-long-hair-the-beauty-trend-of-2026" TargetMode="External"/><Relationship Id="rId24" Type="http://schemas.openxmlformats.org/officeDocument/2006/relationships/hyperlink" Target="https://www.dazeddigital.com/life-culture/article/70859/1/gta-6-grand-theft-auto-vi-rockstar-exclusive-deep-dive-game-unparalleled-world" TargetMode="External"/><Relationship Id="rId25" Type="http://schemas.openxmlformats.org/officeDocument/2006/relationships/hyperlink" Target="https://www.linkinbio.news/p/can-a-brand-have-taste" TargetMode="External"/><Relationship Id="rId26" Type="http://schemas.openxmlformats.org/officeDocument/2006/relationships/hyperlink" Target="https://www.linkinbio.news/p/away-just-launched-actuallyaway" TargetMode="External"/><Relationship Id="rId27" Type="http://schemas.openxmlformats.org/officeDocument/2006/relationships/hyperlink" Target="https://adage.com/brand-marketing/purpose-driven/aa-purpose-ad-review-lg-monzo-prostate-united-august-2026/" TargetMode="External"/><Relationship Id="rId28" Type="http://schemas.openxmlformats.org/officeDocument/2006/relationships/hyperlink" Target="https://www.warc.com/feed/byron-sharp-revisits-seminal-book-how-brands-grow-d5ff05d339f340158af99d49f26b9531" TargetMode="External"/><Relationship Id="rId29" Type="http://schemas.openxmlformats.org/officeDocument/2006/relationships/hyperlink" Target="https://linksiwouldgchatyou.substack.com/p/782-i-saw-this-and-i-thought-of-you" TargetMode="External"/><Relationship Id="rId30" Type="http://schemas.openxmlformats.org/officeDocument/2006/relationships/hyperlink" Target="https://www.marketing-interactive.com/can-ai-turn-football-fans-into-kit-designers-puma-and-man-city-think-so" TargetMode="External"/><Relationship Id="rId31" Type="http://schemas.openxmlformats.org/officeDocument/2006/relationships/hyperlink" Target="https://www.marketing-interactive.com/public-trust-in-ai-rises-as-media-becomes-more-sceptical-carma-finds" TargetMode="External"/><Relationship Id="rId32" Type="http://schemas.openxmlformats.org/officeDocument/2006/relationships/hyperlink" Target="https://lbbonline.com/news/Guenther-Steiner-Amex-Sky-Sports-F1-Campaign" TargetMode="External"/><Relationship Id="rId33" Type="http://schemas.openxmlformats.org/officeDocument/2006/relationships/hyperlink" Target="https://www.readfeedme.com/p/kylie-jenner-said-shes-down-to-j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