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2026-07-23</w:t>
      </w:r>
    </w:p>
    <w:p>
      <w:pPr>
        <w:pStyle w:val="Heading1"/>
      </w:pPr>
      <w:r>
        <w:t>Must-knows</w:t>
      </w:r>
    </w:p>
    <w:p>
      <w:pPr>
        <w:pStyle w:val="ListNumber"/>
      </w:pPr>
      <w:r>
        <w:rPr>
          <w:b/>
        </w:rPr>
        <w:t>The IPA Bellwether confirms it: brands are funding patience, not spikes</w:t>
      </w:r>
      <w:r>
        <w:t xml:space="preserve"> — Q2 2026 UK ad budgets stayed net-positive (+6.9%), but the mix is the story: video advertising hit a seven-quarter high, PR and events kept climbing, while shorter-term "other online activity" spend was cut for the first time in seven quarters. Marketers are choosing brand-building over activation even as they say they lack confidence in what comes next. · </w:t>
      </w:r>
      <w:hyperlink r:id="rId9">
        <w:r>
          <w:rPr>
            <w:color w:val="1155CC"/>
            <w:u w:val="single"/>
          </w:rPr>
          <w:t>LBB Online — "Bellwether Q2 Reactions Show Brands Need to Be Planning for the Long-Term"</w:t>
        </w:r>
      </w:hyperlink>
      <w:r>
        <w:rPr>
          <w:i/>
        </w:rPr>
        <w:t>, Jul 16, 2026</w:t>
      </w:r>
    </w:p>
    <w:p>
      <w:pPr>
        <w:pStyle w:val="Heading1"/>
      </w:pPr>
      <w:r>
        <w:t>Industry Buzz</w:t>
      </w:r>
    </w:p>
    <w:p>
      <w:r>
        <w:rPr>
          <w:b/>
          <w:sz w:val="24"/>
        </w:rPr>
        <w:t>IPA Bellwether Q2 2026: brand-building spend outpaces activation</w:t>
      </w:r>
      <w:r>
        <w:rPr>
          <w:b/>
          <w:color w:val="B00020"/>
          <w:sz w:val="18"/>
        </w:rPr>
        <w:t xml:space="preserve">   MUST-KNOW</w:t>
      </w:r>
    </w:p>
    <w:p>
      <w:r>
        <w:rPr>
          <w:b/>
        </w:rPr>
        <w:t xml:space="preserve">Source: </w:t>
      </w:r>
      <w:hyperlink r:id="rId9">
        <w:r>
          <w:rPr>
            <w:color w:val="1155CC"/>
            <w:u w:val="single"/>
          </w:rPr>
          <w:t>LBB Online — "Bellwether Q2 Reactions Show Brands Need to Be Planning for the Long-Term"</w:t>
        </w:r>
      </w:hyperlink>
      <w:r>
        <w:t>, Jul 16, 2026</w:t>
      </w:r>
    </w:p>
    <w:p>
      <w:r>
        <w:rPr>
          <w:b/>
        </w:rPr>
        <w:t xml:space="preserve">What: </w:t>
      </w:r>
      <w:r>
        <w:t>UK marketing budgets revised up to a net balance of +6.9% (second-highest in two years), but the composition shifted toward the long game: video hit a seven-quarter high, PR and events grew, and shorter-term online-activation spend was cut for the first time in seven quarters. Market research spend fell for a sixth straight quarter.</w:t>
      </w:r>
    </w:p>
    <w:p>
      <w:r>
        <w:rPr>
          <w:b/>
        </w:rPr>
        <w:t xml:space="preserve">Why us: </w:t>
      </w:r>
      <w:r>
        <w:t>This is hard third-party data confirming our own "don't hoard cultural capital, compound it" argument — brands are visibly choosing patient, sustained presence over spend spikes. A ready-made proof point for the Q2 Digital Culture Review's thesis, and for Think Forward.</w:t>
      </w:r>
    </w:p>
    <w:p/>
    <w:p>
      <w:r>
        <w:rPr>
          <w:b/>
          <w:sz w:val="24"/>
        </w:rPr>
        <w:t>APAC short-drama app engagement climbs 452% year-on-year</w:t>
      </w:r>
      <w:r>
        <w:rPr>
          <w:b/>
          <w:color w:val="1A5C2A"/>
          <w:sz w:val="18"/>
        </w:rPr>
        <w:t xml:space="preserve">   HIGH-IMPACT</w:t>
      </w:r>
    </w:p>
    <w:p>
      <w:r>
        <w:rPr>
          <w:b/>
        </w:rPr>
        <w:t xml:space="preserve">Source: </w:t>
      </w:r>
      <w:hyperlink r:id="rId10">
        <w:r>
          <w:rPr>
            <w:color w:val="1155CC"/>
            <w:u w:val="single"/>
          </w:rPr>
          <w:t>Marketing-Interactive — "APAC can't stop scrolling as short-drama apps surge"</w:t>
        </w:r>
      </w:hyperlink>
      <w:r>
        <w:t>, Jul 16, 2026</w:t>
      </w:r>
    </w:p>
    <w:p>
      <w:r>
        <w:rPr>
          <w:b/>
        </w:rPr>
        <w:t xml:space="preserve">What: </w:t>
      </w:r>
      <w:r>
        <w:t>Adjust data shows APAC short-drama app sessions up 452% year-on-year in Q1 2026, with the region now generating the highest revenue-per-user globally (US$1.45, +263% vs. 2025) — vertical micro-drama has become a monetising format, not a novelty.</w:t>
      </w:r>
    </w:p>
    <w:p>
      <w:r>
        <w:rPr>
          <w:b/>
        </w:rPr>
        <w:t xml:space="preserve">Why us: </w:t>
      </w:r>
      <w:r>
        <w:t>A concrete new platform-feature-fluency data point sitting squarely in Entertainment, one of our four named categories — a format to inhabit natively rather than sponsor as media; FMCG Report-adjacent given the format's ad-load appetite.</w:t>
      </w:r>
    </w:p>
    <w:p/>
    <w:p>
      <w:pPr>
        <w:pStyle w:val="Heading1"/>
      </w:pPr>
      <w:r>
        <w:t>Trends</w:t>
      </w:r>
    </w:p>
    <w:p>
      <w:r>
        <w:rPr>
          <w:b/>
          <w:sz w:val="24"/>
        </w:rPr>
        <w:t>Analog objects as identity signals: film cameras and "big jorts"</w:t>
      </w:r>
      <w:r>
        <w:rPr>
          <w:b/>
          <w:color w:val="1A5C2A"/>
          <w:sz w:val="18"/>
        </w:rPr>
        <w:t xml:space="preserve">   HIGH-IMPACT</w:t>
      </w:r>
    </w:p>
    <w:p>
      <w:r>
        <w:rPr>
          <w:b/>
        </w:rPr>
        <w:t xml:space="preserve">Source: </w:t>
      </w:r>
      <w:hyperlink r:id="rId11">
        <w:r>
          <w:rPr>
            <w:color w:val="1155CC"/>
            <w:u w:val="single"/>
          </w:rPr>
          <w:t>After School — "Camp Snap and Big Jort"</w:t>
        </w:r>
      </w:hyperlink>
      <w:r>
        <w:t>, Jul 22, 2026</w:t>
      </w:r>
    </w:p>
    <w:p>
      <w:r>
        <w:rPr>
          <w:b/>
        </w:rPr>
        <w:t xml:space="preserve">What: </w:t>
      </w:r>
      <w:r>
        <w:t>Point-and-shoot digital cameras (Camp Snap) are selling out among Gen Z/millennials for their deliberately lo-fi "warm vibe," alongside a parallel spike in oversized secondhand denim shorts — both read as a rejection of algorithmic polish, with queer style codes leading the mainstream adoption curve as usual.</w:t>
      </w:r>
    </w:p>
    <w:p>
      <w:r>
        <w:rPr>
          <w:b/>
        </w:rPr>
        <w:t xml:space="preserve">Why us: </w:t>
      </w:r>
      <w:r>
        <w:t>A third consecutive week of the analog-rejection thread (after "unquantified self" wellness backlash and "folk schools/surveillance OOTDs") — this now clears the rubric's own three-week bar for a trend the year-end report should catch, and it's a clean identity-stacking instance for the Creator Report.</w:t>
      </w:r>
    </w:p>
    <w:p/>
    <w:p>
      <w:r>
        <w:rPr>
          <w:b/>
          <w:sz w:val="24"/>
        </w:rPr>
        <w:t>Brand merch goes universal as Glossier resurges and lines keep growing</w:t>
      </w:r>
      <w:r>
        <w:rPr>
          <w:b/>
          <w:color w:val="1A5C2A"/>
          <w:sz w:val="18"/>
        </w:rPr>
        <w:t xml:space="preserve">   HIGH-IMPACT</w:t>
      </w:r>
    </w:p>
    <w:p>
      <w:r>
        <w:rPr>
          <w:b/>
        </w:rPr>
        <w:t xml:space="preserve">Source: </w:t>
      </w:r>
      <w:hyperlink r:id="rId12">
        <w:r>
          <w:rPr>
            <w:color w:val="1155CC"/>
            <w:u w:val="single"/>
          </w:rPr>
          <w:t>After School — "Fro-Yo PowerPoints and Cadaver Facials"</w:t>
        </w:r>
      </w:hyperlink>
      <w:r>
        <w:t>, Jul 20, 2026</w:t>
      </w:r>
    </w:p>
    <w:p>
      <w:r>
        <w:rPr>
          <w:b/>
        </w:rPr>
        <w:t xml:space="preserve">What: </w:t>
      </w:r>
      <w:r>
        <w:t>NYC line-culture (flagged two weeks ago) picks up further corroboration; branded merch is now an expected product line for every company type, "from Dunkin' to OpenAI"; Glossier is back in favour with the same audience that had dropped it.</w:t>
      </w:r>
    </w:p>
    <w:p>
      <w:r>
        <w:rPr>
          <w:b/>
        </w:rPr>
        <w:t xml:space="preserve">Why us: </w:t>
      </w:r>
      <w:r>
        <w:t>A second week of corroboration for both the experience-as-content and unfakeable-capital threads — last week's OpenAI/Aimé Leon Dore merch instance wasn't a one-off, it's becoming the category norm, which sharpens the contrast case (borrowed codes vs. earned equity like Glossier's).</w:t>
      </w:r>
    </w:p>
    <w:p/>
    <w:p>
      <w:r>
        <w:rPr>
          <w:b/>
          <w:sz w:val="24"/>
        </w:rPr>
        <w:t>Niche IRL hobby communities (birding, crabbing) outgrow their novelty</w:t>
      </w:r>
      <w:r>
        <w:rPr>
          <w:b/>
          <w:color w:val="1A5C2A"/>
          <w:sz w:val="18"/>
        </w:rPr>
        <w:t xml:space="preserve">   HIGH-IMPACT</w:t>
      </w:r>
    </w:p>
    <w:p>
      <w:r>
        <w:rPr>
          <w:b/>
        </w:rPr>
        <w:t xml:space="preserve">Source: </w:t>
      </w:r>
      <w:hyperlink r:id="rId13">
        <w:r>
          <w:rPr>
            <w:color w:val="1155CC"/>
            <w:u w:val="single"/>
          </w:rPr>
          <w:t>After School — "Crabbing Baddies and Punk Birds"</w:t>
        </w:r>
      </w:hyperlink>
      <w:r>
        <w:t>, Jul 16, 2026</w:t>
      </w:r>
    </w:p>
    <w:p>
      <w:r>
        <w:rPr>
          <w:b/>
        </w:rPr>
        <w:t xml:space="preserve">What: </w:t>
      </w:r>
      <w:r>
        <w:t>Competitive birding is drawing Gen Z teams who frame it as social bonding rather than birdwatching; San Francisco's "Baddies Who Crab" has grown to thousands of followers and is opening chapters beyond the city, with its founder explicitly framing it as an answer to loneliness.</w:t>
      </w:r>
    </w:p>
    <w:p>
      <w:r>
        <w:rPr>
          <w:b/>
        </w:rPr>
        <w:t xml:space="preserve">Why us: </w:t>
      </w:r>
      <w:r>
        <w:t>A clean, current proof point for community as the mechanic, not the content — directly in our wheelhouse (we know creators, building communities is our wheelhouse) and strong Creator Report material.</w:t>
      </w:r>
    </w:p>
    <w:p/>
    <w:p>
      <w:pPr>
        <w:pStyle w:val="Heading1"/>
      </w:pPr>
      <w:r>
        <w:t>POVs</w:t>
      </w:r>
    </w:p>
    <w:p>
      <w:r>
        <w:t>*Nothing from our tracked thinkers clears the recency bar this week.* Eugene Healey's most recent pieces are Jul 1–2 (Cannes essays), Zoe Scaman's is Jun 19, Matt Klein/ZINE's is Jun 8, and no Graeme Douglas-Kilgannon LinkedIn post within the last 7 days could be confirmed with a real URL and date. Rachel Karten's Manychat POV (still live) and Feed Me's Black Book piece were both already surfaced in the 2026-07-21 brief — no new POV-category item to report today.</w:t>
      </w:r>
    </w:p>
    <w:p>
      <w:pPr>
        <w:pStyle w:val="Heading1"/>
      </w:pPr>
      <w:r>
        <w:t>Misc</w:t>
      </w:r>
    </w:p>
    <w:p>
      <w:r>
        <w:rPr>
          <w:b/>
          <w:sz w:val="24"/>
        </w:rPr>
        <w:t>UK's optional social-media curfew meets teen shrug</w:t>
      </w:r>
      <w:r>
        <w:rPr>
          <w:b/>
          <w:color w:val="606060"/>
          <w:sz w:val="18"/>
        </w:rPr>
        <w:t xml:space="preserve">   SIGNAL</w:t>
      </w:r>
    </w:p>
    <w:p>
      <w:r>
        <w:rPr>
          <w:b/>
        </w:rPr>
        <w:t xml:space="preserve">Source: </w:t>
      </w:r>
      <w:hyperlink r:id="rId13">
        <w:r>
          <w:rPr>
            <w:color w:val="1155CC"/>
            <w:u w:val="single"/>
          </w:rPr>
          <w:t>After School — "Crabbing Baddies and Punk Birds"</w:t>
        </w:r>
      </w:hyperlink>
      <w:r>
        <w:t>, Jul 16, 2026</w:t>
      </w:r>
    </w:p>
    <w:p>
      <w:r>
        <w:rPr>
          <w:b/>
        </w:rPr>
        <w:t xml:space="preserve">What: </w:t>
      </w:r>
      <w:r>
        <w:t>British teens dismiss the new midnight–6am social-media curfew as toothless because compliance is opt-in ("what's the point?" as one put it).</w:t>
      </w:r>
    </w:p>
    <w:p>
      <w:r>
        <w:rPr>
          <w:b/>
        </w:rPr>
        <w:t xml:space="preserve">Why us: </w:t>
      </w:r>
      <w:r>
        <w:t>A live data point on the gap between platform-governance headlines and actual behaviour change — worth keeping if the AEO/AI-governance conversation turns toward regulation.</w:t>
      </w:r>
    </w:p>
    <w:p/>
    <w:p>
      <w:pPr>
        <w:pStyle w:val="Heading2"/>
      </w:pPr>
      <w:r>
        <w:t>Coverage notes</w:t>
      </w:r>
    </w:p>
    <w:p>
      <w:pPr>
        <w:pStyle w:val="ListBullet"/>
      </w:pPr>
      <w:r>
        <w:rPr>
          <w:b/>
          <w:color w:val="707070"/>
        </w:rPr>
        <w:t>Dropped for recency (hard 7-day bar, cutoff Jul 16, 2026):</w:t>
      </w:r>
      <w:r>
        <w:rPr>
          <w:i/>
          <w:color w:val="707070"/>
        </w:rPr>
        <w:t xml:space="preserve"> WARC/TikTok's "The New Creative Advantage" report (Jul 14) and the follow-on adgully coverage of its "S.C.A.L.E." framework (also Jul 14) — genuinely on-thesis for the AI-in-value-chain hot button, but outside the window by two days, so cut rather than stretched. Dazed Studio's new US Brand &amp; Cultural Strategy Division (Jul 9) and LBB's "The Quiet Return of the Blog" (Jul 13) were checked and dropped for the same reason.</w:t>
      </w:r>
    </w:p>
    <w:p>
      <w:pPr>
        <w:pStyle w:val="ListBullet"/>
      </w:pPr>
      <w:r>
        <w:rPr>
          <w:b/>
          <w:color w:val="707070"/>
        </w:rPr>
        <w:t>No new drop in window:</w:t>
      </w:r>
      <w:r>
        <w:rPr>
          <w:i/>
          <w:color w:val="707070"/>
        </w:rPr>
        <w:t xml:space="preserve"> WHAT'S ANU (last Trend Radar: Jul 8), MØRNING/Burn After Reading (last post: Jul 10), Eugene Healey (last post: Jul 1–2), Matt Klein/ZINE (last post: Jun 8), Zoe Scaman (last post: Jun 19), idle gaze (last post: Jul 15, one day outside the window) — all checked, none published within the last 7 days.</w:t>
      </w:r>
    </w:p>
    <w:p>
      <w:pPr>
        <w:pStyle w:val="ListBullet"/>
      </w:pPr>
      <w:r>
        <w:rPr>
          <w:b/>
          <w:color w:val="707070"/>
        </w:rPr>
        <w:t>Could not verify within the recency/link bar:</w:t>
      </w:r>
      <w:r>
        <w:rPr>
          <w:i/>
          <w:color w:val="707070"/>
        </w:rPr>
        <w:t xml:space="preserve"> Graeme Douglas-Kilgannon's LinkedIn — his dated, confirmable posts fall outside the window (a Jun 15 Pulse essay; an undated "England x Palace" post whose timestamp couldn't be resolved); dropped rather than guessed.</w:t>
      </w:r>
    </w:p>
    <w:p>
      <w:pPr>
        <w:pStyle w:val="ListBullet"/>
      </w:pPr>
      <w:r>
        <w:rPr>
          <w:b/>
          <w:color w:val="707070"/>
        </w:rPr>
        <w:t>Checked, nothing above noise:</w:t>
      </w:r>
      <w:r>
        <w:rPr>
          <w:i/>
          <w:color w:val="707070"/>
        </w:rPr>
        <w:t xml:space="preserve"> Contagious (only a Jul 22 Cannes-wrap webinar promo surfaced — self-promotional, not analysis, cut), The Work/lovethework.com and WARC's own site (subscription-gated, no public item beyond what's covered above), Protein (search returned unrelated nutrition-industry "protein market" reports, not the trend studio), Canvas8 "Keeping TABS" and The Future Laboratory (no new periodic report or briefing this week), Ad Age (Small Agency Awards and 40 Under 40 entries — award-show logistics, not analysis), Reddit's AI-marketing-slop crackdown (real, Bloomberg-reported, but dated Jul 6 — outside the window).</w:t>
      </w:r>
    </w:p>
    <w:p>
      <w:pPr>
        <w:pStyle w:val="ListBullet"/>
      </w:pPr>
      <w:r>
        <w:rPr>
          <w:b/>
          <w:color w:val="707070"/>
        </w:rPr>
        <w:t>Excluded on principle:</w:t>
      </w:r>
      <w:r>
        <w:rPr>
          <w:i/>
          <w:color w:val="707070"/>
        </w:rPr>
        <w:t xml:space="preserve"> A Google/WebSearch pass for Google Trends corroboration on "AEO" surfaced only generic marketing-aggregator SEO guides (press.farm, HubSpot, Frase, etc.) — excluded under the registry's standing rule against SEO "trends" listicles, not used anywhere in this brief. Similarly, a search for The Cut returned only syndicated hair-trend listicles (Grazia, AOL) rather than a genuine Cut-authored piece — nothing from The Cut surfaced today. NYT/WSJ/The Atlantic were checked; nothing dated within the window rose above what's already covered (WSJ's Polymarket investigation is real but dated Jun 26).</w:t>
      </w:r>
    </w:p>
    <w:p>
      <w:pPr>
        <w:pStyle w:val="ListBullet"/>
      </w:pPr>
      <w:r>
        <w:rPr>
          <w:i/>
          <w:color w:val="707070"/>
        </w:rPr>
        <w:t>*Logged to ledger: 6 items (1 must-know, 4 high-impact, 1 signal).*</w:t>
      </w:r>
    </w:p>
    <w:p>
      <w:r>
        <w:rPr>
          <w:i/>
          <w:color w:val="707070"/>
          <w:sz w:val="18"/>
        </w:rPr>
        <w:t>Logged to ledger: 6 items (1 must-know, 4 high-impact, 1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bbonline.com/news/bellwether-report-q2-reactions" TargetMode="External"/><Relationship Id="rId10" Type="http://schemas.openxmlformats.org/officeDocument/2006/relationships/hyperlink" Target="https://www.marketing-interactive.com/apac-cant-stop-scrolling-as-short-drama-apps-surge" TargetMode="External"/><Relationship Id="rId11" Type="http://schemas.openxmlformats.org/officeDocument/2006/relationships/hyperlink" Target="https://afterschool.substack.com/p/camp-snap-and-big-jort" TargetMode="External"/><Relationship Id="rId12" Type="http://schemas.openxmlformats.org/officeDocument/2006/relationships/hyperlink" Target="https://afterschool.substack.com/p/fro-yo-powerpoints-and-cadaver-facials" TargetMode="External"/><Relationship Id="rId13" Type="http://schemas.openxmlformats.org/officeDocument/2006/relationships/hyperlink" Target="https://afterschool.substack.com/p/crabbing-baddies-and-punk-bi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