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2026-09-02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Meta turns its own forced teen-safety fix into pressure on TikTok and YouTube</w:t>
      </w:r>
      <w:r>
        <w:t xml:space="preserve"> — days after settling for up to $18bn, Meta runs paid ads pushing rivals to adopt the same safety measures it's now required to implement — a live test of turning compliance into competitive offense. · </w:t>
      </w:r>
      <w:hyperlink r:id="rId9">
        <w:r>
          <w:rPr>
            <w:color w:val="1155CC"/>
            <w:u w:val="single"/>
          </w:rPr>
          <w:t>Adweek — Meta's Push on Rivals May Be PR Genius, If It Doesn't Overplay Its Hand</w:t>
        </w:r>
      </w:hyperlink>
      <w:r>
        <w:rPr>
          <w:i/>
        </w:rPr>
        <w:t>, Sep 1 2026</w:t>
      </w:r>
    </w:p>
    <w:p>
      <w:pPr>
        <w:pStyle w:val="ListNumber"/>
      </w:pPr>
      <w:r>
        <w:rPr>
          <w:b/>
        </w:rPr>
        <w:t>WARC/Plaid: Gen Z trusts AI with their money more than they trust brands that use AI in marketing</w:t>
      </w:r>
      <w:r>
        <w:t xml:space="preserve"> — 52% are more comfortable sharing financial details with AI than a human advisor, yet 53% avoid brands that use AI in ads — two very different bars for the same technology. · </w:t>
      </w:r>
      <w:hyperlink r:id="rId10">
        <w:r>
          <w:rPr>
            <w:color w:val="1155CC"/>
            <w:u w:val="single"/>
          </w:rPr>
          <w:t>WARC — Half of Gen Z and Millennials Prefer Sharing Financial Details With AI Over Humans</w:t>
        </w:r>
      </w:hyperlink>
      <w:r>
        <w:rPr>
          <w:i/>
        </w:rPr>
        <w:t>, Aug 31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Meta's PR counter-offensive against TikTok and YouTube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</w:t>
        </w:r>
      </w:hyperlink>
      <w:r>
        <w:t>, Sep 1 2026</w:t>
      </w:r>
    </w:p>
    <w:p>
      <w:r>
        <w:rPr>
          <w:b/>
        </w:rPr>
        <w:t xml:space="preserve">What: </w:t>
      </w:r>
      <w:r>
        <w:t>Days after its up-to-$18bn youth-safety settlement, Meta launched newspaper ads pressuring TikTok and YouTube to adopt the same teen-safety measures it's now required to implement — a crisis-comms move experts call savvy but risky if it overplays its hand.</w:t>
      </w:r>
    </w:p>
    <w:p>
      <w:r>
        <w:rPr>
          <w:b/>
        </w:rPr>
        <w:t xml:space="preserve">Why us: </w:t>
      </w:r>
      <w:r>
        <w:t>A live case study in turning a forced compliance cost into a competitive offensive — worth watching for what credible corporate crisis response looks like versus what reads as opportunistic, right as yesterday's settlement is still fresh.</w:t>
      </w:r>
    </w:p>
    <w:p/>
    <w:p>
      <w:r>
        <w:rPr>
          <w:b/>
          <w:sz w:val="24"/>
        </w:rPr>
        <w:t>WARC/Plaid: Gen Z's AI-trust paradox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WARC</w:t>
        </w:r>
      </w:hyperlink>
      <w:r>
        <w:t xml:space="preserve"> (citing Plaid/Harris Poll), Aug 31 2026</w:t>
      </w:r>
    </w:p>
    <w:p>
      <w:r>
        <w:rPr>
          <w:b/>
        </w:rPr>
        <w:t xml:space="preserve">What: </w:t>
      </w:r>
      <w:r>
        <w:t>52% of US Gen Z/millennials are more comfortable sharing financial information with AI than a human advisor, and 88% think AI will improve digital commerce — yet 53% of Gen Z say they avoid brands that use AI in marketing or advertising.</w:t>
      </w:r>
    </w:p>
    <w:p>
      <w:r>
        <w:rPr>
          <w:b/>
        </w:rPr>
        <w:t xml:space="preserve">Why us: </w:t>
      </w:r>
      <w:r>
        <w:t>A precise, quotable answer to "does Gen Z trust AI" — the honest answer is "it depends where," and that nuance is exactly the sharper framing a C-suite AI conversation needs instead of a blanket yes or no.</w:t>
      </w:r>
    </w:p>
    <w:p/>
    <w:p>
      <w:r>
        <w:rPr>
          <w:b/>
          <w:sz w:val="24"/>
        </w:rPr>
        <w:t>WARC: Gen Z's news-trust paradox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WARC</w:t>
        </w:r>
      </w:hyperlink>
      <w:r>
        <w:t>, Sep 1 2026</w:t>
      </w:r>
    </w:p>
    <w:p>
      <w:r>
        <w:rPr>
          <w:b/>
        </w:rPr>
        <w:t xml:space="preserve">What: </w:t>
      </w:r>
      <w:r>
        <w:t>62% of Gen Z get their news from social platforms — the top source — yet only 33% trust those platforms, a gap WARC argues brands need to account for in how they communicate.</w:t>
      </w:r>
    </w:p>
    <w:p>
      <w:r>
        <w:rPr>
          <w:b/>
        </w:rPr>
        <w:t xml:space="preserve">Why us: </w:t>
      </w:r>
      <w:r>
        <w:t>Corroborates the AI-trust paradox above with a second, independent trust gap — reach and credibility aren't the same currency, and platform presence alone won't earn trust.</w:t>
      </w:r>
    </w:p>
    <w:p/>
    <w:p>
      <w:r>
        <w:rPr>
          <w:b/>
          <w:sz w:val="24"/>
        </w:rPr>
        <w:t>Agentic-marketing startup Hightouch poaches Google's "agency whisperer"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Adweek</w:t>
        </w:r>
      </w:hyperlink>
      <w:r>
        <w:t>, late Aug/early Sep 2026</w:t>
      </w:r>
    </w:p>
    <w:p>
      <w:r>
        <w:rPr>
          <w:b/>
        </w:rPr>
        <w:t xml:space="preserve">What: </w:t>
      </w:r>
      <w:r>
        <w:t>Hightouch, fresh off a $150M raise at a $2.75bn valuation, hired 20-year Google veteran Jitendra Kumar to build out agency partnerships as it pushes AI agents into marketing workflows.</w:t>
      </w:r>
    </w:p>
    <w:p>
      <w:r>
        <w:rPr>
          <w:b/>
        </w:rPr>
        <w:t xml:space="preserve">Why us: </w:t>
      </w:r>
      <w:r>
        <w:t>Continues yesterday's agentic-AI-spend thread with a concrete hiring signal — agentic marketing infrastructure is attracting real capital and real agency-relationship talent, not just headlines.</w:t>
      </w:r>
    </w:p>
    <w:p/>
    <w:p>
      <w:r>
        <w:rPr>
          <w:b/>
          <w:sz w:val="24"/>
        </w:rPr>
        <w:t>Omnicom Media names a new APAC strategy chief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 Interactive</w:t>
        </w:r>
      </w:hyperlink>
      <w:r>
        <w:t>, Sep 2 2026</w:t>
      </w:r>
    </w:p>
    <w:p>
      <w:r>
        <w:rPr>
          <w:b/>
        </w:rPr>
        <w:t xml:space="preserve">What: </w:t>
      </w:r>
      <w:r>
        <w:t>Omnicom Media appointed David McCallen, formerly OMD's APAC chief strategy officer, as chief strategy officer for Asia Pacific.</w:t>
      </w:r>
    </w:p>
    <w:p>
      <w:r>
        <w:rPr>
          <w:b/>
        </w:rPr>
        <w:t xml:space="preserve">Why us: </w:t>
      </w:r>
      <w:r>
        <w:t>Continues this month's Omnicom/consolidation drumbeat (see yesterday's Hearts United merger) — worth a line for the agency-landscape pattern-tracking thread.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Dazed: when did good hair become a moral virtue?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Dazed</w:t>
        </w:r>
      </w:hyperlink>
      <w:r>
        <w:t>, Aug 27 2026</w:t>
      </w:r>
    </w:p>
    <w:p>
      <w:r>
        <w:rPr>
          <w:b/>
        </w:rPr>
        <w:t xml:space="preserve">What: </w:t>
      </w:r>
      <w:r>
        <w:t>Examines how TikTok culture increasingly conflates hair and physical appearance with moral character, tying aesthetic "perfection" to virtue and reinforcing shame around hair loss.</w:t>
      </w:r>
    </w:p>
    <w:p>
      <w:r>
        <w:rPr>
          <w:b/>
        </w:rPr>
        <w:t xml:space="preserve">Why us: </w:t>
      </w:r>
      <w:r>
        <w:t>Beauty &amp; Wellness priority category; sharpens yesterday's "long hair as anti-performative-upkeep" item with a harder edge — when appearance reads as morality, an unfakeable-capital pitch needs to avoid just relocating the same pressure.</w:t>
      </w:r>
    </w:p>
    <w:p/>
    <w:p>
      <w:r>
        <w:rPr>
          <w:b/>
          <w:sz w:val="24"/>
        </w:rPr>
        <w:t>WHAT'S ANU: reading trends through semiotics, not mood boards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WHAT'S ANU</w:t>
        </w:r>
      </w:hyperlink>
      <w:r>
        <w:t>, Aug 28 2026</w:t>
      </w:r>
    </w:p>
    <w:p>
      <w:r>
        <w:rPr>
          <w:b/>
        </w:rPr>
        <w:t xml:space="preserve">What: </w:t>
      </w:r>
      <w:r>
        <w:t>Argues for reading macro cultural trends through semiotic analysis — decoding colour, language and design cues — rather than surface-level mood boards.</w:t>
      </w:r>
    </w:p>
    <w:p>
      <w:r>
        <w:rPr>
          <w:b/>
        </w:rPr>
        <w:t xml:space="preserve">Why us: </w:t>
      </w:r>
      <w:r>
        <w:t>A methodology note worth borrowing for our own trend-reading process, particularly as Think Forward scoping gets underway.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Link in Bio's annual "32 social media hot takes"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Link in Bio</w:t>
        </w:r>
      </w:hyperlink>
      <w:r>
        <w:t xml:space="preserve"> — Rachel Karten, Sep 1 2026</w:t>
      </w:r>
    </w:p>
    <w:p>
      <w:r>
        <w:rPr>
          <w:b/>
        </w:rPr>
        <w:t xml:space="preserve">What: </w:t>
      </w:r>
      <w:r>
        <w:t>Karten's annual crowdsourced collection of opinionated takes from social media professionals — on LinkedIn's algorithm, evergreen content, approval workflows and more.</w:t>
      </w:r>
    </w:p>
    <w:p>
      <w:r>
        <w:rPr>
          <w:b/>
        </w:rPr>
        <w:t xml:space="preserve">Why us: </w:t>
      </w:r>
      <w:r>
        <w:t>A useful yearly temperature check on where the practitioner community's frustrations and instincts actually sit — worth mining for a POV of our own on where we agree or sharply disagree.</w:t>
      </w:r>
    </w:p>
    <w:p/>
    <w:p>
      <w:r>
        <w:rPr>
          <w:b/>
          <w:sz w:val="24"/>
        </w:rPr>
        <w:t>WARC: how Aperol turned a neglected spritz into a powerhouse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WARC</w:t>
        </w:r>
      </w:hyperlink>
      <w:r>
        <w:t>, Sep 1 2026</w:t>
      </w:r>
    </w:p>
    <w:p>
      <w:r>
        <w:rPr>
          <w:b/>
        </w:rPr>
        <w:t xml:space="preserve">What: </w:t>
      </w:r>
      <w:r>
        <w:t>Traces Campari Group's 20-plus-year strategy for Aperol since its 2003 acquisition — building an "aperitivo hour" ritual and lifestyle imagery that took it from 60 million servings to over 1.5 billion globally, now Campari's largest brand.</w:t>
      </w:r>
    </w:p>
    <w:p>
      <w:r>
        <w:rPr>
          <w:b/>
        </w:rPr>
        <w:t xml:space="preserve">Why us: </w:t>
      </w:r>
      <w:r>
        <w:t>A textbook, decades-long instance of the compounding throughline — patient ritual-building beating any single campaign spike; strong case study for the FMCG Report.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Hershey's bets on Katseye for its biggest launch of the year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Ad Age</w:t>
        </w:r>
      </w:hyperlink>
      <w:r>
        <w:t xml:space="preserve">; also </w:t>
      </w:r>
      <w:hyperlink r:id="rId19">
        <w:r>
          <w:rPr>
            <w:color w:val="1155CC"/>
            <w:u w:val="single"/>
          </w:rPr>
          <w:t>Adweek</w:t>
        </w:r>
      </w:hyperlink>
      <w:r>
        <w:t>, Sep 1 2026</w:t>
      </w:r>
    </w:p>
    <w:p>
      <w:r>
        <w:rPr>
          <w:b/>
        </w:rPr>
        <w:t xml:space="preserve">What: </w:t>
      </w:r>
      <w:r>
        <w:t>Hershey's new Creme Bars (Affogato and Salted Caramel) are fronted by girl group Katseye performing their hit "Pinky Up" on a subway, aimed at Gen Z snackers.</w:t>
      </w:r>
    </w:p>
    <w:p>
      <w:r>
        <w:rPr>
          <w:b/>
        </w:rPr>
        <w:t xml:space="preserve">Why us: </w:t>
      </w:r>
      <w:r>
        <w:t>FMCG Report material; a clean current instance of borrowing real cultural capital — an actual chart act, not an invented mascot — worth a comparison point against other creator-led plays already in the ledger.</w:t>
      </w:r>
    </w:p>
    <w:p/>
    <w:p>
      <w:r>
        <w:rPr>
          <w:b/>
          <w:sz w:val="24"/>
        </w:rPr>
        <w:t>IKEA UAE's Swedish-pronunciation TikTok challenge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LBB Online</w:t>
        </w:r>
      </w:hyperlink>
      <w:r>
        <w:t>, Aug 28 2026</w:t>
      </w:r>
    </w:p>
    <w:p>
      <w:r>
        <w:rPr>
          <w:b/>
        </w:rPr>
        <w:t xml:space="preserve">What: </w:t>
      </w:r>
      <w:r>
        <w:t>IKEA UAE launched a Back-to-School TikTok filter challenging users to correctly pronounce increasingly difficult Swedish product names, with real-time scoring and a gift-card prize.</w:t>
      </w:r>
    </w:p>
    <w:p>
      <w:r>
        <w:rPr>
          <w:b/>
        </w:rPr>
        <w:t xml:space="preserve">Why us: </w:t>
      </w:r>
      <w:r>
        <w:t>Clean platform-feature fluency and Participation-arm proof point — native to TikTok's own challenge format rather than a video ad dropped into feed.</w:t>
      </w:r>
    </w:p>
    <w:p/>
    <w:p>
      <w:r>
        <w:rPr>
          <w:b/>
          <w:sz w:val="24"/>
        </w:rPr>
        <w:t>maurices repositions around personal styling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LBB Online</w:t>
        </w:r>
      </w:hyperlink>
      <w:r>
        <w:t>, Aug 28–29 2026</w:t>
      </w:r>
    </w:p>
    <w:p>
      <w:r>
        <w:rPr>
          <w:b/>
        </w:rPr>
        <w:t xml:space="preserve">What: </w:t>
      </w:r>
      <w:r>
        <w:t>US retailer maurices launched "Sophie Has a Stylist," its first campaign from new indie agency Art of Something, centring its in-store personal-styling service as the brand's core positioning.</w:t>
      </w:r>
    </w:p>
    <w:p>
      <w:r>
        <w:rPr>
          <w:b/>
        </w:rPr>
        <w:t xml:space="preserve">Why us: </w:t>
      </w:r>
      <w:r>
        <w:t>A modest but real instance of a legacy retailer choosing a genuine service capability, not a tagline, as its brand platform — worth a glance if the "service as brand positioning" pattern recurs.</w:t>
      </w:r>
    </w:p>
    <w:p/>
    <w:p>
      <w:r>
        <w:rPr>
          <w:i/>
          <w:color w:val="707070"/>
          <w:sz w:val="18"/>
        </w:rPr>
        <w:t>Logged to ledger: 12 items (2 must-know, 7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social-marketing/metas-push-on-rivals-may-be-pr-genius-if-it-doesnt-overplay-its-hand/" TargetMode="External"/><Relationship Id="rId10" Type="http://schemas.openxmlformats.org/officeDocument/2006/relationships/hyperlink" Target="https://www.warc.com/en/feed/half-of-gen-z-and-millennials-prefer-sharing-financial-details-with-ai-over-humans-918879244aa84655a7e0e8b8a7259d06" TargetMode="External"/><Relationship Id="rId11" Type="http://schemas.openxmlformats.org/officeDocument/2006/relationships/hyperlink" Target="https://www.warc.com/en/feed/brands-need-to-be-aware-of-a-gen-z-trust-paradox-1f25c90d99064f3699416bde755305d1" TargetMode="External"/><Relationship Id="rId12" Type="http://schemas.openxmlformats.org/officeDocument/2006/relationships/hyperlink" Target="https://www.adweek.com/programmatic/275b-ai-startup-hightouch-poaches-googles-agency-whisperer-jitendra-kumar/" TargetMode="External"/><Relationship Id="rId13" Type="http://schemas.openxmlformats.org/officeDocument/2006/relationships/hyperlink" Target="https://www.marketing-interactive.com/omnicom-media-names-new-apac-strategy-chief" TargetMode="External"/><Relationship Id="rId14" Type="http://schemas.openxmlformats.org/officeDocument/2006/relationships/hyperlink" Target="https://www.dazeddigital.com/beauty/article/70865/1/bald-men-good-hair-moral-virtue-tiktok-pure-of-heart-trend-morality-beauty" TargetMode="External"/><Relationship Id="rId15" Type="http://schemas.openxmlformats.org/officeDocument/2006/relationships/hyperlink" Target="https://whatsanu.substack.com/p/semiotics-and-the-macrotrends" TargetMode="External"/><Relationship Id="rId16" Type="http://schemas.openxmlformats.org/officeDocument/2006/relationships/hyperlink" Target="https://www.linkinbio.news/p/32-social-media-hot-takes" TargetMode="External"/><Relationship Id="rId17" Type="http://schemas.openxmlformats.org/officeDocument/2006/relationships/hyperlink" Target="https://www.warc.com/en/feed/how-aperol-turned-the-neglected-spritz-into-a-powerhouse-d7c98a1cb62942baab6dfe2f1da02fac" TargetMode="External"/><Relationship Id="rId18" Type="http://schemas.openxmlformats.org/officeDocument/2006/relationships/hyperlink" Target="https://adage.com/creativity/work/aa-hersheys-katseye-gen-z-campaign/" TargetMode="External"/><Relationship Id="rId19" Type="http://schemas.openxmlformats.org/officeDocument/2006/relationships/hyperlink" Target="https://www.adweek.com/creativity/hersheys-bets-on-katseye-to-become-the-new-it-candy-bar-for-gen-z/" TargetMode="External"/><Relationship Id="rId20" Type="http://schemas.openxmlformats.org/officeDocument/2006/relationships/hyperlink" Target="https://lbbonline.com/news/IKEA-UAE-Swedish-Test-TikTok-Challenge-Students" TargetMode="External"/><Relationship Id="rId21" Type="http://schemas.openxmlformats.org/officeDocument/2006/relationships/hyperlink" Target="https://lbbonline.com/news/maurices-brand-platform-art-of-something-sophie-sty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