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5BD0D" w14:textId="77777777" w:rsidR="0099517C" w:rsidRDefault="00000000">
      <w:pPr>
        <w:pStyle w:val="Heading1"/>
      </w:pPr>
      <w:r>
        <w:t>IRPlaybookAgent – Milestone I Design Document</w:t>
      </w:r>
    </w:p>
    <w:p w14:paraId="64925651" w14:textId="31D722CF" w:rsidR="0099517C" w:rsidRDefault="00000000">
      <w:r>
        <w:t>Guled Ali</w:t>
      </w:r>
      <w:r>
        <w:br/>
        <w:t>CIS 8045 – Agentic AI</w:t>
      </w:r>
      <w:r>
        <w:br/>
      </w:r>
    </w:p>
    <w:p w14:paraId="5D063CE9" w14:textId="77777777" w:rsidR="0099517C" w:rsidRDefault="00000000">
      <w:pPr>
        <w:pStyle w:val="Heading2"/>
      </w:pPr>
      <w:r>
        <w:t>1. System Overview</w:t>
      </w:r>
    </w:p>
    <w:p w14:paraId="535BAE87" w14:textId="77777777" w:rsidR="0099517C" w:rsidRPr="003C3800" w:rsidRDefault="00000000">
      <w:pPr>
        <w:rPr>
          <w:rFonts w:ascii="Times New Roman" w:hAnsi="Times New Roman" w:cs="Times New Roman"/>
          <w:sz w:val="24"/>
          <w:szCs w:val="24"/>
        </w:rPr>
      </w:pPr>
      <w:r w:rsidRPr="003C3800">
        <w:rPr>
          <w:rFonts w:ascii="Times New Roman" w:hAnsi="Times New Roman" w:cs="Times New Roman"/>
          <w:sz w:val="24"/>
          <w:szCs w:val="24"/>
        </w:rPr>
        <w:t>IRPlaybookAgent is a multi-agent AI system designed to assist security teams during cyber incident response. Rather than relying on a single chatbot, the system divides the response process across multiple specialized agents that each perform a specific task. This approach creates a more structured workflow, improves consistency, and allows each agent to focus on a well-defined responsibility.</w:t>
      </w:r>
      <w:r w:rsidRPr="003C3800">
        <w:rPr>
          <w:rFonts w:ascii="Times New Roman" w:hAnsi="Times New Roman" w:cs="Times New Roman"/>
          <w:sz w:val="24"/>
          <w:szCs w:val="24"/>
        </w:rPr>
        <w:br/>
      </w:r>
      <w:r>
        <w:br/>
      </w:r>
      <w:r w:rsidRPr="003C3800">
        <w:rPr>
          <w:rFonts w:ascii="Times New Roman" w:hAnsi="Times New Roman" w:cs="Times New Roman"/>
          <w:sz w:val="24"/>
          <w:szCs w:val="24"/>
        </w:rPr>
        <w:t>The workflow begins when a responder describes an incident in natural language. The system classifies the incident, generates a response playbook aligned with the NIST SP 800-61 framework, validates the recommendations, supports the responder through an interactive advisory session, and finally produces a formal incident report with a HIPAA breach assessment. The project is demonstrated using MedBridge Health Systems, a fictional healthcare organization whose environment introduces realistic security and compliance requirements.</w:t>
      </w:r>
    </w:p>
    <w:p w14:paraId="7F4362DB" w14:textId="77777777" w:rsidR="0099517C" w:rsidRDefault="00000000">
      <w:pPr>
        <w:pStyle w:val="Heading2"/>
      </w:pPr>
      <w:r>
        <w:t>2. Multi-Agent Workflow</w:t>
      </w:r>
    </w:p>
    <w:p w14:paraId="57346863" w14:textId="77777777" w:rsidR="0099517C" w:rsidRPr="003C3800" w:rsidRDefault="00000000">
      <w:pPr>
        <w:rPr>
          <w:rFonts w:ascii="Times New Roman" w:hAnsi="Times New Roman" w:cs="Times New Roman"/>
          <w:sz w:val="24"/>
          <w:szCs w:val="24"/>
        </w:rPr>
      </w:pPr>
      <w:r w:rsidRPr="003C3800">
        <w:rPr>
          <w:rFonts w:ascii="Times New Roman" w:hAnsi="Times New Roman" w:cs="Times New Roman"/>
          <w:sz w:val="24"/>
          <w:szCs w:val="24"/>
        </w:rPr>
        <w:t>The system follows a fixed workflow coordinated by LangGraph. Information flows from the Triage Agent to the Playbook Agent, then to the Critic Agent for validation. After the responder reviews and approves the recommendations, the application enters an Advisor loop where follow-up questions and operational constraints can be discussed without restarting the workflow. When the session is complete, the Documentation Agent generates the final report. The accompanying architecture diagram illustrates this workflow and the relationships between the agents.</w:t>
      </w:r>
    </w:p>
    <w:p w14:paraId="10958F7C" w14:textId="77777777" w:rsidR="0099517C" w:rsidRDefault="00000000">
      <w:pPr>
        <w:pStyle w:val="Heading2"/>
      </w:pPr>
      <w:r>
        <w:t>3. Agent Responsibilities</w:t>
      </w:r>
    </w:p>
    <w:p w14:paraId="78DDC278" w14:textId="6A620C4D" w:rsidR="00502A00" w:rsidRPr="00502A00" w:rsidRDefault="00502A00" w:rsidP="00502A00">
      <w:pPr>
        <w:rPr>
          <w:rFonts w:ascii="Times New Roman" w:hAnsi="Times New Roman" w:cs="Times New Roman"/>
          <w:sz w:val="24"/>
          <w:szCs w:val="24"/>
        </w:rPr>
      </w:pPr>
      <w:r w:rsidRPr="003C3800">
        <w:rPr>
          <w:rFonts w:ascii="Times New Roman" w:hAnsi="Times New Roman" w:cs="Times New Roman"/>
          <w:sz w:val="24"/>
          <w:szCs w:val="24"/>
        </w:rPr>
        <w:t>Each agent performs a specialized function while sharing information through a common state object. Separating responsibilities makes the system easier to maintain, test, and extend compared to placing all logic inside a single model prompt.</w:t>
      </w:r>
    </w:p>
    <w:tbl>
      <w:tblPr>
        <w:tblStyle w:val="TableGrid"/>
        <w:tblW w:w="0" w:type="auto"/>
        <w:tblLook w:val="04A0" w:firstRow="1" w:lastRow="0" w:firstColumn="1" w:lastColumn="0" w:noHBand="0" w:noVBand="1"/>
      </w:tblPr>
      <w:tblGrid>
        <w:gridCol w:w="2156"/>
        <w:gridCol w:w="2159"/>
        <w:gridCol w:w="2156"/>
        <w:gridCol w:w="2159"/>
      </w:tblGrid>
      <w:tr w:rsidR="0099517C" w14:paraId="15F5BD27" w14:textId="77777777">
        <w:tc>
          <w:tcPr>
            <w:tcW w:w="2160" w:type="dxa"/>
          </w:tcPr>
          <w:p w14:paraId="54AE42A4" w14:textId="77777777" w:rsidR="0099517C" w:rsidRDefault="00000000">
            <w:r>
              <w:t>Agent</w:t>
            </w:r>
          </w:p>
        </w:tc>
        <w:tc>
          <w:tcPr>
            <w:tcW w:w="2160" w:type="dxa"/>
          </w:tcPr>
          <w:p w14:paraId="3C3F6911" w14:textId="77777777" w:rsidR="0099517C" w:rsidRDefault="00000000">
            <w:r>
              <w:t>Role</w:t>
            </w:r>
          </w:p>
        </w:tc>
        <w:tc>
          <w:tcPr>
            <w:tcW w:w="2160" w:type="dxa"/>
          </w:tcPr>
          <w:p w14:paraId="67AE82B2" w14:textId="77777777" w:rsidR="0099517C" w:rsidRDefault="00000000">
            <w:r>
              <w:t>Inputs</w:t>
            </w:r>
          </w:p>
        </w:tc>
        <w:tc>
          <w:tcPr>
            <w:tcW w:w="2160" w:type="dxa"/>
          </w:tcPr>
          <w:p w14:paraId="2CD8D87B" w14:textId="77777777" w:rsidR="0099517C" w:rsidRDefault="00000000">
            <w:r>
              <w:t>Outputs</w:t>
            </w:r>
          </w:p>
        </w:tc>
      </w:tr>
      <w:tr w:rsidR="0099517C" w14:paraId="525BD645" w14:textId="77777777">
        <w:tc>
          <w:tcPr>
            <w:tcW w:w="2160" w:type="dxa"/>
          </w:tcPr>
          <w:p w14:paraId="0F664C2D" w14:textId="77777777" w:rsidR="0099517C" w:rsidRDefault="00000000">
            <w:r>
              <w:t>Triage</w:t>
            </w:r>
          </w:p>
        </w:tc>
        <w:tc>
          <w:tcPr>
            <w:tcW w:w="2160" w:type="dxa"/>
          </w:tcPr>
          <w:p w14:paraId="62850701" w14:textId="77777777" w:rsidR="0099517C" w:rsidRDefault="00000000">
            <w:r>
              <w:t>Classifies the incident and identifies severity.</w:t>
            </w:r>
          </w:p>
        </w:tc>
        <w:tc>
          <w:tcPr>
            <w:tcW w:w="2160" w:type="dxa"/>
          </w:tcPr>
          <w:p w14:paraId="246A9518" w14:textId="77777777" w:rsidR="0099517C" w:rsidRDefault="00000000">
            <w:r>
              <w:t>Incident description, organization profile</w:t>
            </w:r>
          </w:p>
        </w:tc>
        <w:tc>
          <w:tcPr>
            <w:tcW w:w="2160" w:type="dxa"/>
          </w:tcPr>
          <w:p w14:paraId="27E68A7E" w14:textId="77777777" w:rsidR="0099517C" w:rsidRDefault="00000000">
            <w:r>
              <w:t>Incident type, severity, affected systems, MITRE techniques, immediate actions</w:t>
            </w:r>
          </w:p>
        </w:tc>
      </w:tr>
      <w:tr w:rsidR="0099517C" w14:paraId="59B7CE98" w14:textId="77777777">
        <w:tc>
          <w:tcPr>
            <w:tcW w:w="2160" w:type="dxa"/>
          </w:tcPr>
          <w:p w14:paraId="2837EE62" w14:textId="77777777" w:rsidR="0099517C" w:rsidRDefault="00000000">
            <w:r>
              <w:t>Playbook</w:t>
            </w:r>
          </w:p>
        </w:tc>
        <w:tc>
          <w:tcPr>
            <w:tcW w:w="2160" w:type="dxa"/>
          </w:tcPr>
          <w:p w14:paraId="04C0ECDD" w14:textId="77777777" w:rsidR="0099517C" w:rsidRDefault="00000000">
            <w:r>
              <w:t xml:space="preserve">Builds a NIST SP </w:t>
            </w:r>
            <w:r>
              <w:lastRenderedPageBreak/>
              <w:t>800-61 response plan.</w:t>
            </w:r>
          </w:p>
        </w:tc>
        <w:tc>
          <w:tcPr>
            <w:tcW w:w="2160" w:type="dxa"/>
          </w:tcPr>
          <w:p w14:paraId="784B83CB" w14:textId="77777777" w:rsidR="0099517C" w:rsidRDefault="00000000">
            <w:r>
              <w:lastRenderedPageBreak/>
              <w:t>Triage results</w:t>
            </w:r>
          </w:p>
        </w:tc>
        <w:tc>
          <w:tcPr>
            <w:tcW w:w="2160" w:type="dxa"/>
          </w:tcPr>
          <w:p w14:paraId="040BF4B7" w14:textId="77777777" w:rsidR="0099517C" w:rsidRDefault="00000000">
            <w:r>
              <w:t xml:space="preserve">Four-phase incident </w:t>
            </w:r>
            <w:r>
              <w:lastRenderedPageBreak/>
              <w:t>response playbook</w:t>
            </w:r>
          </w:p>
        </w:tc>
      </w:tr>
      <w:tr w:rsidR="0099517C" w14:paraId="5CE9D193" w14:textId="77777777">
        <w:tc>
          <w:tcPr>
            <w:tcW w:w="2160" w:type="dxa"/>
          </w:tcPr>
          <w:p w14:paraId="7B7D8D4F" w14:textId="77777777" w:rsidR="0099517C" w:rsidRDefault="00000000">
            <w:r>
              <w:lastRenderedPageBreak/>
              <w:t>Critic</w:t>
            </w:r>
          </w:p>
        </w:tc>
        <w:tc>
          <w:tcPr>
            <w:tcW w:w="2160" w:type="dxa"/>
          </w:tcPr>
          <w:p w14:paraId="1AA305B7" w14:textId="77777777" w:rsidR="0099517C" w:rsidRDefault="00000000">
            <w:r>
              <w:t>Reviews recommendations for quality and safety.</w:t>
            </w:r>
          </w:p>
        </w:tc>
        <w:tc>
          <w:tcPr>
            <w:tcW w:w="2160" w:type="dxa"/>
          </w:tcPr>
          <w:p w14:paraId="7B1EF440" w14:textId="77777777" w:rsidR="0099517C" w:rsidRDefault="00000000">
            <w:r>
              <w:t>Generated playbook</w:t>
            </w:r>
          </w:p>
        </w:tc>
        <w:tc>
          <w:tcPr>
            <w:tcW w:w="2160" w:type="dxa"/>
          </w:tcPr>
          <w:p w14:paraId="6D8D32FC" w14:textId="77777777" w:rsidR="0099517C" w:rsidRDefault="00000000">
            <w:r>
              <w:t>Issues found and revised playbook</w:t>
            </w:r>
          </w:p>
        </w:tc>
      </w:tr>
      <w:tr w:rsidR="0099517C" w14:paraId="3574A24E" w14:textId="77777777">
        <w:tc>
          <w:tcPr>
            <w:tcW w:w="2160" w:type="dxa"/>
          </w:tcPr>
          <w:p w14:paraId="1119E120" w14:textId="77777777" w:rsidR="0099517C" w:rsidRDefault="00000000">
            <w:r>
              <w:t>Advisor</w:t>
            </w:r>
          </w:p>
        </w:tc>
        <w:tc>
          <w:tcPr>
            <w:tcW w:w="2160" w:type="dxa"/>
          </w:tcPr>
          <w:p w14:paraId="28DE519B" w14:textId="77777777" w:rsidR="0099517C" w:rsidRDefault="00000000">
            <w:r>
              <w:t>Provides interactive guidance throughout the response.</w:t>
            </w:r>
          </w:p>
        </w:tc>
        <w:tc>
          <w:tcPr>
            <w:tcW w:w="2160" w:type="dxa"/>
          </w:tcPr>
          <w:p w14:paraId="73ED7DFF" w14:textId="77777777" w:rsidR="0099517C" w:rsidRDefault="00000000">
            <w:r>
              <w:t>Conversation history, constraints, current state</w:t>
            </w:r>
          </w:p>
        </w:tc>
        <w:tc>
          <w:tcPr>
            <w:tcW w:w="2160" w:type="dxa"/>
          </w:tcPr>
          <w:p w14:paraId="7907A5E8" w14:textId="77777777" w:rsidR="0099517C" w:rsidRDefault="00000000">
            <w:r>
              <w:t>Updated recommendations and logged constraints</w:t>
            </w:r>
          </w:p>
        </w:tc>
      </w:tr>
      <w:tr w:rsidR="0099517C" w14:paraId="0654F820" w14:textId="77777777">
        <w:tc>
          <w:tcPr>
            <w:tcW w:w="2160" w:type="dxa"/>
          </w:tcPr>
          <w:p w14:paraId="568348E6" w14:textId="77777777" w:rsidR="0099517C" w:rsidRDefault="00000000">
            <w:r>
              <w:t>Documentation</w:t>
            </w:r>
          </w:p>
        </w:tc>
        <w:tc>
          <w:tcPr>
            <w:tcW w:w="2160" w:type="dxa"/>
          </w:tcPr>
          <w:p w14:paraId="05909319" w14:textId="77777777" w:rsidR="0099517C" w:rsidRDefault="00000000">
            <w:r>
              <w:t>Produces the final incident report.</w:t>
            </w:r>
          </w:p>
        </w:tc>
        <w:tc>
          <w:tcPr>
            <w:tcW w:w="2160" w:type="dxa"/>
          </w:tcPr>
          <w:p w14:paraId="1667DD02" w14:textId="77777777" w:rsidR="0099517C" w:rsidRDefault="00000000">
            <w:r>
              <w:t>Complete AgentState</w:t>
            </w:r>
          </w:p>
        </w:tc>
        <w:tc>
          <w:tcPr>
            <w:tcW w:w="2160" w:type="dxa"/>
          </w:tcPr>
          <w:p w14:paraId="29964EAC" w14:textId="77777777" w:rsidR="0099517C" w:rsidRDefault="00000000">
            <w:r>
              <w:t>Incident report and HIPAA assessment</w:t>
            </w:r>
          </w:p>
        </w:tc>
      </w:tr>
    </w:tbl>
    <w:p w14:paraId="45EC286B" w14:textId="77777777" w:rsidR="0099517C" w:rsidRDefault="00000000">
      <w:pPr>
        <w:pStyle w:val="Heading2"/>
      </w:pPr>
      <w:r>
        <w:t>4. Agent Communication and Coordination</w:t>
      </w:r>
    </w:p>
    <w:p w14:paraId="0FD76817" w14:textId="77777777" w:rsidR="0099517C" w:rsidRDefault="00000000">
      <w:r w:rsidRPr="003C3800">
        <w:rPr>
          <w:rFonts w:ascii="Times New Roman" w:hAnsi="Times New Roman" w:cs="Times New Roman"/>
          <w:sz w:val="24"/>
          <w:szCs w:val="24"/>
        </w:rPr>
        <w:t>The agents communicate through a shared LangGraph TypedDict called AgentState. Instead of sending messages directly to one another, every agent reads the information it needs from the shared state and writes its results back for the next stage. This centralized approach keeps the workflow organized and ensures every agent works from the same incident context.</w:t>
      </w:r>
      <w:r w:rsidRPr="003C3800">
        <w:rPr>
          <w:rFonts w:ascii="Times New Roman" w:hAnsi="Times New Roman" w:cs="Times New Roman"/>
          <w:sz w:val="24"/>
          <w:szCs w:val="24"/>
        </w:rPr>
        <w:br/>
      </w:r>
      <w:r>
        <w:br/>
      </w:r>
      <w:r w:rsidRPr="003C3800">
        <w:rPr>
          <w:rFonts w:ascii="Times New Roman" w:hAnsi="Times New Roman" w:cs="Times New Roman"/>
          <w:sz w:val="24"/>
          <w:szCs w:val="24"/>
        </w:rPr>
        <w:t>A fixed pipeline was selected because incident response naturally follows a sequence: an incident must first be classified before a response plan can be generated, and the playbook should be validated before it reaches the responder. The Advisor Agent is intentionally implemented outside the LangGraph pipeline so users can continue asking questions without rerunning the entire workflow.</w:t>
      </w:r>
    </w:p>
    <w:p w14:paraId="55C0FE50" w14:textId="77777777" w:rsidR="0099517C" w:rsidRDefault="00000000">
      <w:pPr>
        <w:pStyle w:val="Heading2"/>
      </w:pPr>
      <w:r>
        <w:t>5. Failure Handling</w:t>
      </w:r>
    </w:p>
    <w:tbl>
      <w:tblPr>
        <w:tblStyle w:val="TableGrid"/>
        <w:tblW w:w="0" w:type="auto"/>
        <w:tblLook w:val="04A0" w:firstRow="1" w:lastRow="0" w:firstColumn="1" w:lastColumn="0" w:noHBand="0" w:noVBand="1"/>
      </w:tblPr>
      <w:tblGrid>
        <w:gridCol w:w="4315"/>
        <w:gridCol w:w="4315"/>
      </w:tblGrid>
      <w:tr w:rsidR="0099517C" w14:paraId="14E4355F" w14:textId="77777777">
        <w:tc>
          <w:tcPr>
            <w:tcW w:w="4320" w:type="dxa"/>
          </w:tcPr>
          <w:p w14:paraId="67E93999" w14:textId="77777777" w:rsidR="0099517C" w:rsidRDefault="00000000">
            <w:r>
              <w:t>Agent</w:t>
            </w:r>
          </w:p>
        </w:tc>
        <w:tc>
          <w:tcPr>
            <w:tcW w:w="4320" w:type="dxa"/>
          </w:tcPr>
          <w:p w14:paraId="79538A0E" w14:textId="77777777" w:rsidR="0099517C" w:rsidRDefault="00000000">
            <w:r>
              <w:t>Fallback Strategy</w:t>
            </w:r>
          </w:p>
        </w:tc>
      </w:tr>
      <w:tr w:rsidR="0099517C" w14:paraId="5E657406" w14:textId="77777777">
        <w:tc>
          <w:tcPr>
            <w:tcW w:w="4320" w:type="dxa"/>
          </w:tcPr>
          <w:p w14:paraId="11E041C6" w14:textId="77777777" w:rsidR="0099517C" w:rsidRDefault="00000000">
            <w:r>
              <w:t>Triage</w:t>
            </w:r>
          </w:p>
        </w:tc>
        <w:tc>
          <w:tcPr>
            <w:tcW w:w="4320" w:type="dxa"/>
          </w:tcPr>
          <w:p w14:paraId="63480E9C" w14:textId="77777777" w:rsidR="0099517C" w:rsidRDefault="00000000">
            <w:r>
              <w:t>Applies conservative defaults for severity and affected systems.</w:t>
            </w:r>
          </w:p>
        </w:tc>
      </w:tr>
      <w:tr w:rsidR="0099517C" w14:paraId="7053A658" w14:textId="77777777">
        <w:tc>
          <w:tcPr>
            <w:tcW w:w="4320" w:type="dxa"/>
          </w:tcPr>
          <w:p w14:paraId="752105F5" w14:textId="77777777" w:rsidR="0099517C" w:rsidRDefault="00000000">
            <w:r>
              <w:t>Playbook</w:t>
            </w:r>
          </w:p>
        </w:tc>
        <w:tc>
          <w:tcPr>
            <w:tcW w:w="4320" w:type="dxa"/>
          </w:tcPr>
          <w:p w14:paraId="0EEE8AE8" w14:textId="77777777" w:rsidR="0099517C" w:rsidRDefault="00000000">
            <w:r>
              <w:t>Uses a predefined NIST-based response playbook.</w:t>
            </w:r>
          </w:p>
        </w:tc>
      </w:tr>
      <w:tr w:rsidR="0099517C" w14:paraId="54EF2E32" w14:textId="77777777">
        <w:tc>
          <w:tcPr>
            <w:tcW w:w="4320" w:type="dxa"/>
          </w:tcPr>
          <w:p w14:paraId="5421636C" w14:textId="77777777" w:rsidR="0099517C" w:rsidRDefault="00000000">
            <w:r>
              <w:t>Critic</w:t>
            </w:r>
          </w:p>
        </w:tc>
        <w:tc>
          <w:tcPr>
            <w:tcW w:w="4320" w:type="dxa"/>
          </w:tcPr>
          <w:p w14:paraId="1FEFFDFA" w14:textId="77777777" w:rsidR="0099517C" w:rsidRDefault="00000000">
            <w:r>
              <w:t>Returns the original playbook with a manual review warning.</w:t>
            </w:r>
          </w:p>
        </w:tc>
      </w:tr>
      <w:tr w:rsidR="0099517C" w14:paraId="5D9474E0" w14:textId="77777777">
        <w:tc>
          <w:tcPr>
            <w:tcW w:w="4320" w:type="dxa"/>
          </w:tcPr>
          <w:p w14:paraId="76CC0DDA" w14:textId="77777777" w:rsidR="0099517C" w:rsidRDefault="00000000">
            <w:r>
              <w:t>Advisor</w:t>
            </w:r>
          </w:p>
        </w:tc>
        <w:tc>
          <w:tcPr>
            <w:tcW w:w="4320" w:type="dxa"/>
          </w:tcPr>
          <w:p w14:paraId="0D3C4E4C" w14:textId="77777777" w:rsidR="0099517C" w:rsidRDefault="00000000">
            <w:r>
              <w:t>Advises the user to continue with the approved playbook.</w:t>
            </w:r>
          </w:p>
        </w:tc>
      </w:tr>
      <w:tr w:rsidR="0099517C" w14:paraId="676F221E" w14:textId="77777777">
        <w:tc>
          <w:tcPr>
            <w:tcW w:w="4320" w:type="dxa"/>
          </w:tcPr>
          <w:p w14:paraId="2354A937" w14:textId="77777777" w:rsidR="0099517C" w:rsidRDefault="00000000">
            <w:r>
              <w:t>Documentation</w:t>
            </w:r>
          </w:p>
        </w:tc>
        <w:tc>
          <w:tcPr>
            <w:tcW w:w="4320" w:type="dxa"/>
          </w:tcPr>
          <w:p w14:paraId="01EC75C8" w14:textId="77777777" w:rsidR="0099517C" w:rsidRDefault="00000000">
            <w:r>
              <w:t>Saves a simplified report so no session data is lost.</w:t>
            </w:r>
          </w:p>
        </w:tc>
      </w:tr>
    </w:tbl>
    <w:p w14:paraId="2D7CB60A" w14:textId="77777777" w:rsidR="0099517C" w:rsidRPr="003C3800" w:rsidRDefault="00000000">
      <w:pPr>
        <w:rPr>
          <w:rFonts w:ascii="Times New Roman" w:hAnsi="Times New Roman" w:cs="Times New Roman"/>
          <w:sz w:val="24"/>
          <w:szCs w:val="24"/>
        </w:rPr>
      </w:pPr>
      <w:r w:rsidRPr="003C3800">
        <w:rPr>
          <w:rFonts w:ascii="Times New Roman" w:hAnsi="Times New Roman" w:cs="Times New Roman"/>
          <w:sz w:val="24"/>
          <w:szCs w:val="24"/>
        </w:rPr>
        <w:t>Providing fallback behavior improves reliability by allowing the workflow to continue even if an external language model or API becomes unavailable. Warning flags also indicate when fallback logic was used so responders know which recommendations require additional review.</w:t>
      </w:r>
    </w:p>
    <w:p w14:paraId="24605FA6" w14:textId="77777777" w:rsidR="0099517C" w:rsidRDefault="00000000">
      <w:pPr>
        <w:pStyle w:val="Heading2"/>
      </w:pPr>
      <w:r>
        <w:lastRenderedPageBreak/>
        <w:t>6. Key Design Decisions</w:t>
      </w:r>
    </w:p>
    <w:p w14:paraId="204217C2" w14:textId="77777777" w:rsidR="0099517C" w:rsidRDefault="00000000">
      <w:pPr>
        <w:rPr>
          <w:rFonts w:ascii="Times New Roman" w:hAnsi="Times New Roman" w:cs="Times New Roman"/>
          <w:sz w:val="24"/>
          <w:szCs w:val="24"/>
        </w:rPr>
      </w:pPr>
      <w:r w:rsidRPr="003C3800">
        <w:rPr>
          <w:rFonts w:ascii="Times New Roman" w:hAnsi="Times New Roman" w:cs="Times New Roman"/>
          <w:sz w:val="24"/>
          <w:szCs w:val="24"/>
        </w:rPr>
        <w:t>Several design decisions guided the implementation. LangGraph was selected because it provides a simple way to orchestrate multiple agents while maintaining shared state. A fixed pipeline was used because incident response has a logical sequence of tasks. Human approval was included before entering the advisory stage to keep analysts in control of important security decisions. The HIPAA assessment is generated only after the session ends because the Documentation Agent has access to the complete incident history, allowing it to produce a more accurate compliance assessment. Finally, organization-specific information is stored separately from the application logic, making it easy to adapt the system to different organizations without changing the underlying code.</w:t>
      </w:r>
    </w:p>
    <w:p w14:paraId="724EC0AD" w14:textId="77777777" w:rsidR="00502A00" w:rsidRDefault="00502A00">
      <w:pPr>
        <w:rPr>
          <w:rFonts w:ascii="Times New Roman" w:hAnsi="Times New Roman" w:cs="Times New Roman"/>
          <w:sz w:val="24"/>
          <w:szCs w:val="24"/>
        </w:rPr>
      </w:pPr>
    </w:p>
    <w:p w14:paraId="61ADEC36" w14:textId="37848D22" w:rsidR="00502A00" w:rsidRDefault="00502A00" w:rsidP="00502A00">
      <w:pPr>
        <w:jc w:val="center"/>
        <w:rPr>
          <w:rFonts w:ascii="Times New Roman" w:hAnsi="Times New Roman" w:cs="Times New Roman"/>
          <w:sz w:val="24"/>
          <w:szCs w:val="24"/>
        </w:rPr>
      </w:pPr>
      <w:r>
        <w:rPr>
          <w:rFonts w:ascii="Times New Roman" w:hAnsi="Times New Roman" w:cs="Times New Roman"/>
          <w:sz w:val="24"/>
          <w:szCs w:val="24"/>
        </w:rPr>
        <w:t>Reference</w:t>
      </w:r>
    </w:p>
    <w:p w14:paraId="295A9701" w14:textId="77777777" w:rsidR="00502A00" w:rsidRPr="00502A00" w:rsidRDefault="00502A00" w:rsidP="00502A00">
      <w:pPr>
        <w:rPr>
          <w:rFonts w:ascii="Times New Roman" w:hAnsi="Times New Roman" w:cs="Times New Roman"/>
          <w:sz w:val="24"/>
          <w:szCs w:val="24"/>
        </w:rPr>
      </w:pPr>
      <w:r w:rsidRPr="00502A00">
        <w:rPr>
          <w:rFonts w:ascii="Times New Roman" w:hAnsi="Times New Roman" w:cs="Times New Roman"/>
          <w:sz w:val="24"/>
          <w:szCs w:val="24"/>
        </w:rPr>
        <w:t>Cichonski, Paul, et al. "Computer Security Incident Handling Guide." National Institute of Standards and Technology, Aug. 2012, nvlpubs.nist.gov/nistpubs/SpecialPublications/NIST.SP.800-61r2.pdf.</w:t>
      </w:r>
    </w:p>
    <w:p w14:paraId="135FD6C9" w14:textId="77777777" w:rsidR="00502A00" w:rsidRPr="00502A00" w:rsidRDefault="00502A00" w:rsidP="00502A00">
      <w:pPr>
        <w:rPr>
          <w:rFonts w:ascii="Times New Roman" w:hAnsi="Times New Roman" w:cs="Times New Roman"/>
          <w:sz w:val="24"/>
          <w:szCs w:val="24"/>
        </w:rPr>
      </w:pPr>
      <w:r w:rsidRPr="00502A00">
        <w:rPr>
          <w:rFonts w:ascii="Times New Roman" w:hAnsi="Times New Roman" w:cs="Times New Roman"/>
          <w:sz w:val="24"/>
          <w:szCs w:val="24"/>
        </w:rPr>
        <w:t xml:space="preserve">"Health Insurance Portability and Accountability Act of 1996." U.S. Department of Health &amp; Human Services, 1996, </w:t>
      </w:r>
      <w:hyperlink r:id="rId6" w:history="1">
        <w:r w:rsidRPr="00502A00">
          <w:rPr>
            <w:rStyle w:val="Hyperlink"/>
            <w:rFonts w:ascii="Times New Roman" w:hAnsi="Times New Roman" w:cs="Times New Roman"/>
            <w:sz w:val="24"/>
            <w:szCs w:val="24"/>
          </w:rPr>
          <w:t>www.hhs.gov/hipaa</w:t>
        </w:r>
      </w:hyperlink>
      <w:r w:rsidRPr="00502A00">
        <w:rPr>
          <w:rFonts w:ascii="Times New Roman" w:hAnsi="Times New Roman" w:cs="Times New Roman"/>
          <w:sz w:val="24"/>
          <w:szCs w:val="24"/>
        </w:rPr>
        <w:t>.</w:t>
      </w:r>
    </w:p>
    <w:p w14:paraId="5EBF9331" w14:textId="77777777" w:rsidR="00502A00" w:rsidRPr="00502A00" w:rsidRDefault="00502A00" w:rsidP="00502A00">
      <w:pPr>
        <w:rPr>
          <w:rFonts w:ascii="Times New Roman" w:hAnsi="Times New Roman" w:cs="Times New Roman"/>
          <w:sz w:val="24"/>
          <w:szCs w:val="24"/>
        </w:rPr>
      </w:pPr>
      <w:r w:rsidRPr="00502A00">
        <w:rPr>
          <w:rFonts w:ascii="Times New Roman" w:hAnsi="Times New Roman" w:cs="Times New Roman"/>
          <w:sz w:val="24"/>
          <w:szCs w:val="24"/>
        </w:rPr>
        <w:t>"</w:t>
      </w:r>
      <w:proofErr w:type="spellStart"/>
      <w:r w:rsidRPr="00502A00">
        <w:rPr>
          <w:rFonts w:ascii="Times New Roman" w:hAnsi="Times New Roman" w:cs="Times New Roman"/>
          <w:sz w:val="24"/>
          <w:szCs w:val="24"/>
        </w:rPr>
        <w:t>LangGraph</w:t>
      </w:r>
      <w:proofErr w:type="spellEnd"/>
      <w:r w:rsidRPr="00502A00">
        <w:rPr>
          <w:rFonts w:ascii="Times New Roman" w:hAnsi="Times New Roman" w:cs="Times New Roman"/>
          <w:sz w:val="24"/>
          <w:szCs w:val="24"/>
        </w:rPr>
        <w:t xml:space="preserve">." </w:t>
      </w:r>
      <w:proofErr w:type="spellStart"/>
      <w:r w:rsidRPr="00502A00">
        <w:rPr>
          <w:rFonts w:ascii="Times New Roman" w:hAnsi="Times New Roman" w:cs="Times New Roman"/>
          <w:sz w:val="24"/>
          <w:szCs w:val="24"/>
        </w:rPr>
        <w:t>LangChain</w:t>
      </w:r>
      <w:proofErr w:type="spellEnd"/>
      <w:r w:rsidRPr="00502A00">
        <w:rPr>
          <w:rFonts w:ascii="Times New Roman" w:hAnsi="Times New Roman" w:cs="Times New Roman"/>
          <w:sz w:val="24"/>
          <w:szCs w:val="24"/>
        </w:rPr>
        <w:t>, Inc., 2024, langchain-ai.github.io/</w:t>
      </w:r>
      <w:proofErr w:type="spellStart"/>
      <w:r w:rsidRPr="00502A00">
        <w:rPr>
          <w:rFonts w:ascii="Times New Roman" w:hAnsi="Times New Roman" w:cs="Times New Roman"/>
          <w:sz w:val="24"/>
          <w:szCs w:val="24"/>
        </w:rPr>
        <w:t>langgraph</w:t>
      </w:r>
      <w:proofErr w:type="spellEnd"/>
      <w:r w:rsidRPr="00502A00">
        <w:rPr>
          <w:rFonts w:ascii="Times New Roman" w:hAnsi="Times New Roman" w:cs="Times New Roman"/>
          <w:sz w:val="24"/>
          <w:szCs w:val="24"/>
        </w:rPr>
        <w:t>.</w:t>
      </w:r>
    </w:p>
    <w:p w14:paraId="767EA526" w14:textId="77777777" w:rsidR="00502A00" w:rsidRPr="00502A00" w:rsidRDefault="00502A00" w:rsidP="00502A00">
      <w:pPr>
        <w:rPr>
          <w:rFonts w:ascii="Times New Roman" w:hAnsi="Times New Roman" w:cs="Times New Roman"/>
          <w:sz w:val="24"/>
          <w:szCs w:val="24"/>
        </w:rPr>
      </w:pPr>
      <w:r w:rsidRPr="00502A00">
        <w:rPr>
          <w:rFonts w:ascii="Times New Roman" w:hAnsi="Times New Roman" w:cs="Times New Roman"/>
          <w:sz w:val="24"/>
          <w:szCs w:val="24"/>
        </w:rPr>
        <w:t>"MITRE ATT&amp;CK Enterprise Matrix." MITRE Corporation, 2024, attack.mitre.org.</w:t>
      </w:r>
    </w:p>
    <w:p w14:paraId="40F5C55E" w14:textId="77777777" w:rsidR="00502A00" w:rsidRPr="003C3800" w:rsidRDefault="00502A00" w:rsidP="00502A00">
      <w:pPr>
        <w:rPr>
          <w:rFonts w:ascii="Times New Roman" w:hAnsi="Times New Roman" w:cs="Times New Roman"/>
          <w:sz w:val="24"/>
          <w:szCs w:val="24"/>
        </w:rPr>
      </w:pPr>
    </w:p>
    <w:sectPr w:rsidR="00502A00" w:rsidRPr="003C38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7585612">
    <w:abstractNumId w:val="8"/>
  </w:num>
  <w:num w:numId="2" w16cid:durableId="1645089227">
    <w:abstractNumId w:val="6"/>
  </w:num>
  <w:num w:numId="3" w16cid:durableId="1372267477">
    <w:abstractNumId w:val="5"/>
  </w:num>
  <w:num w:numId="4" w16cid:durableId="442188377">
    <w:abstractNumId w:val="4"/>
  </w:num>
  <w:num w:numId="5" w16cid:durableId="25763376">
    <w:abstractNumId w:val="7"/>
  </w:num>
  <w:num w:numId="6" w16cid:durableId="855994921">
    <w:abstractNumId w:val="3"/>
  </w:num>
  <w:num w:numId="7" w16cid:durableId="1651210340">
    <w:abstractNumId w:val="2"/>
  </w:num>
  <w:num w:numId="8" w16cid:durableId="1043596978">
    <w:abstractNumId w:val="1"/>
  </w:num>
  <w:num w:numId="9" w16cid:durableId="501162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14B4"/>
    <w:rsid w:val="003C3800"/>
    <w:rsid w:val="00502A00"/>
    <w:rsid w:val="0099517C"/>
    <w:rsid w:val="00A146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E4FD9"/>
  <w14:defaultImageDpi w14:val="300"/>
  <w15:docId w15:val="{A6B38E01-F526-4965-B177-596E7C281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02A00"/>
    <w:rPr>
      <w:color w:val="0000FF" w:themeColor="hyperlink"/>
      <w:u w:val="single"/>
    </w:rPr>
  </w:style>
  <w:style w:type="character" w:styleId="UnresolvedMention">
    <w:name w:val="Unresolved Mention"/>
    <w:basedOn w:val="DefaultParagraphFont"/>
    <w:uiPriority w:val="99"/>
    <w:semiHidden/>
    <w:unhideWhenUsed/>
    <w:rsid w:val="00502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hhs.gov/hipa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Guled Ali</cp:lastModifiedBy>
  <cp:revision>2</cp:revision>
  <dcterms:created xsi:type="dcterms:W3CDTF">2026-06-30T19:32:00Z</dcterms:created>
  <dcterms:modified xsi:type="dcterms:W3CDTF">2026-06-30T19:32:00Z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fc9cf54b-b91f-4d18-8258-ca2fad11e3f8</vt:lpwstr>
  </property>
</Properties>
</file>