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526650F" w14:textId="77777777" w:rsidR="00CF2047" w:rsidRPr="009A0475" w:rsidRDefault="00CF2047" w:rsidP="00CF2047">
      <w:pPr>
        <w:pStyle w:val="Heading2"/>
        <w:rPr>
          <w:rFonts w:asciiTheme="minorHAnsi" w:hAnsiTheme="minorHAnsi" w:cstheme="minorHAnsi"/>
          <w:color w:val="auto"/>
          <w:sz w:val="24"/>
          <w:szCs w:val="24"/>
        </w:rPr>
      </w:pPr>
      <w:r>
        <w:rPr>
          <w:rFonts w:asciiTheme="minorHAnsi" w:hAnsiTheme="minorHAnsi" w:cstheme="minorHAnsi"/>
          <w:noProof/>
          <w:color w:val="auto"/>
          <w:sz w:val="24"/>
          <w:szCs w:val="24"/>
        </w:rPr>
        <w:t>engineering</w:t>
      </w:r>
      <w:r>
        <w:rPr>
          <w:rFonts w:asciiTheme="minorHAnsi" w:hAnsiTheme="minorHAnsi" w:cstheme="minorHAnsi"/>
          <w:color w:val="auto"/>
          <w:sz w:val="24"/>
          <w:szCs w:val="24"/>
        </w:rPr>
        <w:t xml:space="preserve"> College – CoMputer software department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227" w:type="dxa"/>
          <w:bottom w:w="57" w:type="dxa"/>
          <w:right w:w="227" w:type="dxa"/>
        </w:tblCellMar>
        <w:tblLook w:val="04A0" w:firstRow="1" w:lastRow="0" w:firstColumn="1" w:lastColumn="0" w:noHBand="0" w:noVBand="1"/>
      </w:tblPr>
      <w:tblGrid>
        <w:gridCol w:w="4493"/>
        <w:gridCol w:w="3321"/>
        <w:gridCol w:w="2615"/>
      </w:tblGrid>
      <w:tr w:rsidR="009368BB" w:rsidRPr="009A0475" w14:paraId="4C2B689D" w14:textId="77777777" w:rsidTr="00DF7EB6">
        <w:trPr>
          <w:cantSplit/>
          <w:jc w:val="center"/>
        </w:trPr>
        <w:tc>
          <w:tcPr>
            <w:tcW w:w="10424" w:type="dxa"/>
            <w:gridSpan w:val="3"/>
            <w:vAlign w:val="center"/>
          </w:tcPr>
          <w:p w14:paraId="0CFFCB6A" w14:textId="65A8F928"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INSTRUCTORS NAME: Dr. Passent Elkafrawy</w:t>
            </w:r>
          </w:p>
        </w:tc>
      </w:tr>
      <w:tr w:rsidR="009368BB" w:rsidRPr="009A0475" w14:paraId="45027F1C" w14:textId="77777777" w:rsidTr="00DF7EB6">
        <w:trPr>
          <w:cantSplit/>
          <w:jc w:val="center"/>
        </w:trPr>
        <w:tc>
          <w:tcPr>
            <w:tcW w:w="4493" w:type="dxa"/>
            <w:vAlign w:val="center"/>
          </w:tcPr>
          <w:p w14:paraId="38593756" w14:textId="6F5A3240" w:rsidR="00CF2047" w:rsidRPr="009A0475" w:rsidRDefault="00CF2047" w:rsidP="00734E0A">
            <w:pPr>
              <w:rPr>
                <w:rFonts w:asciiTheme="minorHAnsi" w:hAnsiTheme="minorHAnsi" w:cstheme="minorHAnsi"/>
                <w:b/>
                <w:bCs/>
                <w:sz w:val="24"/>
                <w:lang w:val="en-US"/>
              </w:rPr>
            </w:pPr>
            <w:r>
              <w:rPr>
                <w:rFonts w:asciiTheme="minorHAnsi" w:hAnsiTheme="minorHAnsi" w:cstheme="minorHAnsi"/>
                <w:b/>
                <w:bCs/>
                <w:sz w:val="24"/>
                <w:lang w:val="en-US"/>
              </w:rPr>
              <w:t xml:space="preserve">COURSE NAME: Software Engineering</w:t>
            </w:r>
          </w:p>
        </w:tc>
        <w:tc>
          <w:tcPr>
            <w:tcW w:w="3321" w:type="dxa"/>
            <w:vAlign w:val="center"/>
          </w:tcPr>
          <w:p w14:paraId="51ACB216" w14:textId="3C537D6E" w:rsidR="00CF2047" w:rsidRPr="009A0475" w:rsidRDefault="00CF2047" w:rsidP="0097221B">
            <w:pPr>
              <w:rPr>
                <w:rFonts w:asciiTheme="minorHAnsi" w:hAnsiTheme="minorHAnsi" w:cstheme="minorHAnsi"/>
                <w:b/>
                <w:bCs/>
                <w:sz w:val="24"/>
                <w:lang w:val="en-US"/>
              </w:rPr>
            </w:pPr>
            <w:r>
              <w:rPr>
                <w:rFonts w:asciiTheme="minorHAnsi" w:hAnsiTheme="minorHAnsi" w:cstheme="minorHAnsi"/>
                <w:b/>
                <w:bCs/>
                <w:sz w:val="24"/>
                <w:lang w:val="en-US"/>
              </w:rPr>
              <w:t xml:space="preserve">COURSE NUMBER: CS3151</w:t>
            </w:r>
          </w:p>
        </w:tc>
        <w:tc>
          <w:tcPr>
            <w:tcW w:w="2610" w:type="dxa"/>
            <w:vAlign w:val="center"/>
          </w:tcPr>
          <w:p w14:paraId="6938D9A5" w14:textId="78E4C445" w:rsidR="00CF2047" w:rsidRPr="009A0475" w:rsidRDefault="00CF2047" w:rsidP="00BB72A2">
            <w:pPr>
              <w:rPr>
                <w:rFonts w:asciiTheme="minorHAnsi" w:hAnsiTheme="minorHAnsi" w:cstheme="minorHAnsi"/>
                <w:b/>
                <w:bCs/>
                <w:sz w:val="24"/>
                <w:lang w:val="en-US"/>
              </w:rPr>
            </w:pPr>
            <w:r>
              <w:rPr>
                <w:rFonts w:asciiTheme="minorHAnsi" w:hAnsiTheme="minorHAnsi" w:cstheme="minorHAnsi"/>
                <w:b/>
                <w:bCs/>
                <w:sz w:val="24"/>
                <w:lang w:val="en-US"/>
              </w:rPr>
              <w:t xml:space="preserve">SECTION: 3</w:t>
            </w:r>
          </w:p>
        </w:tc>
      </w:tr>
      <w:tr w:rsidR="00DF7EB6" w:rsidRPr="00C84AAB" w14:paraId="69C42F2E" w14:textId="77777777" w:rsidTr="000B64F1">
        <w:trPr>
          <w:cantSplit/>
          <w:jc w:val="center"/>
        </w:trPr>
        <w:tc>
          <w:tcPr>
            <w:tcW w:w="10429" w:type="dxa"/>
            <w:gridSpan w:val="3"/>
            <w:vAlign w:val="center"/>
          </w:tcPr>
          <w:p w14:paraId="3DE087BD" w14:textId="72D90B62" w:rsidR="00DF7EB6" w:rsidRPr="00C84AAB" w:rsidRDefault="00DF7EB6" w:rsidP="000B64F1">
            <w:pPr>
              <w:rPr>
                <w:rFonts w:asciiTheme="minorHAnsi" w:hAnsiTheme="minorHAnsi" w:cstheme="minorHAnsi"/>
                <w:b/>
                <w:bCs/>
                <w:color w:val="4E81BD"/>
                <w:sz w:val="24"/>
                <w:lang w:val="en-US"/>
              </w:rPr>
            </w:pPr>
            <w:r>
              <w:rPr>
                <w:rFonts w:asciiTheme="minorHAnsi" w:hAnsiTheme="minorHAnsi" w:cstheme="minorHAnsi"/>
                <w:b/>
                <w:bCs/>
                <w:color w:val="000000" w:themeColor="text1"/>
                <w:sz w:val="24"/>
                <w:lang w:val="en-US"/>
              </w:rPr>
              <w:t xml:space="preserve">Riman Almarri (S24109297)  ·  Mays Almousa (S24109301)  ·  Ghaliah Badokhon (S24109427)</w:t>
            </w:r>
          </w:p>
        </w:tc>
      </w:tr>
    </w:tbl>
    <w:p w14:paraId="0BD32BCB" w14:textId="29AA6EB6" w:rsidR="00BD6B51" w:rsidRPr="00DF7EB6" w:rsidRDefault="00BD6B51" w:rsidP="001D5EE3">
      <w:pPr>
        <w:autoSpaceDE w:val="0"/>
        <w:autoSpaceDN w:val="0"/>
        <w:adjustRightInd w:val="0"/>
        <w:spacing w:line="276" w:lineRule="auto"/>
        <w:ind w:right="359"/>
        <w:jc w:val="both"/>
        <w:rPr>
          <w:rFonts w:asciiTheme="minorHAnsi" w:hAnsiTheme="minorHAnsi" w:cstheme="minorHAnsi"/>
          <w:sz w:val="24"/>
          <w:lang w:val="en-US"/>
        </w:rPr>
      </w:pPr>
    </w:p>
    <w:p w14:paraId="1FB9F50A" w14:textId="2222DDA3" w:rsidR="006C5A99" w:rsidRPr="00DF7EB6" w:rsidRDefault="00DF7EB6" w:rsidP="006C5A99">
      <w:pPr>
        <w:pStyle w:val="Heading1"/>
        <w:rPr>
          <w:rFonts w:asciiTheme="minorHAnsi" w:hAnsiTheme="minorHAnsi" w:cstheme="minorHAnsi"/>
        </w:rPr>
      </w:pPr>
      <w:r>
        <w:rPr>
          <w:rFonts w:asciiTheme="minorHAnsi" w:hAnsiTheme="minorHAnsi" w:cstheme="minorHAnsi"/>
        </w:rPr>
        <w:t>Feasibility Study</w:t>
      </w:r>
    </w:p>
    <w:p w14:paraId="094F2299" w14:textId="4696471B" w:rsidR="00DF7EB6" w:rsidRPr="00C3421C" w:rsidRDefault="001137CC" w:rsidP="00DF7EB6">
      <w:pPr>
        <w:autoSpaceDE w:val="0"/>
        <w:autoSpaceDN w:val="0"/>
        <w:adjustRightInd w:val="0"/>
        <w:spacing w:line="276" w:lineRule="auto"/>
        <w:ind w:right="359"/>
        <w:jc w:val="center"/>
        <w:rPr>
          <w:rFonts w:asciiTheme="minorHAnsi" w:hAnsiTheme="minorHAnsi" w:cstheme="minorHAnsi"/>
          <w:b/>
          <w:bCs/>
          <w:color w:val="4F81BD" w:themeColor="accent1"/>
          <w:sz w:val="28"/>
          <w:szCs w:val="28"/>
        </w:rPr>
      </w:pPr>
      <w:r>
        <w:rPr>
          <w:rFonts w:asciiTheme="minorHAnsi" w:hAnsiTheme="minorHAnsi" w:cstheme="minorHAnsi"/>
          <w:b/>
          <w:bCs/>
          <w:color w:val="4F81BD" w:themeColor="accent1"/>
          <w:sz w:val="28"/>
          <w:szCs w:val="28"/>
          <w:highlight w:val="yellow"/>
        </w:rPr>
        <w:t>Tempo – AI Marketing Co-Pilot</w:t>
      </w:r>
    </w:p>
    <w:p>
      <w:pPr>
        <w:spacing w:after="0"/>
      </w:pPr>
    </w:p>
    <w:p w14:paraId="456E279E" w14:textId="3762E397" w:rsidR="005F50EA" w:rsidRPr="008917A1" w:rsidRDefault="008917A1" w:rsidP="005F50EA">
      <w:pPr>
        <w:jc w:val="both"/>
        <w:rPr>
          <w:rFonts w:asciiTheme="minorHAnsi" w:hAnsiTheme="minorHAnsi" w:cstheme="minorHAnsi"/>
          <w:sz w:val="24"/>
        </w:rPr>
      </w:pPr>
      <w:r>
        <w:rPr>
          <w:rFonts w:asciiTheme="minorHAnsi" w:hAnsiTheme="minorHAnsi" w:cstheme="minorHAnsi"/>
          <w:sz w:val="24"/>
        </w:rPr>
        <w:t xml:space="preserve">a feasibility study of Tempo, an AI-powered bilingual (Arabic/English) marketing co-pilot for solo marketers, SMEs, content creators, and agencies in Saudi Arabia. It assesses the project from technical, market, marketing, organizational, schedule, financial, and risk perspectives, and recommends a phased, MVP-first launch with controlled spending.</w:t>
      </w:r>
    </w:p>
    <w:p>
      <w:pPr>
        <w:spacing w:after="0"/>
      </w:pP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Executive Summary</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a fast-growing e-commerce sector, yet the tools its marketers depend on were built for Western markets. Solo marketers, SMEs, freelance creators and boutique agencies log into Snapchat, X, Instagram and Google Search Console separately, rewrite English-first AI output into Saudi Arabic, and compile reports by hand. In the market study survey of 47 Saudi marketing professionals (Riyadh and Jeddah, Q3 2026), the study estimates about 4 hours a week is lost to rewriting AI output, and respondents valued automated reports that save about 6 hours a week.</w:t>
      </w:r>
    </w:p>
    <w:p>
      <w:pPr>
        <w:pStyle w:val="ListParagraph"/>
        <w:spacing w:before="0" w:after="120"/>
        <w:contextualSpacing w:val="0"/>
        <w:jc w:val="both"/>
      </w:pPr>
      <w:r>
        <w:rPr>
          <w:rFonts w:asciiTheme="minorHAnsi" w:hAnsiTheme="minorHAnsi" w:cstheme="minorHAnsi"/>
          <w:b/>
          <w:bCs/>
          <w:sz w:val="24"/>
          <w:szCs w:val="24"/>
        </w:rPr>
        <w:t xml:space="preserve">Tempo – AI Marketing Co-Pilot</w:t>
      </w:r>
      <w:r>
        <w:rPr>
          <w:rFonts w:asciiTheme="minorHAnsi" w:hAnsiTheme="minorHAnsi" w:cstheme="minorHAnsi"/>
          <w:sz w:val="24"/>
          <w:szCs w:val="24"/>
        </w:rPr>
        <w:t xml:space="preserve"> is a bilingual (Arabic/English) web platform that brings AI-assisted content creation, scheduling, social and website analytics, and automated reporting into one dashboard. It supports Snapchat, X and Instagram, connects to Google Search Console, and adds client workspaces and role-based access for agencies. Pricing is in SAR, with a freemium trial and a Starter plan at SAR 189 per month.</w:t>
      </w:r>
    </w:p>
    <w:p>
      <w:pPr>
        <w:pStyle w:val="ListParagraph"/>
        <w:spacing w:before="0" w:after="120"/>
        <w:contextualSpacing w:val="0"/>
        <w:jc w:val="both"/>
      </w:pPr>
      <w:r>
        <w:rPr>
          <w:rFonts w:asciiTheme="minorHAnsi" w:hAnsiTheme="minorHAnsi" w:cstheme="minorHAnsi"/>
          <w:b/>
          <w:bCs/>
          <w:sz w:val="24"/>
          <w:szCs w:val="24"/>
        </w:rPr>
        <w:t xml:space="preserve">Market.</w:t>
      </w:r>
      <w:r>
        <w:rPr>
          <w:rFonts w:asciiTheme="minorHAnsi" w:hAnsiTheme="minorHAnsi" w:cstheme="minorHAnsi"/>
          <w:sz w:val="24"/>
          <w:szCs w:val="24"/>
        </w:rPr>
        <w:t xml:space="preserve"> The market study sizes the Saudi digital marketing SaaS market at SAR 3.5 billion (TAM, 2024), with a SAM of SAR 1.1 billion for SMEs and independent agencies and a Year 1 SOM of SAR 55 million. No incumbent combines Arabic AI content, Saudi platform scheduling and website analytics at an SME price. This study keeps its own revenue targets far below the SOM: Year 3 revenue of SAR 2,142,660 is about 0.19% of the SAM.</w:t>
      </w:r>
    </w:p>
    <w:p>
      <w:pPr>
        <w:pStyle w:val="ListParagraph"/>
        <w:spacing w:before="0" w:after="120"/>
        <w:contextualSpacing w:val="0"/>
        <w:jc w:val="both"/>
      </w:pPr>
      <w:r>
        <w:rPr>
          <w:rFonts w:asciiTheme="minorHAnsi" w:hAnsiTheme="minorHAnsi" w:cstheme="minorHAnsi"/>
          <w:b/>
          <w:bCs/>
          <w:sz w:val="24"/>
          <w:szCs w:val="24"/>
        </w:rPr>
        <w:t xml:space="preserve">Technical feasibility.</w:t>
      </w:r>
      <w:r>
        <w:rPr>
          <w:rFonts w:asciiTheme="minorHAnsi" w:hAnsiTheme="minorHAnsi" w:cstheme="minorHAnsi"/>
          <w:sz w:val="24"/>
          <w:szCs w:val="24"/>
        </w:rPr>
        <w:t xml:space="preserve"> Tempo can be built as a modular web application on mainstream, proven technologies, using a commercial LLM API rather than a self-trained model. The main technical risks are external: access conditions and changes in the Snapchat, X and Instagram APIs, and the quality of Saudi-dialect AI output. Both are manageable through phased integration, a provider-independent AI layer and human review of generated content.</w:t>
      </w:r>
    </w:p>
    <w:p>
      <w:pPr>
        <w:pStyle w:val="ListParagraph"/>
        <w:spacing w:before="0" w:after="120"/>
        <w:contextualSpacing w:val="0"/>
        <w:jc w:val="both"/>
      </w:pPr>
      <w:r>
        <w:rPr>
          <w:rFonts w:asciiTheme="minorHAnsi" w:hAnsiTheme="minorHAnsi" w:cstheme="minorHAnsi"/>
          <w:b/>
          <w:bCs/>
          <w:sz w:val="24"/>
          <w:szCs w:val="24"/>
        </w:rPr>
        <w:t xml:space="preserve">Financial feasibility.</w:t>
      </w:r>
      <w:r>
        <w:rPr>
          <w:rFonts w:asciiTheme="minorHAnsi" w:hAnsiTheme="minorHAnsi" w:cstheme="minorHAnsi"/>
          <w:sz w:val="24"/>
          <w:szCs w:val="24"/>
        </w:rPr>
        <w:t xml:space="preserve"> Using the assumptions in Section 8, pre-launch costs are about SAR 115,000 and total funding of SAR 1.0 million over two rounds covers the plan. Revenue is projected at SAR 176,625, 865,950 and 2,142,660 in Years 1 to 3, with net results of SAR (329,091), (328,949) and 153,050. Monthly operating break-even is reached in Year 3 at roughly 610 paying accounts; full recovery of invested capital falls after the three-year horizon.</w:t>
      </w:r>
    </w:p>
    <w:p>
      <w:pPr>
        <w:pStyle w:val="ListParagraph"/>
        <w:spacing w:before="0" w:after="120"/>
        <w:contextualSpacing w:val="0"/>
        <w:jc w:val="both"/>
      </w:pPr>
      <w:r>
        <w:rPr>
          <w:rFonts w:asciiTheme="minorHAnsi" w:hAnsiTheme="minorHAnsi" w:cstheme="minorHAnsi"/>
          <w:b/>
          <w:bCs/>
          <w:sz w:val="24"/>
          <w:szCs w:val="24"/>
        </w:rPr>
        <w:t xml:space="preserve">Conclusion.</w:t>
      </w:r>
      <w:r>
        <w:rPr>
          <w:rFonts w:asciiTheme="minorHAnsi" w:hAnsiTheme="minorHAnsi" w:cstheme="minorHAnsi"/>
          <w:sz w:val="24"/>
          <w:szCs w:val="24"/>
        </w:rPr>
        <w:t xml:space="preserve"> Tempo is feasible on conditions, not unconditionally. It is technically and operationally achievable by a small team, and the market gap is well supported. The financial case depends on reaching about 600 paying accounts, which makes controlled, stage-gated spending essential. We recommend an MVP-first Saudi launch, with agency features and GCC expansion released only when defined validation targets are met.</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Description of Products and Services</w:t>
      </w:r>
    </w:p>
    <w:p>
      <w:pPr>
        <w:pStyle w:val="ListParagraph"/>
        <w:spacing w:before="0" w:after="120"/>
        <w:contextualSpacing w:val="0"/>
        <w:jc w:val="both"/>
      </w:pPr>
      <w:r>
        <w:rPr>
          <w:rFonts w:asciiTheme="minorHAnsi" w:hAnsiTheme="minorHAnsi" w:cstheme="minorHAnsi"/>
          <w:sz w:val="24"/>
          <w:szCs w:val="24"/>
        </w:rPr>
        <w:t xml:space="preserve">Tempo is a subscription-based, mobile-responsive web platform that acts as a marketing co-pilot for the Saudi market. It replaces the daily routine of switching between four platforms, translating AI drafts and building reports in spreadsheets with a single bilingual workflow: </w:t>
      </w:r>
      <w:r>
        <w:rPr>
          <w:rFonts w:asciiTheme="minorHAnsi" w:hAnsiTheme="minorHAnsi" w:cstheme="minorHAnsi"/>
          <w:b/>
          <w:bCs/>
          <w:sz w:val="24"/>
          <w:szCs w:val="24"/>
        </w:rPr>
        <w:t xml:space="preserve">plan and draft, schedule, measure, report</w:t>
      </w:r>
      <w:r>
        <w:rPr>
          <w:rFonts w:asciiTheme="minorHAnsi" w:hAnsiTheme="minorHAnsi" w:cstheme="minorHAnsi"/>
          <w:sz w:val="24"/>
          <w:szCs w:val="24"/>
        </w:rPr>
        <w:t xml:space="preserv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 Core features of Tempo</w:t>
      </w:r>
    </w:p>
    <w:tbl>
      <w:tblPr>
        <w:tblStyle w:val="TableGrid"/>
        <w:tblW w:w="10300" w:type="dxa"/>
        <w:jc w:val="center"/>
        <w:tblLayout w:type="fixed"/>
        <w:tblLook w:val="04A0" w:firstRow="1" w:lastRow="0" w:firstColumn="1" w:lastColumn="0" w:noHBand="0" w:noVBand="1"/>
      </w:tblPr>
      <w:tblGrid>
        <w:gridCol w:w="2632"/>
        <w:gridCol w:w="5722"/>
        <w:gridCol w:w="1946"/>
      </w:tblGrid>
      <w:tr>
        <w:trPr>
          <w:cantSplit/>
          <w:tblHeader/>
        </w:trPr>
        <w:tc>
          <w:tcPr>
            <w:tcW w:w="2632" w:type="dxa"/>
            <w:vAlign w:val="center"/>
          </w:tcPr>
          <w:p>
            <w:pPr>
              <w:spacing w:before="40" w:after="40"/>
              <w:jc w:val="center"/>
            </w:pPr>
            <w:r>
              <w:rPr>
                <w:rFonts w:asciiTheme="minorHAnsi" w:hAnsiTheme="minorHAnsi" w:cstheme="minorHAnsi"/>
                <w:b/>
                <w:bCs/>
                <w:sz w:val="20"/>
                <w:szCs w:val="20"/>
              </w:rPr>
              <w:t xml:space="preserve">Feature</w:t>
            </w:r>
          </w:p>
        </w:tc>
        <w:tc>
          <w:tcPr>
            <w:tcW w:w="5722" w:type="dxa"/>
            <w:vAlign w:val="center"/>
          </w:tcPr>
          <w:p>
            <w:pPr>
              <w:spacing w:before="40" w:after="40"/>
              <w:jc w:val="center"/>
            </w:pPr>
            <w:r>
              <w:rPr>
                <w:rFonts w:asciiTheme="minorHAnsi" w:hAnsiTheme="minorHAnsi" w:cstheme="minorHAnsi"/>
                <w:b/>
                <w:bCs/>
                <w:sz w:val="20"/>
                <w:szCs w:val="20"/>
              </w:rPr>
              <w:t xml:space="preserve">What it does</w:t>
            </w:r>
          </w:p>
        </w:tc>
        <w:tc>
          <w:tcPr>
            <w:tcW w:w="1946" w:type="dxa"/>
            <w:vAlign w:val="center"/>
          </w:tcPr>
          <w:p>
            <w:pPr>
              <w:spacing w:before="40" w:after="40"/>
              <w:jc w:val="center"/>
            </w:pPr>
            <w:r>
              <w:rPr>
                <w:rFonts w:asciiTheme="minorHAnsi" w:hAnsiTheme="minorHAnsi" w:cstheme="minorHAnsi"/>
                <w:b/>
                <w:bCs/>
                <w:sz w:val="20"/>
                <w:szCs w:val="20"/>
              </w:rPr>
              <w:t xml:space="preserve">Main users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Bilingual AI content (Arabic/English)</w:t>
            </w:r>
          </w:p>
        </w:tc>
        <w:tc>
          <w:tcPr>
            <w:tcW w:w="5722" w:type="dxa"/>
            <w:vAlign w:val="center"/>
          </w:tcPr>
          <w:p>
            <w:pPr>
              <w:spacing w:before="40" w:after="40"/>
              <w:jc w:val="left"/>
            </w:pPr>
            <w:r>
              <w:rPr>
                <w:rFonts w:asciiTheme="minorHAnsi" w:hAnsiTheme="minorHAnsi" w:cstheme="minorHAnsi"/>
                <w:sz w:val="20"/>
                <w:szCs w:val="20"/>
              </w:rPr>
              <w:t xml:space="preserve">Drafts captions, post copy and campaign ideas from a short brief, in Arabic or English, with editable output.</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Saudi-localised AI content</w:t>
            </w:r>
          </w:p>
        </w:tc>
        <w:tc>
          <w:tcPr>
            <w:tcW w:w="5722" w:type="dxa"/>
            <w:vAlign w:val="center"/>
          </w:tcPr>
          <w:p>
            <w:pPr>
              <w:spacing w:before="40" w:after="40"/>
              <w:jc w:val="left"/>
            </w:pPr>
            <w:r>
              <w:rPr>
                <w:rFonts w:asciiTheme="minorHAnsi" w:hAnsiTheme="minorHAnsi" w:cstheme="minorHAnsi"/>
                <w:sz w:val="20"/>
                <w:szCs w:val="20"/>
              </w:rPr>
              <w:t xml:space="preserve">Tunes output to Saudi colloquial dialect (including Hijazi for Jeddah audiences), local occasions and cultural references instead of formal Modern Standard Arabic.</w:t>
            </w:r>
          </w:p>
        </w:tc>
        <w:tc>
          <w:tcPr>
            <w:tcW w:w="1946" w:type="dxa"/>
            <w:vAlign w:val="center"/>
          </w:tcPr>
          <w:p>
            <w:pPr>
              <w:spacing w:before="40" w:after="40"/>
              <w:jc w:val="left"/>
            </w:pPr>
            <w:r>
              <w:rPr>
                <w:rFonts w:asciiTheme="minorHAnsi" w:hAnsiTheme="minorHAnsi" w:cstheme="minorHAnsi"/>
                <w:sz w:val="20"/>
                <w:szCs w:val="20"/>
              </w:rPr>
              <w:t xml:space="preserve">Solo marketers, 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Content calendar and scheduling</w:t>
            </w:r>
          </w:p>
        </w:tc>
        <w:tc>
          <w:tcPr>
            <w:tcW w:w="5722" w:type="dxa"/>
            <w:vAlign w:val="center"/>
          </w:tcPr>
          <w:p>
            <w:pPr>
              <w:spacing w:before="40" w:after="40"/>
              <w:jc w:val="left"/>
            </w:pPr>
            <w:r>
              <w:rPr>
                <w:rFonts w:asciiTheme="minorHAnsi" w:hAnsiTheme="minorHAnsi" w:cstheme="minorHAnsi"/>
                <w:sz w:val="20"/>
                <w:szCs w:val="20"/>
              </w:rPr>
              <w:t xml:space="preserve">One calendar for Snapchat, X and Instagram, with scheduled publishing (for example the 8–10 PM peak window noted in the personas).</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Unified analytics dashboard</w:t>
            </w:r>
          </w:p>
        </w:tc>
        <w:tc>
          <w:tcPr>
            <w:tcW w:w="5722" w:type="dxa"/>
            <w:vAlign w:val="center"/>
          </w:tcPr>
          <w:p>
            <w:pPr>
              <w:spacing w:before="40" w:after="40"/>
              <w:jc w:val="left"/>
            </w:pPr>
            <w:r>
              <w:rPr>
                <w:rFonts w:asciiTheme="minorHAnsi" w:hAnsiTheme="minorHAnsi" w:cstheme="minorHAnsi"/>
                <w:sz w:val="20"/>
                <w:szCs w:val="20"/>
              </w:rPr>
              <w:t xml:space="preserve">Reach, engagement and follower data from the three social platforms alongside website performance in one Arabic/English view.</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Website analytics</w:t>
            </w:r>
          </w:p>
        </w:tc>
        <w:tc>
          <w:tcPr>
            <w:tcW w:w="5722" w:type="dxa"/>
            <w:vAlign w:val="center"/>
          </w:tcPr>
          <w:p>
            <w:pPr>
              <w:spacing w:before="40" w:after="40"/>
              <w:jc w:val="left"/>
            </w:pPr>
            <w:r>
              <w:rPr>
                <w:rFonts w:asciiTheme="minorHAnsi" w:hAnsiTheme="minorHAnsi" w:cstheme="minorHAnsi"/>
                <w:sz w:val="20"/>
                <w:szCs w:val="20"/>
              </w:rPr>
              <w:t xml:space="preserve">Google Search Console data (queries, clicks, impressions, pages) shown next to social results.</w:t>
            </w:r>
          </w:p>
        </w:tc>
        <w:tc>
          <w:tcPr>
            <w:tcW w:w="1946" w:type="dxa"/>
            <w:vAlign w:val="center"/>
          </w:tcPr>
          <w:p>
            <w:pPr>
              <w:spacing w:before="40" w:after="40"/>
              <w:jc w:val="left"/>
            </w:pPr>
            <w:r>
              <w:rPr>
                <w:rFonts w:asciiTheme="minorHAnsi" w:hAnsiTheme="minorHAnsi" w:cstheme="minorHAnsi"/>
                <w:sz w:val="20"/>
                <w:szCs w:val="20"/>
              </w:rPr>
              <w:t xml:space="preserve">SMEs,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Automated reporting</w:t>
            </w:r>
          </w:p>
        </w:tc>
        <w:tc>
          <w:tcPr>
            <w:tcW w:w="5722" w:type="dxa"/>
            <w:vAlign w:val="center"/>
          </w:tcPr>
          <w:p>
            <w:pPr>
              <w:spacing w:before="40" w:after="40"/>
              <w:jc w:val="left"/>
            </w:pPr>
            <w:r>
              <w:rPr>
                <w:rFonts w:asciiTheme="minorHAnsi" w:hAnsiTheme="minorHAnsi" w:cstheme="minorHAnsi"/>
                <w:sz w:val="20"/>
                <w:szCs w:val="20"/>
              </w:rPr>
              <w:t xml:space="preserve">Weekly performance reports generated automatically in Arabic and English; branded PDF export with client logo for agencies.</w:t>
            </w:r>
          </w:p>
        </w:tc>
        <w:tc>
          <w:tcPr>
            <w:tcW w:w="1946" w:type="dxa"/>
            <w:vAlign w:val="center"/>
          </w:tcPr>
          <w:p>
            <w:pPr>
              <w:spacing w:before="40" w:after="40"/>
              <w:jc w:val="left"/>
            </w:pPr>
            <w:r>
              <w:rPr>
                <w:rFonts w:asciiTheme="minorHAnsi" w:hAnsiTheme="minorHAnsi" w:cstheme="minorHAnsi"/>
                <w:sz w:val="20"/>
                <w:szCs w:val="20"/>
              </w:rPr>
              <w:t xml:space="preserve">Solo marketers, 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Saudi-native insights</w:t>
            </w:r>
          </w:p>
        </w:tc>
        <w:tc>
          <w:tcPr>
            <w:tcW w:w="5722" w:type="dxa"/>
            <w:vAlign w:val="center"/>
          </w:tcPr>
          <w:p>
            <w:pPr>
              <w:spacing w:before="40" w:after="40"/>
              <w:jc w:val="left"/>
            </w:pPr>
            <w:r>
              <w:rPr>
                <w:rFonts w:asciiTheme="minorHAnsi" w:hAnsiTheme="minorHAnsi" w:cstheme="minorHAnsi"/>
                <w:sz w:val="20"/>
                <w:szCs w:val="20"/>
              </w:rPr>
              <w:t xml:space="preserve">Trend and timing insights drawn from the Saudi platform mix (Snapchat, X, Instagram).</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Agency client workspaces</w:t>
            </w:r>
          </w:p>
        </w:tc>
        <w:tc>
          <w:tcPr>
            <w:tcW w:w="5722" w:type="dxa"/>
            <w:vAlign w:val="center"/>
          </w:tcPr>
          <w:p>
            <w:pPr>
              <w:spacing w:before="40" w:after="40"/>
              <w:jc w:val="left"/>
            </w:pPr>
            <w:r>
              <w:rPr>
                <w:rFonts w:asciiTheme="minorHAnsi" w:hAnsiTheme="minorHAnsi" w:cstheme="minorHAnsi"/>
                <w:sz w:val="20"/>
                <w:szCs w:val="20"/>
              </w:rPr>
              <w:t xml:space="preserve">Separate workspace per client, with fast switching and no repeated log-in.</w:t>
            </w:r>
          </w:p>
        </w:tc>
        <w:tc>
          <w:tcPr>
            <w:tcW w:w="1946" w:type="dxa"/>
            <w:vAlign w:val="center"/>
          </w:tcPr>
          <w:p>
            <w:pPr>
              <w:spacing w:before="40" w:after="40"/>
              <w:jc w:val="left"/>
            </w:pPr>
            <w:r>
              <w:rPr>
                <w:rFonts w:asciiTheme="minorHAnsi" w:hAnsiTheme="minorHAnsi" w:cstheme="minorHAnsi"/>
                <w:sz w:val="20"/>
                <w:szCs w:val="20"/>
              </w:rPr>
              <w:t xml:space="preserve">Agencies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Role-based team access</w:t>
            </w:r>
          </w:p>
        </w:tc>
        <w:tc>
          <w:tcPr>
            <w:tcW w:w="5722" w:type="dxa"/>
            <w:vAlign w:val="center"/>
          </w:tcPr>
          <w:p>
            <w:pPr>
              <w:spacing w:before="40" w:after="40"/>
              <w:jc w:val="left"/>
            </w:pPr>
            <w:r>
              <w:rPr>
                <w:rFonts w:asciiTheme="minorHAnsi" w:hAnsiTheme="minorHAnsi" w:cstheme="minorHAnsi"/>
                <w:sz w:val="20"/>
                <w:szCs w:val="20"/>
              </w:rPr>
              <w:t xml:space="preserve">Roles such as owner, admin, editor and viewer, so drafts can be assigned and approved inside the tool.</w:t>
            </w:r>
          </w:p>
        </w:tc>
        <w:tc>
          <w:tcPr>
            <w:tcW w:w="1946" w:type="dxa"/>
            <w:vAlign w:val="center"/>
          </w:tcPr>
          <w:p>
            <w:pPr>
              <w:spacing w:before="40" w:after="40"/>
              <w:jc w:val="left"/>
            </w:pPr>
            <w:r>
              <w:rPr>
                <w:rFonts w:asciiTheme="minorHAnsi" w:hAnsiTheme="minorHAnsi" w:cstheme="minorHAnsi"/>
                <w:sz w:val="20"/>
                <w:szCs w:val="20"/>
              </w:rPr>
              <w:t xml:space="preserve">Agencies, SMEs with teams</w:t>
            </w:r>
          </w:p>
        </w:tc>
      </w:tr>
      <w:tr>
        <w:trPr>
          <w:cantSplit/>
        </w:trPr>
        <w:tc>
          <w:tcPr>
            <w:tcW w:w="2632" w:type="dxa"/>
            <w:vAlign w:val="center"/>
          </w:tcPr>
          <w:p>
            <w:pPr>
              <w:spacing w:before="40" w:after="40"/>
              <w:jc w:val="left"/>
            </w:pPr>
            <w:r>
              <w:rPr>
                <w:rFonts w:asciiTheme="minorHAnsi" w:hAnsiTheme="minorHAnsi" w:cstheme="minorHAnsi"/>
                <w:sz w:val="20"/>
                <w:szCs w:val="20"/>
              </w:rPr>
              <w:t xml:space="preserve">Mobile-responsive dashboard</w:t>
            </w:r>
          </w:p>
        </w:tc>
        <w:tc>
          <w:tcPr>
            <w:tcW w:w="5722" w:type="dxa"/>
            <w:vAlign w:val="center"/>
          </w:tcPr>
          <w:p>
            <w:pPr>
              <w:spacing w:before="40" w:after="40"/>
              <w:jc w:val="left"/>
            </w:pPr>
            <w:r>
              <w:rPr>
                <w:rFonts w:asciiTheme="minorHAnsi" w:hAnsiTheme="minorHAnsi" w:cstheme="minorHAnsi"/>
                <w:sz w:val="20"/>
                <w:szCs w:val="20"/>
              </w:rPr>
              <w:t xml:space="preserve">Full dashboard usable on phones for approvals and checks on the move; no native app is planned for the MVP.</w:t>
            </w:r>
          </w:p>
        </w:tc>
        <w:tc>
          <w:tcPr>
            <w:tcW w:w="1946" w:type="dxa"/>
            <w:vAlign w:val="center"/>
          </w:tcPr>
          <w:p>
            <w:pPr>
              <w:spacing w:before="40" w:after="40"/>
              <w:jc w:val="left"/>
            </w:pPr>
            <w:r>
              <w:rPr>
                <w:rFonts w:asciiTheme="minorHAnsi" w:hAnsiTheme="minorHAnsi" w:cstheme="minorHAnsi"/>
                <w:sz w:val="20"/>
                <w:szCs w:val="20"/>
              </w:rPr>
              <w:t xml:space="preserve">All segments</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Value for each user group</w:t>
      </w:r>
    </w:p>
    <w:p>
      <w:pPr>
        <w:pStyle w:val="ListParagraph"/>
        <w:spacing w:before="0" w:after="120"/>
        <w:contextualSpacing w:val="0"/>
        <w:jc w:val="both"/>
      </w:pPr>
      <w:r>
        <w:rPr>
          <w:rFonts w:asciiTheme="minorHAnsi" w:hAnsiTheme="minorHAnsi" w:cstheme="minorHAnsi"/>
          <w:b/>
          <w:bCs/>
          <w:sz w:val="24"/>
          <w:szCs w:val="24"/>
        </w:rPr>
        <w:t xml:space="preserve">Solo marketers</w:t>
      </w:r>
      <w:r>
        <w:rPr>
          <w:rFonts w:asciiTheme="minorHAnsi" w:hAnsiTheme="minorHAnsi" w:cstheme="minorHAnsi"/>
          <w:sz w:val="24"/>
          <w:szCs w:val="24"/>
        </w:rPr>
        <w:t xml:space="preserve"> (persona: Nora, 28, e-commerce marketing manager) gain Saudi-dialect drafts in about 30 seconds and a weekly report without manual compilation, with a target of cutting weekly reporting from 6 hours to under 1. </w:t>
      </w:r>
      <w:r>
        <w:rPr>
          <w:rFonts w:asciiTheme="minorHAnsi" w:hAnsiTheme="minorHAnsi" w:cstheme="minorHAnsi"/>
          <w:b/>
          <w:bCs/>
          <w:sz w:val="24"/>
          <w:szCs w:val="24"/>
        </w:rPr>
        <w:t xml:space="preserve">SMEs</w:t>
      </w:r>
      <w:r>
        <w:rPr>
          <w:rFonts w:asciiTheme="minorHAnsi" w:hAnsiTheme="minorHAnsi" w:cstheme="minorHAnsi"/>
          <w:sz w:val="24"/>
          <w:szCs w:val="24"/>
        </w:rPr>
        <w:t xml:space="preserve"> get an affordable, SAR-priced tool that covers content, scheduling and website results without hiring a specialist. </w:t>
      </w:r>
      <w:r>
        <w:rPr>
          <w:rFonts w:asciiTheme="minorHAnsi" w:hAnsiTheme="minorHAnsi" w:cstheme="minorHAnsi"/>
          <w:b/>
          <w:bCs/>
          <w:sz w:val="24"/>
          <w:szCs w:val="24"/>
        </w:rPr>
        <w:t xml:space="preserve">Marketing agencies</w:t>
      </w:r>
      <w:r>
        <w:rPr>
          <w:rFonts w:asciiTheme="minorHAnsi" w:hAnsiTheme="minorHAnsi" w:cstheme="minorHAnsi"/>
          <w:sz w:val="24"/>
          <w:szCs w:val="24"/>
        </w:rPr>
        <w:t xml:space="preserve"> (persona: Khalid, 35, account manager with 8 clients) manage every client from one dashboard and issue branded bilingual reports in minutes; his scenario shows about 11 hours saved per week. </w:t>
      </w:r>
      <w:r>
        <w:rPr>
          <w:rFonts w:asciiTheme="minorHAnsi" w:hAnsiTheme="minorHAnsi" w:cstheme="minorHAnsi"/>
          <w:b/>
          <w:bCs/>
          <w:sz w:val="24"/>
          <w:szCs w:val="24"/>
        </w:rPr>
        <w:t xml:space="preserve">Freelance content creators</w:t>
      </w:r>
      <w:r>
        <w:rPr>
          <w:rFonts w:asciiTheme="minorHAnsi" w:hAnsiTheme="minorHAnsi" w:cstheme="minorHAnsi"/>
          <w:sz w:val="24"/>
          <w:szCs w:val="24"/>
        </w:rPr>
        <w:t xml:space="preserve"> produce Arabic content for Snapchat and Instagram faster and keep one calendar across several brands.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Plans and pricing</w:t>
      </w:r>
    </w:p>
    <w:p>
      <w:pPr>
        <w:pStyle w:val="ListParagraph"/>
        <w:spacing w:before="0" w:after="60"/>
        <w:contextualSpacing w:val="0"/>
        <w:jc w:val="both"/>
      </w:pPr>
      <w:r>
        <w:rPr>
          <w:rFonts w:asciiTheme="minorHAnsi" w:hAnsiTheme="minorHAnsi" w:cstheme="minorHAnsi"/>
          <w:sz w:val="24"/>
          <w:szCs w:val="24"/>
        </w:rPr>
        <w:t xml:space="preserve">The Starter price and the freemium/trial approach come from the market study. The Free and Agency tiers below are proposed for planning purposes and should be validated during the beta.</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 Proposed plan structure</w:t>
      </w:r>
    </w:p>
    <w:tbl>
      <w:tblPr>
        <w:tblStyle w:val="TableGrid"/>
        <w:tblW w:w="10300" w:type="dxa"/>
        <w:jc w:val="center"/>
        <w:tblLayout w:type="fixed"/>
        <w:tblLook w:val="04A0" w:firstRow="1" w:lastRow="0" w:firstColumn="1" w:lastColumn="0" w:noHBand="0" w:noVBand="1"/>
      </w:tblPr>
      <w:tblGrid>
        <w:gridCol w:w="1717"/>
        <w:gridCol w:w="2174"/>
        <w:gridCol w:w="2289"/>
        <w:gridCol w:w="4120"/>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Plan</w:t>
            </w:r>
          </w:p>
        </w:tc>
        <w:tc>
          <w:tcPr>
            <w:tcW w:w="2174" w:type="dxa"/>
            <w:vAlign w:val="center"/>
          </w:tcPr>
          <w:p>
            <w:pPr>
              <w:spacing w:before="40" w:after="40"/>
              <w:jc w:val="center"/>
            </w:pPr>
            <w:r>
              <w:rPr>
                <w:rFonts w:asciiTheme="minorHAnsi" w:hAnsiTheme="minorHAnsi" w:cstheme="minorHAnsi"/>
                <w:b/>
                <w:bCs/>
                <w:sz w:val="20"/>
                <w:szCs w:val="20"/>
              </w:rPr>
              <w:t xml:space="preserve">Price (SAR/month)</w:t>
            </w:r>
          </w:p>
        </w:tc>
        <w:tc>
          <w:tcPr>
            <w:tcW w:w="2289" w:type="dxa"/>
            <w:vAlign w:val="center"/>
          </w:tcPr>
          <w:p>
            <w:pPr>
              <w:spacing w:before="40" w:after="40"/>
              <w:jc w:val="center"/>
            </w:pPr>
            <w:r>
              <w:rPr>
                <w:rFonts w:asciiTheme="minorHAnsi" w:hAnsiTheme="minorHAnsi" w:cstheme="minorHAnsi"/>
                <w:b/>
                <w:bCs/>
                <w:sz w:val="20"/>
                <w:szCs w:val="20"/>
              </w:rPr>
              <w:t xml:space="preserve">Intended for</w:t>
            </w:r>
          </w:p>
        </w:tc>
        <w:tc>
          <w:tcPr>
            <w:tcW w:w="4120" w:type="dxa"/>
            <w:vAlign w:val="center"/>
          </w:tcPr>
          <w:p>
            <w:pPr>
              <w:spacing w:before="40" w:after="40"/>
              <w:jc w:val="center"/>
            </w:pPr>
            <w:r>
              <w:rPr>
                <w:rFonts w:asciiTheme="minorHAnsi" w:hAnsiTheme="minorHAnsi" w:cstheme="minorHAnsi"/>
                <w:b/>
                <w:bCs/>
                <w:sz w:val="20"/>
                <w:szCs w:val="20"/>
              </w:rPr>
              <w:t xml:space="preserve">Main limits and inclusions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Free / trial</w:t>
            </w:r>
          </w:p>
        </w:tc>
        <w:tc>
          <w:tcPr>
            <w:tcW w:w="2174" w:type="dxa"/>
            <w:vAlign w:val="center"/>
          </w:tcPr>
          <w:p>
            <w:pPr>
              <w:spacing w:before="40" w:after="40"/>
              <w:jc w:val="left"/>
            </w:pPr>
            <w:r>
              <w:rPr>
                <w:rFonts w:asciiTheme="minorHAnsi" w:hAnsiTheme="minorHAnsi" w:cstheme="minorHAnsi"/>
                <w:sz w:val="20"/>
                <w:szCs w:val="20"/>
              </w:rPr>
              <w:t xml:space="preserve">0</w:t>
            </w:r>
          </w:p>
        </w:tc>
        <w:tc>
          <w:tcPr>
            <w:tcW w:w="2289" w:type="dxa"/>
            <w:vAlign w:val="center"/>
          </w:tcPr>
          <w:p>
            <w:pPr>
              <w:spacing w:before="40" w:after="40"/>
              <w:jc w:val="left"/>
            </w:pPr>
            <w:r>
              <w:rPr>
                <w:rFonts w:asciiTheme="minorHAnsi" w:hAnsiTheme="minorHAnsi" w:cstheme="minorHAnsi"/>
                <w:sz w:val="20"/>
                <w:szCs w:val="20"/>
              </w:rPr>
              <w:t xml:space="preserve">Evaluation, creators</w:t>
            </w:r>
          </w:p>
        </w:tc>
        <w:tc>
          <w:tcPr>
            <w:tcW w:w="4120" w:type="dxa"/>
            <w:vAlign w:val="center"/>
          </w:tcPr>
          <w:p>
            <w:pPr>
              <w:spacing w:before="40" w:after="40"/>
              <w:jc w:val="left"/>
            </w:pPr>
            <w:r>
              <w:rPr>
                <w:rFonts w:asciiTheme="minorHAnsi" w:hAnsiTheme="minorHAnsi" w:cstheme="minorHAnsi"/>
                <w:sz w:val="20"/>
                <w:szCs w:val="20"/>
              </w:rPr>
              <w:t xml:space="preserve">One workspace, limited AI generations, limited scheduled posts; no PDF branding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Starter</w:t>
            </w:r>
          </w:p>
        </w:tc>
        <w:tc>
          <w:tcPr>
            <w:tcW w:w="2174" w:type="dxa"/>
            <w:vAlign w:val="center"/>
          </w:tcPr>
          <w:p>
            <w:pPr>
              <w:spacing w:before="40" w:after="40"/>
              <w:jc w:val="left"/>
            </w:pPr>
            <w:r>
              <w:rPr>
                <w:rFonts w:asciiTheme="minorHAnsi" w:hAnsiTheme="minorHAnsi" w:cstheme="minorHAnsi"/>
                <w:sz w:val="20"/>
                <w:szCs w:val="20"/>
              </w:rPr>
              <w:t xml:space="preserve">189 (market study)</w:t>
            </w:r>
          </w:p>
        </w:tc>
        <w:tc>
          <w:tcPr>
            <w:tcW w:w="2289" w:type="dxa"/>
            <w:vAlign w:val="center"/>
          </w:tcPr>
          <w:p>
            <w:pPr>
              <w:spacing w:before="40" w:after="40"/>
              <w:jc w:val="left"/>
            </w:pPr>
            <w:r>
              <w:rPr>
                <w:rFonts w:asciiTheme="minorHAnsi" w:hAnsiTheme="minorHAnsi" w:cstheme="minorHAnsi"/>
                <w:sz w:val="20"/>
                <w:szCs w:val="20"/>
              </w:rPr>
              <w:t xml:space="preserve">Solo marketers, SMEs</w:t>
            </w:r>
          </w:p>
        </w:tc>
        <w:tc>
          <w:tcPr>
            <w:tcW w:w="4120" w:type="dxa"/>
            <w:vAlign w:val="center"/>
          </w:tcPr>
          <w:p>
            <w:pPr>
              <w:spacing w:before="40" w:after="40"/>
              <w:jc w:val="left"/>
            </w:pPr>
            <w:r>
              <w:rPr>
                <w:rFonts w:asciiTheme="minorHAnsi" w:hAnsiTheme="minorHAnsi" w:cstheme="minorHAnsi"/>
                <w:sz w:val="20"/>
                <w:szCs w:val="20"/>
              </w:rPr>
              <w:t xml:space="preserve">Three social platforms, Search Console, AI content, scheduling, weekly bilingual report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Agency (proposed)</w:t>
            </w:r>
          </w:p>
        </w:tc>
        <w:tc>
          <w:tcPr>
            <w:tcW w:w="2174" w:type="dxa"/>
            <w:vAlign w:val="center"/>
          </w:tcPr>
          <w:p>
            <w:pPr>
              <w:spacing w:before="40" w:after="40"/>
              <w:jc w:val="left"/>
            </w:pPr>
            <w:r>
              <w:rPr>
                <w:rFonts w:asciiTheme="minorHAnsi" w:hAnsiTheme="minorHAnsi" w:cstheme="minorHAnsi"/>
                <w:sz w:val="20"/>
                <w:szCs w:val="20"/>
              </w:rPr>
              <w:t xml:space="preserve">499 (assumption)</w:t>
            </w:r>
          </w:p>
        </w:tc>
        <w:tc>
          <w:tcPr>
            <w:tcW w:w="2289" w:type="dxa"/>
            <w:vAlign w:val="center"/>
          </w:tcPr>
          <w:p>
            <w:pPr>
              <w:spacing w:before="40" w:after="40"/>
              <w:jc w:val="left"/>
            </w:pPr>
            <w:r>
              <w:rPr>
                <w:rFonts w:asciiTheme="minorHAnsi" w:hAnsiTheme="minorHAnsi" w:cstheme="minorHAnsi"/>
                <w:sz w:val="20"/>
                <w:szCs w:val="20"/>
              </w:rPr>
              <w:t xml:space="preserve">Boutique agencies</w:t>
            </w:r>
          </w:p>
        </w:tc>
        <w:tc>
          <w:tcPr>
            <w:tcW w:w="4120" w:type="dxa"/>
            <w:vAlign w:val="center"/>
          </w:tcPr>
          <w:p>
            <w:pPr>
              <w:spacing w:before="40" w:after="40"/>
              <w:jc w:val="left"/>
            </w:pPr>
            <w:r>
              <w:rPr>
                <w:rFonts w:asciiTheme="minorHAnsi" w:hAnsiTheme="minorHAnsi" w:cstheme="minorHAnsi"/>
                <w:sz w:val="20"/>
                <w:szCs w:val="20"/>
              </w:rPr>
              <w:t xml:space="preserve">Multiple client workspaces, team roles, branded bilingual PDF reports, higher AI allowance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are treated as excluding 15% VAT for financial modelling. Large in-house enterprise marketing teams, identified as a possible user group in the personas, are outside the three-year scope.</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Technology Considerations</w:t>
      </w:r>
    </w:p>
    <w:p>
      <w:pPr>
        <w:pStyle w:val="ListParagraph"/>
        <w:spacing w:before="0" w:after="120"/>
        <w:contextualSpacing w:val="0"/>
        <w:jc w:val="both"/>
      </w:pPr>
      <w:r>
        <w:rPr>
          <w:rFonts w:asciiTheme="minorHAnsi" w:hAnsiTheme="minorHAnsi" w:cstheme="minorHAnsi"/>
          <w:sz w:val="24"/>
          <w:szCs w:val="24"/>
        </w:rPr>
        <w:t xml:space="preserve">Tempo is a software-only product, so technology is both the main cost and the main source of risk. The approach is to build the product-specific parts (workspaces, content studio, dashboard, reports) and buy everything else (cloud infrastructure, AI models, payments, email). The source documents do not specify technologies, so the choices below are </w:t>
      </w:r>
      <w:r>
        <w:rPr>
          <w:rFonts w:asciiTheme="minorHAnsi" w:hAnsiTheme="minorHAnsi" w:cstheme="minorHAnsi"/>
          <w:b/>
          <w:bCs/>
          <w:sz w:val="24"/>
          <w:szCs w:val="24"/>
        </w:rPr>
        <w:t xml:space="preserve">proposed implementation choices</w:t>
      </w:r>
      <w:r>
        <w:rPr>
          <w:rFonts w:asciiTheme="minorHAnsi" w:hAnsiTheme="minorHAnsi" w:cstheme="minorHAnsi"/>
          <w:sz w:val="24"/>
          <w:szCs w:val="24"/>
        </w:rPr>
        <w:t xml:space="preserve"> that the team can revise during Sprint 0.</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Proposed architecture</w:t>
      </w:r>
    </w:p>
    <w:p>
      <w:pPr>
        <w:pStyle w:val="ListParagraph"/>
        <w:spacing w:before="0" w:after="60"/>
        <w:contextualSpacing w:val="0"/>
        <w:jc w:val="both"/>
      </w:pPr>
      <w:r>
        <w:rPr>
          <w:rFonts w:asciiTheme="minorHAnsi" w:hAnsiTheme="minorHAnsi" w:cstheme="minorHAnsi"/>
          <w:sz w:val="24"/>
          <w:szCs w:val="24"/>
        </w:rPr>
        <w:t xml:space="preserve">A single modular back-end (not microservices) keeps the system simple for a small team. A web front end calls a REST API; a background worker handles publishing, data collection and report generation; and an AI service layer isolates the LLM provider from the rest of the product.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3. Proposed technology stack</w:t>
      </w:r>
    </w:p>
    <w:tbl>
      <w:tblPr>
        <w:tblStyle w:val="TableGrid"/>
        <w:tblW w:w="10300" w:type="dxa"/>
        <w:jc w:val="center"/>
        <w:tblLayout w:type="fixed"/>
        <w:tblLook w:val="04A0" w:firstRow="1" w:lastRow="0" w:firstColumn="1" w:lastColumn="0" w:noHBand="0" w:noVBand="1"/>
      </w:tblPr>
      <w:tblGrid>
        <w:gridCol w:w="2174"/>
        <w:gridCol w:w="3777"/>
        <w:gridCol w:w="4349"/>
      </w:tblGrid>
      <w:tr>
        <w:trPr>
          <w:cantSplit/>
          <w:tblHeader/>
        </w:trPr>
        <w:tc>
          <w:tcPr>
            <w:tcW w:w="2174" w:type="dxa"/>
            <w:vAlign w:val="center"/>
          </w:tcPr>
          <w:p>
            <w:pPr>
              <w:spacing w:before="40" w:after="40"/>
              <w:jc w:val="center"/>
            </w:pPr>
            <w:r>
              <w:rPr>
                <w:rFonts w:asciiTheme="minorHAnsi" w:hAnsiTheme="minorHAnsi" w:cstheme="minorHAnsi"/>
                <w:b/>
                <w:bCs/>
                <w:sz w:val="20"/>
                <w:szCs w:val="20"/>
              </w:rPr>
              <w:t xml:space="preserve">Layer</w:t>
            </w:r>
          </w:p>
        </w:tc>
        <w:tc>
          <w:tcPr>
            <w:tcW w:w="3777" w:type="dxa"/>
            <w:vAlign w:val="center"/>
          </w:tcPr>
          <w:p>
            <w:pPr>
              <w:spacing w:before="40" w:after="40"/>
              <w:jc w:val="center"/>
            </w:pPr>
            <w:r>
              <w:rPr>
                <w:rFonts w:asciiTheme="minorHAnsi" w:hAnsiTheme="minorHAnsi" w:cstheme="minorHAnsi"/>
                <w:b/>
                <w:bCs/>
                <w:sz w:val="20"/>
                <w:szCs w:val="20"/>
              </w:rPr>
              <w:t xml:space="preserve">Proposed technology</w:t>
            </w:r>
          </w:p>
        </w:tc>
        <w:tc>
          <w:tcPr>
            <w:tcW w:w="4349" w:type="dxa"/>
            <w:vAlign w:val="center"/>
          </w:tcPr>
          <w:p>
            <w:pPr>
              <w:spacing w:before="40" w:after="40"/>
              <w:jc w:val="center"/>
            </w:pPr>
            <w:r>
              <w:rPr>
                <w:rFonts w:asciiTheme="minorHAnsi" w:hAnsiTheme="minorHAnsi" w:cstheme="minorHAnsi"/>
                <w:b/>
                <w:bCs/>
                <w:sz w:val="20"/>
                <w:szCs w:val="20"/>
              </w:rPr>
              <w:t xml:space="preserve">Purpose and notes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Front end (web, mobile-responsive)</w:t>
            </w:r>
          </w:p>
        </w:tc>
        <w:tc>
          <w:tcPr>
            <w:tcW w:w="3777" w:type="dxa"/>
            <w:vAlign w:val="center"/>
          </w:tcPr>
          <w:p>
            <w:pPr>
              <w:spacing w:before="40" w:after="40"/>
              <w:jc w:val="left"/>
            </w:pPr>
            <w:r>
              <w:rPr>
                <w:rFonts w:asciiTheme="minorHAnsi" w:hAnsiTheme="minorHAnsi" w:cstheme="minorHAnsi"/>
                <w:sz w:val="20"/>
                <w:szCs w:val="20"/>
              </w:rPr>
              <w:t xml:space="preserve">React/Next.js with TypeScript, Tailwind CSS; progressive web app features</w:t>
            </w:r>
          </w:p>
        </w:tc>
        <w:tc>
          <w:tcPr>
            <w:tcW w:w="4349" w:type="dxa"/>
            <w:vAlign w:val="center"/>
          </w:tcPr>
          <w:p>
            <w:pPr>
              <w:spacing w:before="40" w:after="40"/>
              <w:jc w:val="left"/>
            </w:pPr>
            <w:r>
              <w:rPr>
                <w:rFonts w:asciiTheme="minorHAnsi" w:hAnsiTheme="minorHAnsi" w:cstheme="minorHAnsi"/>
                <w:sz w:val="20"/>
                <w:szCs w:val="20"/>
              </w:rPr>
              <w:t xml:space="preserve">Right-to-left (RTL) Arabic and left-to-right English from one codebase; responsive layout for phones and desktops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Back end / API</w:t>
            </w:r>
          </w:p>
        </w:tc>
        <w:tc>
          <w:tcPr>
            <w:tcW w:w="3777" w:type="dxa"/>
            <w:vAlign w:val="center"/>
          </w:tcPr>
          <w:p>
            <w:pPr>
              <w:spacing w:before="40" w:after="40"/>
              <w:jc w:val="left"/>
            </w:pPr>
            <w:r>
              <w:rPr>
                <w:rFonts w:asciiTheme="minorHAnsi" w:hAnsiTheme="minorHAnsi" w:cstheme="minorHAnsi"/>
                <w:sz w:val="20"/>
                <w:szCs w:val="20"/>
              </w:rPr>
              <w:t xml:space="preserve">Node.js with TypeScript (NestJS), REST API, background job queue (BullMQ on Redis)</w:t>
            </w:r>
          </w:p>
        </w:tc>
        <w:tc>
          <w:tcPr>
            <w:tcW w:w="4349" w:type="dxa"/>
            <w:vAlign w:val="center"/>
          </w:tcPr>
          <w:p>
            <w:pPr>
              <w:spacing w:before="40" w:after="40"/>
              <w:jc w:val="left"/>
            </w:pPr>
            <w:r>
              <w:rPr>
                <w:rFonts w:asciiTheme="minorHAnsi" w:hAnsiTheme="minorHAnsi" w:cstheme="minorHAnsi"/>
                <w:sz w:val="20"/>
                <w:szCs w:val="20"/>
              </w:rPr>
              <w:t xml:space="preserve">Business logic, workspaces, scheduling, and queued jobs for publishing and data sync</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Database</w:t>
            </w:r>
          </w:p>
        </w:tc>
        <w:tc>
          <w:tcPr>
            <w:tcW w:w="3777" w:type="dxa"/>
            <w:vAlign w:val="center"/>
          </w:tcPr>
          <w:p>
            <w:pPr>
              <w:spacing w:before="40" w:after="40"/>
              <w:jc w:val="left"/>
            </w:pPr>
            <w:r>
              <w:rPr>
                <w:rFonts w:asciiTheme="minorHAnsi" w:hAnsiTheme="minorHAnsi" w:cstheme="minorHAnsi"/>
                <w:sz w:val="20"/>
                <w:szCs w:val="20"/>
              </w:rPr>
              <w:t xml:space="preserve">PostgreSQL; Redis for cache and queues; S3-compatible object storage</w:t>
            </w:r>
          </w:p>
        </w:tc>
        <w:tc>
          <w:tcPr>
            <w:tcW w:w="4349" w:type="dxa"/>
            <w:vAlign w:val="center"/>
          </w:tcPr>
          <w:p>
            <w:pPr>
              <w:spacing w:before="40" w:after="40"/>
              <w:jc w:val="left"/>
            </w:pPr>
            <w:r>
              <w:rPr>
                <w:rFonts w:asciiTheme="minorHAnsi" w:hAnsiTheme="minorHAnsi" w:cstheme="minorHAnsi"/>
                <w:sz w:val="20"/>
                <w:szCs w:val="20"/>
              </w:rPr>
              <w:t xml:space="preserve">Relational data with a workspace identifier on every record for tenant separation; stored media and generated PDFs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AI / LLM integration</w:t>
            </w:r>
          </w:p>
        </w:tc>
        <w:tc>
          <w:tcPr>
            <w:tcW w:w="3777" w:type="dxa"/>
            <w:vAlign w:val="center"/>
          </w:tcPr>
          <w:p>
            <w:pPr>
              <w:spacing w:before="40" w:after="40"/>
              <w:jc w:val="left"/>
            </w:pPr>
            <w:r>
              <w:rPr>
                <w:rFonts w:asciiTheme="minorHAnsi" w:hAnsiTheme="minorHAnsi" w:cstheme="minorHAnsi"/>
                <w:sz w:val="20"/>
                <w:szCs w:val="20"/>
              </w:rPr>
              <w:t xml:space="preserve">Commercial LLM API behind a provider-independent interface; prompt templates with Saudi-dialect style guides and examples</w:t>
            </w:r>
          </w:p>
        </w:tc>
        <w:tc>
          <w:tcPr>
            <w:tcW w:w="4349" w:type="dxa"/>
            <w:vAlign w:val="center"/>
          </w:tcPr>
          <w:p>
            <w:pPr>
              <w:spacing w:before="40" w:after="40"/>
              <w:jc w:val="left"/>
            </w:pPr>
            <w:r>
              <w:rPr>
                <w:rFonts w:asciiTheme="minorHAnsi" w:hAnsiTheme="minorHAnsi" w:cstheme="minorHAnsi"/>
                <w:sz w:val="20"/>
                <w:szCs w:val="20"/>
              </w:rPr>
              <w:t xml:space="preserve">Content drafting and short insight summaries; human editing before publishing; provider can be swapped if cost or quality changes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Analytics</w:t>
            </w:r>
          </w:p>
        </w:tc>
        <w:tc>
          <w:tcPr>
            <w:tcW w:w="3777" w:type="dxa"/>
            <w:vAlign w:val="center"/>
          </w:tcPr>
          <w:p>
            <w:pPr>
              <w:spacing w:before="40" w:after="40"/>
              <w:jc w:val="left"/>
            </w:pPr>
            <w:r>
              <w:rPr>
                <w:rFonts w:asciiTheme="minorHAnsi" w:hAnsiTheme="minorHAnsi" w:cstheme="minorHAnsi"/>
                <w:sz w:val="20"/>
                <w:szCs w:val="20"/>
              </w:rPr>
              <w:t xml:space="preserve">Scheduled collectors that store daily metrics per account; charts with Recharts or Chart.js; SQL aggregation (materialised views)</w:t>
            </w:r>
          </w:p>
        </w:tc>
        <w:tc>
          <w:tcPr>
            <w:tcW w:w="4349" w:type="dxa"/>
            <w:vAlign w:val="center"/>
          </w:tcPr>
          <w:p>
            <w:pPr>
              <w:spacing w:before="40" w:after="40"/>
              <w:jc w:val="left"/>
            </w:pPr>
            <w:r>
              <w:rPr>
                <w:rFonts w:asciiTheme="minorHAnsi" w:hAnsiTheme="minorHAnsi" w:cstheme="minorHAnsi"/>
                <w:sz w:val="20"/>
                <w:szCs w:val="20"/>
              </w:rPr>
              <w:t xml:space="preserve">Unified dashboard and report data without a separate analytics platform at MVP stage</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Authentication and authorisation</w:t>
            </w:r>
          </w:p>
        </w:tc>
        <w:tc>
          <w:tcPr>
            <w:tcW w:w="3777" w:type="dxa"/>
            <w:vAlign w:val="center"/>
          </w:tcPr>
          <w:p>
            <w:pPr>
              <w:spacing w:before="40" w:after="40"/>
              <w:jc w:val="left"/>
            </w:pPr>
            <w:r>
              <w:rPr>
                <w:rFonts w:asciiTheme="minorHAnsi" w:hAnsiTheme="minorHAnsi" w:cstheme="minorHAnsi"/>
                <w:sz w:val="20"/>
                <w:szCs w:val="20"/>
              </w:rPr>
              <w:t xml:space="preserve">Email/password with optional multi-factor authentication, OAuth 2.0 for connecting accounts, role-based access control (owner, admin, editor, viewer)</w:t>
            </w:r>
          </w:p>
        </w:tc>
        <w:tc>
          <w:tcPr>
            <w:tcW w:w="4349" w:type="dxa"/>
            <w:vAlign w:val="center"/>
          </w:tcPr>
          <w:p>
            <w:pPr>
              <w:spacing w:before="40" w:after="40"/>
              <w:jc w:val="left"/>
            </w:pPr>
            <w:r>
              <w:rPr>
                <w:rFonts w:asciiTheme="minorHAnsi" w:hAnsiTheme="minorHAnsi" w:cstheme="minorHAnsi"/>
                <w:sz w:val="20"/>
                <w:szCs w:val="20"/>
              </w:rPr>
              <w:t xml:space="preserve">Secure sign-in, per-workspace permissions for agency teams</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Report generation</w:t>
            </w:r>
          </w:p>
        </w:tc>
        <w:tc>
          <w:tcPr>
            <w:tcW w:w="3777" w:type="dxa"/>
            <w:vAlign w:val="center"/>
          </w:tcPr>
          <w:p>
            <w:pPr>
              <w:spacing w:before="40" w:after="40"/>
              <w:jc w:val="left"/>
            </w:pPr>
            <w:r>
              <w:rPr>
                <w:rFonts w:asciiTheme="minorHAnsi" w:hAnsiTheme="minorHAnsi" w:cstheme="minorHAnsi"/>
                <w:sz w:val="20"/>
                <w:szCs w:val="20"/>
              </w:rPr>
              <w:t xml:space="preserve">Server-side HTML-to-PDF rendering (headless Chromium) with Arabic-capable fonts and client logo templates</w:t>
            </w:r>
          </w:p>
        </w:tc>
        <w:tc>
          <w:tcPr>
            <w:tcW w:w="4349" w:type="dxa"/>
            <w:vAlign w:val="center"/>
          </w:tcPr>
          <w:p>
            <w:pPr>
              <w:spacing w:before="40" w:after="40"/>
              <w:jc w:val="left"/>
            </w:pPr>
            <w:r>
              <w:rPr>
                <w:rFonts w:asciiTheme="minorHAnsi" w:hAnsiTheme="minorHAnsi" w:cstheme="minorHAnsi"/>
                <w:sz w:val="20"/>
                <w:szCs w:val="20"/>
              </w:rPr>
              <w:t xml:space="preserve">Bilingual, branded PDF reports with correct RTL layout</w:t>
            </w:r>
          </w:p>
        </w:tc>
      </w:tr>
      <w:tr>
        <w:trPr>
          <w:cantSplit/>
        </w:trPr>
        <w:tc>
          <w:tcPr>
            <w:tcW w:w="2174" w:type="dxa"/>
            <w:vAlign w:val="center"/>
          </w:tcPr>
          <w:p>
            <w:pPr>
              <w:spacing w:before="40" w:after="40"/>
              <w:jc w:val="left"/>
            </w:pPr>
            <w:r>
              <w:rPr>
                <w:rFonts w:asciiTheme="minorHAnsi" w:hAnsiTheme="minorHAnsi" w:cstheme="minorHAnsi"/>
                <w:sz w:val="20"/>
                <w:szCs w:val="20"/>
              </w:rPr>
              <w:t xml:space="preserve">Cloud hosting</w:t>
            </w:r>
          </w:p>
        </w:tc>
        <w:tc>
          <w:tcPr>
            <w:tcW w:w="3777" w:type="dxa"/>
            <w:vAlign w:val="center"/>
          </w:tcPr>
          <w:p>
            <w:pPr>
              <w:spacing w:before="40" w:after="40"/>
              <w:jc w:val="left"/>
            </w:pPr>
            <w:r>
              <w:rPr>
                <w:rFonts w:asciiTheme="minorHAnsi" w:hAnsiTheme="minorHAnsi" w:cstheme="minorHAnsi"/>
                <w:sz w:val="20"/>
                <w:szCs w:val="20"/>
              </w:rPr>
              <w:t xml:space="preserve">Containerised deployment on a cloud provider with a Saudi region (for example Google Cloud Dammam or Oracle Cloud Jeddah/Riyadh), subject to confirmation</w:t>
            </w:r>
          </w:p>
        </w:tc>
        <w:tc>
          <w:tcPr>
            <w:tcW w:w="4349" w:type="dxa"/>
            <w:vAlign w:val="center"/>
          </w:tcPr>
          <w:p>
            <w:pPr>
              <w:spacing w:before="40" w:after="40"/>
              <w:jc w:val="left"/>
            </w:pPr>
            <w:r>
              <w:rPr>
                <w:rFonts w:asciiTheme="minorHAnsi" w:hAnsiTheme="minorHAnsi" w:cstheme="minorHAnsi"/>
                <w:sz w:val="20"/>
                <w:szCs w:val="20"/>
              </w:rPr>
              <w:t xml:space="preserve">Managed database and storage, automated backups, CI/CD; Saudi hosting supports data-residency expectations</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External integrations and limitations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4. Third-party integrations and associated risks</w:t>
      </w:r>
    </w:p>
    <w:tbl>
      <w:tblPr>
        <w:tblStyle w:val="TableGrid"/>
        <w:tblW w:w="10300" w:type="dxa"/>
        <w:jc w:val="center"/>
        <w:tblLayout w:type="fixed"/>
        <w:tblLook w:val="04A0" w:firstRow="1" w:lastRow="0" w:firstColumn="1" w:lastColumn="0" w:noHBand="0" w:noVBand="1"/>
      </w:tblPr>
      <w:tblGrid>
        <w:gridCol w:w="2289"/>
        <w:gridCol w:w="2174"/>
        <w:gridCol w:w="5837"/>
      </w:tblGrid>
      <w:tr>
        <w:trPr>
          <w:cantSplit/>
          <w:tblHeader/>
        </w:trPr>
        <w:tc>
          <w:tcPr>
            <w:tcW w:w="2289" w:type="dxa"/>
            <w:vAlign w:val="center"/>
          </w:tcPr>
          <w:p>
            <w:pPr>
              <w:spacing w:before="40" w:after="40"/>
              <w:jc w:val="center"/>
            </w:pPr>
            <w:r>
              <w:rPr>
                <w:rFonts w:asciiTheme="minorHAnsi" w:hAnsiTheme="minorHAnsi" w:cstheme="minorHAnsi"/>
                <w:b/>
                <w:bCs/>
                <w:sz w:val="20"/>
                <w:szCs w:val="20"/>
              </w:rPr>
              <w:t xml:space="preserve">Integration</w:t>
            </w:r>
          </w:p>
        </w:tc>
        <w:tc>
          <w:tcPr>
            <w:tcW w:w="2174" w:type="dxa"/>
            <w:vAlign w:val="center"/>
          </w:tcPr>
          <w:p>
            <w:pPr>
              <w:spacing w:before="40" w:after="40"/>
              <w:jc w:val="center"/>
            </w:pPr>
            <w:r>
              <w:rPr>
                <w:rFonts w:asciiTheme="minorHAnsi" w:hAnsiTheme="minorHAnsi" w:cstheme="minorHAnsi"/>
                <w:b/>
                <w:bCs/>
                <w:sz w:val="20"/>
                <w:szCs w:val="20"/>
              </w:rPr>
              <w:t xml:space="preserve">Use in Tempo</w:t>
            </w:r>
          </w:p>
        </w:tc>
        <w:tc>
          <w:tcPr>
            <w:tcW w:w="5837" w:type="dxa"/>
            <w:vAlign w:val="center"/>
          </w:tcPr>
          <w:p>
            <w:pPr>
              <w:spacing w:before="40" w:after="40"/>
              <w:jc w:val="center"/>
            </w:pPr>
            <w:r>
              <w:rPr>
                <w:rFonts w:asciiTheme="minorHAnsi" w:hAnsiTheme="minorHAnsi" w:cstheme="minorHAnsi"/>
                <w:b/>
                <w:bCs/>
                <w:sz w:val="20"/>
                <w:szCs w:val="20"/>
              </w:rPr>
              <w:t xml:space="preserve">Constraint and planned response</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Instagram (Meta Graph API)</w:t>
            </w:r>
          </w:p>
        </w:tc>
        <w:tc>
          <w:tcPr>
            <w:tcW w:w="2174" w:type="dxa"/>
            <w:vAlign w:val="center"/>
          </w:tcPr>
          <w:p>
            <w:pPr>
              <w:spacing w:before="40" w:after="40"/>
              <w:jc w:val="left"/>
            </w:pPr>
            <w:r>
              <w:rPr>
                <w:rFonts w:asciiTheme="minorHAnsi" w:hAnsiTheme="minorHAnsi" w:cstheme="minorHAnsi"/>
                <w:sz w:val="20"/>
                <w:szCs w:val="20"/>
              </w:rPr>
              <w:t xml:space="preserve">Publishing and insights</w:t>
            </w:r>
          </w:p>
        </w:tc>
        <w:tc>
          <w:tcPr>
            <w:tcW w:w="5837" w:type="dxa"/>
            <w:vAlign w:val="center"/>
          </w:tcPr>
          <w:p>
            <w:pPr>
              <w:spacing w:before="40" w:after="40"/>
              <w:jc w:val="left"/>
            </w:pPr>
            <w:r>
              <w:rPr>
                <w:rFonts w:asciiTheme="minorHAnsi" w:hAnsiTheme="minorHAnsi" w:cstheme="minorHAnsi"/>
                <w:sz w:val="20"/>
                <w:szCs w:val="20"/>
              </w:rPr>
              <w:t xml:space="preserve">Requires professional (Business/Creator) accounts and Meta app review. Apply for review in Sprint 0; support only professional accounts.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X API</w:t>
            </w:r>
          </w:p>
        </w:tc>
        <w:tc>
          <w:tcPr>
            <w:tcW w:w="2174" w:type="dxa"/>
            <w:vAlign w:val="center"/>
          </w:tcPr>
          <w:p>
            <w:pPr>
              <w:spacing w:before="40" w:after="40"/>
              <w:jc w:val="left"/>
            </w:pPr>
            <w:r>
              <w:rPr>
                <w:rFonts w:asciiTheme="minorHAnsi" w:hAnsiTheme="minorHAnsi" w:cstheme="minorHAnsi"/>
                <w:sz w:val="20"/>
                <w:szCs w:val="20"/>
              </w:rPr>
              <w:t xml:space="preserve">Posting and analytics</w:t>
            </w:r>
          </w:p>
        </w:tc>
        <w:tc>
          <w:tcPr>
            <w:tcW w:w="5837" w:type="dxa"/>
            <w:vAlign w:val="center"/>
          </w:tcPr>
          <w:p>
            <w:pPr>
              <w:spacing w:before="40" w:after="40"/>
              <w:jc w:val="left"/>
            </w:pPr>
            <w:r>
              <w:rPr>
                <w:rFonts w:asciiTheme="minorHAnsi" w:hAnsiTheme="minorHAnsi" w:cstheme="minorHAnsi"/>
                <w:sz w:val="20"/>
                <w:szCs w:val="20"/>
              </w:rPr>
              <w:t xml:space="preserve">Access is tiered, rate-limited and paid, and terms have changed before. Budget API fees, cache data, and queue requests within limits.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Snapchat APIs</w:t>
            </w:r>
          </w:p>
        </w:tc>
        <w:tc>
          <w:tcPr>
            <w:tcW w:w="2174" w:type="dxa"/>
            <w:vAlign w:val="center"/>
          </w:tcPr>
          <w:p>
            <w:pPr>
              <w:spacing w:before="40" w:after="40"/>
              <w:jc w:val="left"/>
            </w:pPr>
            <w:r>
              <w:rPr>
                <w:rFonts w:asciiTheme="minorHAnsi" w:hAnsiTheme="minorHAnsi" w:cstheme="minorHAnsi"/>
                <w:sz w:val="20"/>
                <w:szCs w:val="20"/>
              </w:rPr>
              <w:t xml:space="preserve">Scheduling and analytics</w:t>
            </w:r>
          </w:p>
        </w:tc>
        <w:tc>
          <w:tcPr>
            <w:tcW w:w="5837" w:type="dxa"/>
            <w:vAlign w:val="center"/>
          </w:tcPr>
          <w:p>
            <w:pPr>
              <w:spacing w:before="40" w:after="40"/>
              <w:jc w:val="left"/>
            </w:pPr>
            <w:r>
              <w:rPr>
                <w:rFonts w:asciiTheme="minorHAnsi" w:hAnsiTheme="minorHAnsi" w:cstheme="minorHAnsi"/>
                <w:sz w:val="20"/>
                <w:szCs w:val="20"/>
              </w:rPr>
              <w:t xml:space="preserve">Programmatic access is more restricted and approval-based; availability of each function must be confirmed with Snap. Release Snapchat after X and Instagram, with CSV import as a fallback for analytics.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Google Search Console API</w:t>
            </w:r>
          </w:p>
        </w:tc>
        <w:tc>
          <w:tcPr>
            <w:tcW w:w="2174" w:type="dxa"/>
            <w:vAlign w:val="center"/>
          </w:tcPr>
          <w:p>
            <w:pPr>
              <w:spacing w:before="40" w:after="40"/>
              <w:jc w:val="left"/>
            </w:pPr>
            <w:r>
              <w:rPr>
                <w:rFonts w:asciiTheme="minorHAnsi" w:hAnsiTheme="minorHAnsi" w:cstheme="minorHAnsi"/>
                <w:sz w:val="20"/>
                <w:szCs w:val="20"/>
              </w:rPr>
              <w:t xml:space="preserve">Website search performance</w:t>
            </w:r>
          </w:p>
        </w:tc>
        <w:tc>
          <w:tcPr>
            <w:tcW w:w="5837" w:type="dxa"/>
            <w:vAlign w:val="center"/>
          </w:tcPr>
          <w:p>
            <w:pPr>
              <w:spacing w:before="40" w:after="40"/>
              <w:jc w:val="left"/>
            </w:pPr>
            <w:r>
              <w:rPr>
                <w:rFonts w:asciiTheme="minorHAnsi" w:hAnsiTheme="minorHAnsi" w:cstheme="minorHAnsi"/>
                <w:sz w:val="20"/>
                <w:szCs w:val="20"/>
              </w:rPr>
              <w:t xml:space="preserve">Read-only OAuth access with quota limits. Low risk; schedule daily data pulls.</w:t>
            </w:r>
          </w:p>
        </w:tc>
      </w:tr>
      <w:tr>
        <w:trPr>
          <w:cantSplit/>
        </w:trPr>
        <w:tc>
          <w:tcPr>
            <w:tcW w:w="2289" w:type="dxa"/>
            <w:vAlign w:val="center"/>
          </w:tcPr>
          <w:p>
            <w:pPr>
              <w:spacing w:before="40" w:after="40"/>
              <w:jc w:val="left"/>
            </w:pPr>
            <w:r>
              <w:rPr>
                <w:rFonts w:asciiTheme="minorHAnsi" w:hAnsiTheme="minorHAnsi" w:cstheme="minorHAnsi"/>
                <w:sz w:val="20"/>
                <w:szCs w:val="20"/>
              </w:rPr>
              <w:t xml:space="preserve">LLM provider API</w:t>
            </w:r>
          </w:p>
        </w:tc>
        <w:tc>
          <w:tcPr>
            <w:tcW w:w="2174" w:type="dxa"/>
            <w:vAlign w:val="center"/>
          </w:tcPr>
          <w:p>
            <w:pPr>
              <w:spacing w:before="40" w:after="40"/>
              <w:jc w:val="left"/>
            </w:pPr>
            <w:r>
              <w:rPr>
                <w:rFonts w:asciiTheme="minorHAnsi" w:hAnsiTheme="minorHAnsi" w:cstheme="minorHAnsi"/>
                <w:sz w:val="20"/>
                <w:szCs w:val="20"/>
              </w:rPr>
              <w:t xml:space="preserve">Content and summaries</w:t>
            </w:r>
          </w:p>
        </w:tc>
        <w:tc>
          <w:tcPr>
            <w:tcW w:w="5837" w:type="dxa"/>
            <w:vAlign w:val="center"/>
          </w:tcPr>
          <w:p>
            <w:pPr>
              <w:spacing w:before="40" w:after="40"/>
              <w:jc w:val="left"/>
            </w:pPr>
            <w:r>
              <w:rPr>
                <w:rFonts w:asciiTheme="minorHAnsi" w:hAnsiTheme="minorHAnsi" w:cstheme="minorHAnsi"/>
                <w:sz w:val="20"/>
                <w:szCs w:val="20"/>
              </w:rPr>
              <w:t xml:space="preserve">Per-use cost, rate limits and dialect quality vary. Use prompt tests, usage caps per plan and a provider-independent layer.</w:t>
            </w:r>
          </w:p>
        </w:tc>
      </w:tr>
    </w:tbl>
    <w:p>
      <w:pPr>
        <w:spacing w:after="0"/>
      </w:pPr>
    </w:p>
    <w:p>
      <w:pPr>
        <w:pStyle w:val="ListParagraph"/>
        <w:spacing w:before="0" w:after="120"/>
        <w:contextualSpacing w:val="0"/>
        <w:jc w:val="both"/>
      </w:pPr>
      <w:r>
        <w:rPr>
          <w:rFonts w:asciiTheme="minorHAnsi" w:hAnsiTheme="minorHAnsi" w:cstheme="minorHAnsi"/>
          <w:b/>
          <w:bCs/>
          <w:sz w:val="24"/>
          <w:szCs w:val="24"/>
        </w:rPr>
        <w:t xml:space="preserve">AI output quality.</w:t>
      </w:r>
      <w:r>
        <w:rPr>
          <w:rFonts w:asciiTheme="minorHAnsi" w:hAnsiTheme="minorHAnsi" w:cstheme="minorHAnsi"/>
          <w:sz w:val="24"/>
          <w:szCs w:val="24"/>
        </w:rPr>
        <w:t xml:space="preserve"> Generative models can produce inaccurate or off-tone text, and Saudi dialects, especially Hijazi, are less well covered than Modern Standard Arabic. Tempo therefore treats AI output as a draft: users edit before scheduling, a small evaluation set of Saudi-dialect briefs is scored by native speakers before each release, and user ratings feed prompt improvements.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Security, data protection and scalability</w:t>
      </w:r>
    </w:p>
    <w:p>
      <w:pPr>
        <w:pStyle w:val="ListParagraph"/>
        <w:numPr>
          <w:ilvl w:val="0"/>
          <w:numId w:val="41"/>
        </w:numPr>
        <w:spacing w:after="60"/>
        <w:contextualSpacing w:val="0"/>
        <w:jc w:val="both"/>
      </w:pPr>
      <w:r>
        <w:rPr>
          <w:rFonts w:asciiTheme="minorHAnsi" w:hAnsiTheme="minorHAnsi" w:cstheme="minorHAnsi"/>
          <w:b/>
          <w:bCs/>
          <w:sz w:val="24"/>
          <w:szCs w:val="24"/>
        </w:rPr>
        <w:t xml:space="preserve">Credentials and tokens:</w:t>
      </w:r>
      <w:r>
        <w:rPr>
          <w:rFonts w:asciiTheme="minorHAnsi" w:hAnsiTheme="minorHAnsi" w:cstheme="minorHAnsi"/>
          <w:sz w:val="24"/>
          <w:szCs w:val="24"/>
        </w:rPr>
        <w:t xml:space="preserve"> social-account access tokens encrypted at rest, minimum permission scopes requested, and tokens revocable by the user at any time.</w:t>
      </w:r>
    </w:p>
    <w:p>
      <w:pPr>
        <w:pStyle w:val="ListParagraph"/>
        <w:numPr>
          <w:ilvl w:val="0"/>
          <w:numId w:val="41"/>
        </w:numPr>
        <w:spacing w:after="60"/>
        <w:contextualSpacing w:val="0"/>
        <w:jc w:val="both"/>
      </w:pPr>
      <w:r>
        <w:rPr>
          <w:rFonts w:asciiTheme="minorHAnsi" w:hAnsiTheme="minorHAnsi" w:cstheme="minorHAnsi"/>
          <w:b/>
          <w:bCs/>
          <w:sz w:val="24"/>
          <w:szCs w:val="24"/>
        </w:rPr>
        <w:t xml:space="preserve">Application security:</w:t>
      </w:r>
      <w:r>
        <w:rPr>
          <w:rFonts w:asciiTheme="minorHAnsi" w:hAnsiTheme="minorHAnsi" w:cstheme="minorHAnsi"/>
          <w:sz w:val="24"/>
          <w:szCs w:val="24"/>
        </w:rPr>
        <w:t xml:space="preserve"> HTTPS everywhere, hashed passwords, rate limiting, input validation, audit logs for workspace actions, dependency scanning, and an external penetration test before the public launch (budgeted in Section 8).</w:t>
      </w:r>
    </w:p>
    <w:p>
      <w:pPr>
        <w:pStyle w:val="ListParagraph"/>
        <w:numPr>
          <w:ilvl w:val="0"/>
          <w:numId w:val="41"/>
        </w:numPr>
        <w:spacing w:after="60"/>
        <w:contextualSpacing w:val="0"/>
        <w:jc w:val="both"/>
      </w:pPr>
      <w:r>
        <w:rPr>
          <w:rFonts w:asciiTheme="minorHAnsi" w:hAnsiTheme="minorHAnsi" w:cstheme="minorHAnsi"/>
          <w:b/>
          <w:bCs/>
          <w:sz w:val="24"/>
          <w:szCs w:val="24"/>
        </w:rPr>
        <w:t xml:space="preserve">Privacy:</w:t>
      </w:r>
      <w:r>
        <w:rPr>
          <w:rFonts w:asciiTheme="minorHAnsi" w:hAnsiTheme="minorHAnsi" w:cstheme="minorHAnsi"/>
          <w:sz w:val="24"/>
          <w:szCs w:val="24"/>
        </w:rPr>
        <w:t xml:space="preserve"> Tempo stores account metrics and business content, and limited personal data on users. Design should follow the Saudi Personal Data Protection Law (PDPL), including consent, purpose limitation, deletion on request and clear privacy terms; legal counsel should confirm obligations before launch.</w:t>
      </w:r>
    </w:p>
    <w:p>
      <w:pPr>
        <w:pStyle w:val="ListParagraph"/>
        <w:numPr>
          <w:ilvl w:val="0"/>
          <w:numId w:val="41"/>
        </w:numPr>
        <w:spacing w:after="120"/>
        <w:contextualSpacing w:val="0"/>
        <w:jc w:val="both"/>
      </w:pPr>
      <w:r>
        <w:rPr>
          <w:rFonts w:asciiTheme="minorHAnsi" w:hAnsiTheme="minorHAnsi" w:cstheme="minorHAnsi"/>
          <w:b/>
          <w:bCs/>
          <w:sz w:val="24"/>
          <w:szCs w:val="24"/>
        </w:rPr>
        <w:t xml:space="preserve">Scalability:</w:t>
      </w:r>
      <w:r>
        <w:rPr>
          <w:rFonts w:asciiTheme="minorHAnsi" w:hAnsiTheme="minorHAnsi" w:cstheme="minorHAnsi"/>
          <w:sz w:val="24"/>
          <w:szCs w:val="24"/>
        </w:rPr>
        <w:t xml:space="preserve"> a stateless API, queue-based workers and managed database allow horizontal scaling. The expected load (hundreds to low thousands of accounts) is modest; the main scaling constraints are third-party rate limits and AI cost per user, not raw compute.</w:t>
      </w:r>
    </w:p>
    <w:p>
      <w:pPr>
        <w:pStyle w:val="ListParagraph"/>
        <w:spacing w:before="0" w:after="120"/>
        <w:contextualSpacing w:val="0"/>
        <w:jc w:val="both"/>
      </w:pPr>
      <w:r>
        <w:rPr>
          <w:rFonts w:asciiTheme="minorHAnsi" w:hAnsiTheme="minorHAnsi" w:cstheme="minorHAnsi"/>
          <w:b/>
          <w:bCs/>
          <w:sz w:val="24"/>
          <w:szCs w:val="24"/>
        </w:rPr>
        <w:t xml:space="preserve">Cost and capability.</w:t>
      </w:r>
      <w:r>
        <w:rPr>
          <w:rFonts w:asciiTheme="minorHAnsi" w:hAnsiTheme="minorHAnsi" w:cstheme="minorHAnsi"/>
          <w:sz w:val="24"/>
          <w:szCs w:val="24"/>
        </w:rPr>
        <w:t xml:space="preserve"> Technology costs (cloud, AI usage, tools and security testing) are included in Section 8. The founding team has software-engineering training, and the stack uses widely documented tools, which keeps hiring and maintenance risk low. The AI/ML engineer hired in Year 2 will own prompt quality, evaluation and cost control.</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Product / Service Marketplace</w:t>
      </w:r>
    </w:p>
    <w:p>
      <w:pPr>
        <w:pStyle w:val="ListParagraph"/>
        <w:spacing w:before="0" w:after="120"/>
        <w:contextualSpacing w:val="0"/>
        <w:jc w:val="both"/>
      </w:pPr>
      <w:r>
        <w:rPr>
          <w:rFonts w:asciiTheme="minorHAnsi" w:hAnsiTheme="minorHAnsi" w:cstheme="minorHAnsi"/>
          <w:sz w:val="24"/>
          <w:szCs w:val="24"/>
        </w:rPr>
        <w:t xml:space="preserve">Unless stated otherwise, figures in this section come from the Tempo Market Study.</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Saudi digital marketing environment</w:t>
      </w:r>
    </w:p>
    <w:p>
      <w:pPr>
        <w:pStyle w:val="ListParagraph"/>
        <w:spacing w:before="0" w:after="120"/>
        <w:contextualSpacing w:val="0"/>
        <w:jc w:val="both"/>
      </w:pPr>
      <w:r>
        <w:rPr>
          <w:rFonts w:asciiTheme="minorHAnsi" w:hAnsiTheme="minorHAnsi" w:cstheme="minorHAnsi"/>
          <w:sz w:val="24"/>
          <w:szCs w:val="24"/>
        </w:rPr>
        <w:t xml:space="preserve">Saudi Arabia has more than 25 million active social media users, and Vision 2030 is driving e-commerce and SME growth. Snapchat, X and Instagram dominate how Saudi consumers discover brands, but the tools available were designed elsewhere. Marketers therefore work around three gaps: weak Arabic AI, missing Snapchat support, and no single view that includes website results.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Customer segments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5. Target segments (from the market study and personas)</w:t>
      </w:r>
    </w:p>
    <w:tbl>
      <w:tblPr>
        <w:tblStyle w:val="TableGrid"/>
        <w:tblW w:w="10300" w:type="dxa"/>
        <w:jc w:val="center"/>
        <w:tblLayout w:type="fixed"/>
        <w:tblLook w:val="04A0" w:firstRow="1" w:lastRow="0" w:firstColumn="1" w:lastColumn="0" w:noHBand="0" w:noVBand="1"/>
      </w:tblPr>
      <w:tblGrid>
        <w:gridCol w:w="2403"/>
        <w:gridCol w:w="2861"/>
        <w:gridCol w:w="3777"/>
        <w:gridCol w:w="1259"/>
      </w:tblGrid>
      <w:tr>
        <w:trPr>
          <w:cantSplit/>
          <w:tblHeader/>
        </w:trPr>
        <w:tc>
          <w:tcPr>
            <w:tcW w:w="2403" w:type="dxa"/>
            <w:vAlign w:val="center"/>
          </w:tcPr>
          <w:p>
            <w:pPr>
              <w:spacing w:before="40" w:after="40"/>
              <w:jc w:val="center"/>
            </w:pPr>
            <w:r>
              <w:rPr>
                <w:rFonts w:asciiTheme="minorHAnsi" w:hAnsiTheme="minorHAnsi" w:cstheme="minorHAnsi"/>
                <w:b/>
                <w:bCs/>
                <w:sz w:val="20"/>
                <w:szCs w:val="20"/>
              </w:rPr>
              <w:t xml:space="preserve">Segment</w:t>
            </w:r>
          </w:p>
        </w:tc>
        <w:tc>
          <w:tcPr>
            <w:tcW w:w="2861" w:type="dxa"/>
            <w:vAlign w:val="center"/>
          </w:tcPr>
          <w:p>
            <w:pPr>
              <w:spacing w:before="40" w:after="40"/>
              <w:jc w:val="center"/>
            </w:pPr>
            <w:r>
              <w:rPr>
                <w:rFonts w:asciiTheme="minorHAnsi" w:hAnsiTheme="minorHAnsi" w:cstheme="minorHAnsi"/>
                <w:b/>
                <w:bCs/>
                <w:sz w:val="20"/>
                <w:szCs w:val="20"/>
              </w:rPr>
              <w:t xml:space="preserve">Profile</w:t>
            </w:r>
          </w:p>
        </w:tc>
        <w:tc>
          <w:tcPr>
            <w:tcW w:w="3777" w:type="dxa"/>
            <w:vAlign w:val="center"/>
          </w:tcPr>
          <w:p>
            <w:pPr>
              <w:spacing w:before="40" w:after="40"/>
              <w:jc w:val="center"/>
            </w:pPr>
            <w:r>
              <w:rPr>
                <w:rFonts w:asciiTheme="minorHAnsi" w:hAnsiTheme="minorHAnsi" w:cstheme="minorHAnsi"/>
                <w:b/>
                <w:bCs/>
                <w:sz w:val="20"/>
                <w:szCs w:val="20"/>
              </w:rPr>
              <w:t xml:space="preserve">Key pain point</w:t>
            </w:r>
          </w:p>
        </w:tc>
        <w:tc>
          <w:tcPr>
            <w:tcW w:w="1259" w:type="dxa"/>
            <w:vAlign w:val="center"/>
          </w:tcPr>
          <w:p>
            <w:pPr>
              <w:spacing w:before="40" w:after="40"/>
              <w:jc w:val="center"/>
            </w:pPr>
            <w:r>
              <w:rPr>
                <w:rFonts w:asciiTheme="minorHAnsi" w:hAnsiTheme="minorHAnsi" w:cstheme="minorHAnsi"/>
                <w:b/>
                <w:bCs/>
                <w:sz w:val="20"/>
                <w:szCs w:val="20"/>
              </w:rPr>
              <w:t xml:space="preserve">Use</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Solo marketers and SME owners</w:t>
            </w:r>
          </w:p>
        </w:tc>
        <w:tc>
          <w:tcPr>
            <w:tcW w:w="2861" w:type="dxa"/>
            <w:vAlign w:val="center"/>
          </w:tcPr>
          <w:p>
            <w:pPr>
              <w:spacing w:before="40" w:after="40"/>
              <w:jc w:val="left"/>
            </w:pPr>
            <w:r>
              <w:rPr>
                <w:rFonts w:asciiTheme="minorHAnsi" w:hAnsiTheme="minorHAnsi" w:cstheme="minorHAnsi"/>
                <w:sz w:val="20"/>
                <w:szCs w:val="20"/>
              </w:rPr>
              <w:t xml:space="preserve">Manage their own social and website marketing (persona: Nora)</w:t>
            </w:r>
          </w:p>
        </w:tc>
        <w:tc>
          <w:tcPr>
            <w:tcW w:w="3777" w:type="dxa"/>
            <w:vAlign w:val="center"/>
          </w:tcPr>
          <w:p>
            <w:pPr>
              <w:spacing w:before="40" w:after="40"/>
              <w:jc w:val="left"/>
            </w:pPr>
            <w:r>
              <w:rPr>
                <w:rFonts w:asciiTheme="minorHAnsi" w:hAnsiTheme="minorHAnsi" w:cstheme="minorHAnsi"/>
                <w:sz w:val="20"/>
                <w:szCs w:val="20"/>
              </w:rPr>
              <w:t xml:space="preserve">Four separate platforms; English-first AI; USD pricing</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Boutique digital marketing agencies</w:t>
            </w:r>
          </w:p>
        </w:tc>
        <w:tc>
          <w:tcPr>
            <w:tcW w:w="2861" w:type="dxa"/>
            <w:vAlign w:val="center"/>
          </w:tcPr>
          <w:p>
            <w:pPr>
              <w:spacing w:before="40" w:after="40"/>
              <w:jc w:val="left"/>
            </w:pPr>
            <w:r>
              <w:rPr>
                <w:rFonts w:asciiTheme="minorHAnsi" w:hAnsiTheme="minorHAnsi" w:cstheme="minorHAnsi"/>
                <w:sz w:val="20"/>
                <w:szCs w:val="20"/>
              </w:rPr>
              <w:t xml:space="preserve">Manage multiple client accounts (persona: Khalid, 8 clients)</w:t>
            </w:r>
          </w:p>
        </w:tc>
        <w:tc>
          <w:tcPr>
            <w:tcW w:w="3777" w:type="dxa"/>
            <w:vAlign w:val="center"/>
          </w:tcPr>
          <w:p>
            <w:pPr>
              <w:spacing w:before="40" w:after="40"/>
              <w:jc w:val="left"/>
            </w:pPr>
            <w:r>
              <w:rPr>
                <w:rFonts w:asciiTheme="minorHAnsi" w:hAnsiTheme="minorHAnsi" w:cstheme="minorHAnsi"/>
                <w:sz w:val="20"/>
                <w:szCs w:val="20"/>
              </w:rPr>
              <w:t xml:space="preserve">12+ hours a week compiling data; no multi-client workspaces at an affordable price; formal Arabic instead of client dialect</w:t>
            </w:r>
          </w:p>
        </w:tc>
        <w:tc>
          <w:tcPr>
            <w:tcW w:w="1259" w:type="dxa"/>
            <w:vAlign w:val="center"/>
          </w:tcPr>
          <w:p>
            <w:pPr>
              <w:spacing w:before="40" w:after="40"/>
              <w:jc w:val="left"/>
            </w:pPr>
            <w:r>
              <w:rPr>
                <w:rFonts w:asciiTheme="minorHAnsi" w:hAnsiTheme="minorHAnsi" w:cstheme="minorHAnsi"/>
                <w:sz w:val="20"/>
                <w:szCs w:val="20"/>
              </w:rPr>
              <w:t xml:space="preserve">Daily</w:t>
            </w:r>
          </w:p>
        </w:tc>
      </w:tr>
      <w:tr>
        <w:trPr>
          <w:cantSplit/>
        </w:trPr>
        <w:tc>
          <w:tcPr>
            <w:tcW w:w="2403" w:type="dxa"/>
            <w:vAlign w:val="center"/>
          </w:tcPr>
          <w:p>
            <w:pPr>
              <w:spacing w:before="40" w:after="40"/>
              <w:jc w:val="left"/>
            </w:pPr>
            <w:r>
              <w:rPr>
                <w:rFonts w:asciiTheme="minorHAnsi" w:hAnsiTheme="minorHAnsi" w:cstheme="minorHAnsi"/>
                <w:sz w:val="20"/>
                <w:szCs w:val="20"/>
              </w:rPr>
              <w:t xml:space="preserve">Freelance content creators</w:t>
            </w:r>
          </w:p>
        </w:tc>
        <w:tc>
          <w:tcPr>
            <w:tcW w:w="2861" w:type="dxa"/>
            <w:vAlign w:val="center"/>
          </w:tcPr>
          <w:p>
            <w:pPr>
              <w:spacing w:before="40" w:after="40"/>
              <w:jc w:val="left"/>
            </w:pPr>
            <w:r>
              <w:rPr>
                <w:rFonts w:asciiTheme="minorHAnsi" w:hAnsiTheme="minorHAnsi" w:cstheme="minorHAnsi"/>
                <w:sz w:val="20"/>
                <w:szCs w:val="20"/>
              </w:rPr>
              <w:t xml:space="preserve">Produce Arabic content for brands on Snapchat and Instagram</w:t>
            </w:r>
          </w:p>
        </w:tc>
        <w:tc>
          <w:tcPr>
            <w:tcW w:w="3777" w:type="dxa"/>
            <w:vAlign w:val="center"/>
          </w:tcPr>
          <w:p>
            <w:pPr>
              <w:spacing w:before="40" w:after="40"/>
              <w:jc w:val="left"/>
            </w:pPr>
            <w:r>
              <w:rPr>
                <w:rFonts w:asciiTheme="minorHAnsi" w:hAnsiTheme="minorHAnsi" w:cstheme="minorHAnsi"/>
                <w:sz w:val="20"/>
                <w:szCs w:val="20"/>
              </w:rPr>
              <w:t xml:space="preserve">Slow drafting and manual rewriting</w:t>
            </w:r>
          </w:p>
        </w:tc>
        <w:tc>
          <w:tcPr>
            <w:tcW w:w="1259" w:type="dxa"/>
            <w:vAlign w:val="center"/>
          </w:tcPr>
          <w:p>
            <w:pPr>
              <w:spacing w:before="40" w:after="40"/>
              <w:jc w:val="left"/>
            </w:pPr>
            <w:r>
              <w:rPr>
                <w:rFonts w:asciiTheme="minorHAnsi" w:hAnsiTheme="minorHAnsi" w:cstheme="minorHAnsi"/>
                <w:sz w:val="20"/>
                <w:szCs w:val="20"/>
              </w:rPr>
              <w:t xml:space="preserve">Several times a week</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Initial focus is on Riyadh, Jeddah and Dammam; expansion to the wider GCC follows.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 size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6. Market size (Tempo Market Study)</w:t>
      </w:r>
    </w:p>
    <w:tbl>
      <w:tblPr>
        <w:tblStyle w:val="TableGrid"/>
        <w:tblW w:w="10300" w:type="dxa"/>
        <w:jc w:val="center"/>
        <w:tblLayout w:type="fixed"/>
        <w:tblLook w:val="04A0" w:firstRow="1" w:lastRow="0" w:firstColumn="1" w:lastColumn="0" w:noHBand="0" w:noVBand="1"/>
      </w:tblPr>
      <w:tblGrid>
        <w:gridCol w:w="2060"/>
        <w:gridCol w:w="2861"/>
        <w:gridCol w:w="5379"/>
      </w:tblGrid>
      <w:tr>
        <w:trPr>
          <w:cantSplit/>
          <w:tblHeader/>
        </w:trPr>
        <w:tc>
          <w:tcPr>
            <w:tcW w:w="2060" w:type="dxa"/>
            <w:vAlign w:val="center"/>
          </w:tcPr>
          <w:p>
            <w:pPr>
              <w:spacing w:before="40" w:after="40"/>
              <w:jc w:val="center"/>
            </w:pPr>
            <w:r>
              <w:rPr>
                <w:rFonts w:asciiTheme="minorHAnsi" w:hAnsiTheme="minorHAnsi" w:cstheme="minorHAnsi"/>
                <w:b/>
                <w:bCs/>
                <w:sz w:val="20"/>
                <w:szCs w:val="20"/>
              </w:rPr>
              <w:t xml:space="preserve">Measure</w:t>
            </w:r>
          </w:p>
        </w:tc>
        <w:tc>
          <w:tcPr>
            <w:tcW w:w="2861" w:type="dxa"/>
            <w:vAlign w:val="center"/>
          </w:tcPr>
          <w:p>
            <w:pPr>
              <w:spacing w:before="40" w:after="40"/>
              <w:jc w:val="center"/>
            </w:pPr>
            <w:r>
              <w:rPr>
                <w:rFonts w:asciiTheme="minorHAnsi" w:hAnsiTheme="minorHAnsi" w:cstheme="minorHAnsi"/>
                <w:b/>
                <w:bCs/>
                <w:sz w:val="20"/>
                <w:szCs w:val="20"/>
              </w:rPr>
              <w:t xml:space="preserve">Value</w:t>
            </w:r>
          </w:p>
        </w:tc>
        <w:tc>
          <w:tcPr>
            <w:tcW w:w="5379" w:type="dxa"/>
            <w:vAlign w:val="center"/>
          </w:tcPr>
          <w:p>
            <w:pPr>
              <w:spacing w:before="40" w:after="40"/>
              <w:jc w:val="center"/>
            </w:pPr>
            <w:r>
              <w:rPr>
                <w:rFonts w:asciiTheme="minorHAnsi" w:hAnsiTheme="minorHAnsi" w:cstheme="minorHAnsi"/>
                <w:b/>
                <w:bCs/>
                <w:sz w:val="20"/>
                <w:szCs w:val="20"/>
              </w:rPr>
              <w:t xml:space="preserve">Definition</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TAM</w:t>
            </w:r>
          </w:p>
        </w:tc>
        <w:tc>
          <w:tcPr>
            <w:tcW w:w="2861" w:type="dxa"/>
            <w:vAlign w:val="center"/>
          </w:tcPr>
          <w:p>
            <w:pPr>
              <w:spacing w:before="40" w:after="40"/>
              <w:jc w:val="left"/>
            </w:pPr>
            <w:r>
              <w:rPr>
                <w:rFonts w:asciiTheme="minorHAnsi" w:hAnsiTheme="minorHAnsi" w:cstheme="minorHAnsi"/>
                <w:sz w:val="20"/>
                <w:szCs w:val="20"/>
              </w:rPr>
              <w:t xml:space="preserve">SAR 3.5 billion (2024)</w:t>
            </w:r>
          </w:p>
        </w:tc>
        <w:tc>
          <w:tcPr>
            <w:tcW w:w="5379" w:type="dxa"/>
            <w:vAlign w:val="center"/>
          </w:tcPr>
          <w:p>
            <w:pPr>
              <w:spacing w:before="40" w:after="40"/>
              <w:jc w:val="left"/>
            </w:pPr>
            <w:r>
              <w:rPr>
                <w:rFonts w:asciiTheme="minorHAnsi" w:hAnsiTheme="minorHAnsi" w:cstheme="minorHAnsi"/>
                <w:sz w:val="20"/>
                <w:szCs w:val="20"/>
              </w:rPr>
              <w:t xml:space="preserve">Saudi digital marketing SaaS market</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SAM</w:t>
            </w:r>
          </w:p>
        </w:tc>
        <w:tc>
          <w:tcPr>
            <w:tcW w:w="2861" w:type="dxa"/>
            <w:vAlign w:val="center"/>
          </w:tcPr>
          <w:p>
            <w:pPr>
              <w:spacing w:before="40" w:after="40"/>
              <w:jc w:val="left"/>
            </w:pPr>
            <w:r>
              <w:rPr>
                <w:rFonts w:asciiTheme="minorHAnsi" w:hAnsiTheme="minorHAnsi" w:cstheme="minorHAnsi"/>
                <w:sz w:val="20"/>
                <w:szCs w:val="20"/>
              </w:rPr>
              <w:t xml:space="preserve">SAR 1.1 billion</w:t>
            </w:r>
          </w:p>
        </w:tc>
        <w:tc>
          <w:tcPr>
            <w:tcW w:w="5379" w:type="dxa"/>
            <w:vAlign w:val="center"/>
          </w:tcPr>
          <w:p>
            <w:pPr>
              <w:spacing w:before="40" w:after="40"/>
              <w:jc w:val="left"/>
            </w:pPr>
            <w:r>
              <w:rPr>
                <w:rFonts w:asciiTheme="minorHAnsi" w:hAnsiTheme="minorHAnsi" w:cstheme="minorHAnsi"/>
                <w:sz w:val="20"/>
                <w:szCs w:val="20"/>
              </w:rPr>
              <w:t xml:space="preserve">Portion serving SMEs and independent agencies</w:t>
            </w:r>
          </w:p>
        </w:tc>
      </w:tr>
      <w:tr>
        <w:trPr>
          <w:cantSplit/>
        </w:trPr>
        <w:tc>
          <w:tcPr>
            <w:tcW w:w="2060" w:type="dxa"/>
            <w:vAlign w:val="center"/>
          </w:tcPr>
          <w:p>
            <w:pPr>
              <w:spacing w:before="40" w:after="40"/>
              <w:jc w:val="left"/>
            </w:pPr>
            <w:r>
              <w:rPr>
                <w:rFonts w:asciiTheme="minorHAnsi" w:hAnsiTheme="minorHAnsi" w:cstheme="minorHAnsi"/>
                <w:sz w:val="20"/>
                <w:szCs w:val="20"/>
              </w:rPr>
              <w:t xml:space="preserve">SOM (Year 1)</w:t>
            </w:r>
          </w:p>
        </w:tc>
        <w:tc>
          <w:tcPr>
            <w:tcW w:w="2861" w:type="dxa"/>
            <w:vAlign w:val="center"/>
          </w:tcPr>
          <w:p>
            <w:pPr>
              <w:spacing w:before="40" w:after="40"/>
              <w:jc w:val="left"/>
            </w:pPr>
            <w:r>
              <w:rPr>
                <w:rFonts w:asciiTheme="minorHAnsi" w:hAnsiTheme="minorHAnsi" w:cstheme="minorHAnsi"/>
                <w:sz w:val="20"/>
                <w:szCs w:val="20"/>
              </w:rPr>
              <w:t xml:space="preserve">SAR 55 million</w:t>
            </w:r>
          </w:p>
        </w:tc>
        <w:tc>
          <w:tcPr>
            <w:tcW w:w="5379" w:type="dxa"/>
            <w:vAlign w:val="center"/>
          </w:tcPr>
          <w:p>
            <w:pPr>
              <w:spacing w:before="40" w:after="40"/>
              <w:jc w:val="left"/>
            </w:pPr>
            <w:r>
              <w:rPr>
                <w:rFonts w:asciiTheme="minorHAnsi" w:hAnsiTheme="minorHAnsi" w:cstheme="minorHAnsi"/>
                <w:sz w:val="20"/>
                <w:szCs w:val="20"/>
              </w:rPr>
              <w:t xml:space="preserve">Solo marketers and boutique agencies in Riyadh, Jeddah and Dammam</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SOM is the market study's estimate of what is reachable, not a sales forecast. Tempo's own revenue plan (Section 8) is much smaller on purpose.</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Competitors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7. Competitor and feature comparison</w:t>
      </w:r>
    </w:p>
    <w:tbl>
      <w:tblPr>
        <w:tblStyle w:val="TableGrid"/>
        <w:tblW w:w="10300" w:type="dxa"/>
        <w:jc w:val="center"/>
        <w:tblLayout w:type="fixed"/>
        <w:tblLook w:val="04A0" w:firstRow="1" w:lastRow="0" w:firstColumn="1" w:lastColumn="0" w:noHBand="0" w:noVBand="1"/>
      </w:tblPr>
      <w:tblGrid>
        <w:gridCol w:w="3090"/>
        <w:gridCol w:w="1259"/>
        <w:gridCol w:w="1144"/>
        <w:gridCol w:w="1602"/>
        <w:gridCol w:w="1488"/>
        <w:gridCol w:w="1717"/>
      </w:tblGrid>
      <w:tr>
        <w:trPr>
          <w:cantSplit/>
          <w:tblHeader/>
        </w:trPr>
        <w:tc>
          <w:tcPr>
            <w:tcW w:w="3090" w:type="dxa"/>
            <w:vAlign w:val="center"/>
          </w:tcPr>
          <w:p>
            <w:pPr>
              <w:spacing w:before="40" w:after="40"/>
              <w:jc w:val="center"/>
            </w:pPr>
          </w:p>
        </w:tc>
        <w:tc>
          <w:tcPr>
            <w:tcW w:w="1259" w:type="dxa"/>
            <w:vAlign w:val="center"/>
          </w:tcPr>
          <w:p>
            <w:pPr>
              <w:spacing w:before="40" w:after="40"/>
              <w:jc w:val="center"/>
            </w:pPr>
            <w:r>
              <w:rPr>
                <w:rFonts w:asciiTheme="minorHAnsi" w:hAnsiTheme="minorHAnsi" w:cstheme="minorHAnsi"/>
                <w:b/>
                <w:bCs/>
                <w:sz w:val="20"/>
                <w:szCs w:val="20"/>
              </w:rPr>
              <w:t xml:space="preserve">Hootsuite</w:t>
            </w:r>
          </w:p>
        </w:tc>
        <w:tc>
          <w:tcPr>
            <w:tcW w:w="1144" w:type="dxa"/>
            <w:vAlign w:val="center"/>
          </w:tcPr>
          <w:p>
            <w:pPr>
              <w:spacing w:before="40" w:after="40"/>
              <w:jc w:val="center"/>
            </w:pPr>
            <w:r>
              <w:rPr>
                <w:rFonts w:asciiTheme="minorHAnsi" w:hAnsiTheme="minorHAnsi" w:cstheme="minorHAnsi"/>
                <w:b/>
                <w:bCs/>
                <w:sz w:val="20"/>
                <w:szCs w:val="20"/>
              </w:rPr>
              <w:t xml:space="preserve">Buffer</w:t>
            </w:r>
          </w:p>
        </w:tc>
        <w:tc>
          <w:tcPr>
            <w:tcW w:w="1602" w:type="dxa"/>
            <w:vAlign w:val="center"/>
          </w:tcPr>
          <w:p>
            <w:pPr>
              <w:spacing w:before="40" w:after="40"/>
              <w:jc w:val="center"/>
            </w:pPr>
            <w:r>
              <w:rPr>
                <w:rFonts w:asciiTheme="minorHAnsi" w:hAnsiTheme="minorHAnsi" w:cstheme="minorHAnsi"/>
                <w:b/>
                <w:bCs/>
                <w:sz w:val="20"/>
                <w:szCs w:val="20"/>
              </w:rPr>
              <w:t xml:space="preserve">Sprout Social</w:t>
            </w:r>
          </w:p>
        </w:tc>
        <w:tc>
          <w:tcPr>
            <w:tcW w:w="1488" w:type="dxa"/>
            <w:vAlign w:val="center"/>
          </w:tcPr>
          <w:p>
            <w:pPr>
              <w:spacing w:before="40" w:after="40"/>
              <w:jc w:val="center"/>
            </w:pPr>
            <w:r>
              <w:rPr>
                <w:rFonts w:asciiTheme="minorHAnsi" w:hAnsiTheme="minorHAnsi" w:cstheme="minorHAnsi"/>
                <w:b/>
                <w:bCs/>
                <w:sz w:val="20"/>
                <w:szCs w:val="20"/>
              </w:rPr>
              <w:t xml:space="preserve">Jasper AI</w:t>
            </w:r>
          </w:p>
        </w:tc>
        <w:tc>
          <w:tcPr>
            <w:tcW w:w="1717" w:type="dxa"/>
            <w:vAlign w:val="center"/>
          </w:tcPr>
          <w:p>
            <w:pPr>
              <w:spacing w:before="40" w:after="40"/>
              <w:jc w:val="center"/>
            </w:pPr>
            <w:r>
              <w:rPr>
                <w:rFonts w:asciiTheme="minorHAnsi" w:hAnsiTheme="minorHAnsi" w:cstheme="minorHAnsi"/>
                <w:b/>
                <w:bCs/>
                <w:sz w:val="20"/>
                <w:szCs w:val="20"/>
              </w:rPr>
              <w:t xml:space="preserve">Tempo</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Monthly price (SAR)</w:t>
            </w:r>
          </w:p>
        </w:tc>
        <w:tc>
          <w:tcPr>
            <w:tcW w:w="1259" w:type="dxa"/>
            <w:vAlign w:val="center"/>
          </w:tcPr>
          <w:p>
            <w:pPr>
              <w:spacing w:before="40" w:after="40"/>
              <w:jc w:val="center"/>
            </w:pPr>
            <w:r>
              <w:rPr>
                <w:rFonts w:asciiTheme="minorHAnsi" w:hAnsiTheme="minorHAnsi" w:cstheme="minorHAnsi"/>
                <w:sz w:val="20"/>
                <w:szCs w:val="20"/>
              </w:rPr>
              <w:t xml:space="preserve">370</w:t>
            </w:r>
          </w:p>
        </w:tc>
        <w:tc>
          <w:tcPr>
            <w:tcW w:w="1144" w:type="dxa"/>
            <w:vAlign w:val="center"/>
          </w:tcPr>
          <w:p>
            <w:pPr>
              <w:spacing w:before="40" w:after="40"/>
              <w:jc w:val="center"/>
            </w:pPr>
            <w:r>
              <w:rPr>
                <w:rFonts w:asciiTheme="minorHAnsi" w:hAnsiTheme="minorHAnsi" w:cstheme="minorHAnsi"/>
                <w:sz w:val="20"/>
                <w:szCs w:val="20"/>
              </w:rPr>
              <w:t xml:space="preserve">56</w:t>
            </w:r>
          </w:p>
        </w:tc>
        <w:tc>
          <w:tcPr>
            <w:tcW w:w="1602" w:type="dxa"/>
            <w:vAlign w:val="center"/>
          </w:tcPr>
          <w:p>
            <w:pPr>
              <w:spacing w:before="40" w:after="40"/>
              <w:jc w:val="center"/>
            </w:pPr>
            <w:r>
              <w:rPr>
                <w:rFonts w:asciiTheme="minorHAnsi" w:hAnsiTheme="minorHAnsi" w:cstheme="minorHAnsi"/>
                <w:sz w:val="20"/>
                <w:szCs w:val="20"/>
              </w:rPr>
              <w:t xml:space="preserve">934</w:t>
            </w:r>
          </w:p>
        </w:tc>
        <w:tc>
          <w:tcPr>
            <w:tcW w:w="1488" w:type="dxa"/>
            <w:vAlign w:val="center"/>
          </w:tcPr>
          <w:p>
            <w:pPr>
              <w:spacing w:before="40" w:after="40"/>
              <w:jc w:val="center"/>
            </w:pPr>
            <w:r>
              <w:rPr>
                <w:rFonts w:asciiTheme="minorHAnsi" w:hAnsiTheme="minorHAnsi" w:cstheme="minorHAnsi"/>
                <w:sz w:val="20"/>
                <w:szCs w:val="20"/>
              </w:rPr>
              <w:t xml:space="preserve">184</w:t>
            </w:r>
          </w:p>
        </w:tc>
        <w:tc>
          <w:tcPr>
            <w:tcW w:w="1717" w:type="dxa"/>
            <w:vAlign w:val="center"/>
          </w:tcPr>
          <w:p>
            <w:pPr>
              <w:spacing w:before="40" w:after="40"/>
              <w:jc w:val="center"/>
            </w:pPr>
            <w:r>
              <w:rPr>
                <w:rFonts w:asciiTheme="minorHAnsi" w:hAnsiTheme="minorHAnsi" w:cstheme="minorHAnsi"/>
                <w:sz w:val="20"/>
                <w:szCs w:val="20"/>
              </w:rPr>
              <w:t xml:space="preserve">189 (Starter)</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Entry plan at or below SAR 200</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Bilingual Arabic/English content</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r>
        <w:trPr>
          <w:cantSplit/>
        </w:trPr>
        <w:tc>
          <w:tcPr>
            <w:tcW w:w="3090" w:type="dxa"/>
            <w:vAlign w:val="center"/>
          </w:tcPr>
          <w:p>
            <w:pPr>
              <w:spacing w:before="40" w:after="40"/>
              <w:jc w:val="left"/>
            </w:pPr>
            <w:r>
              <w:rPr>
                <w:rFonts w:asciiTheme="minorHAnsi" w:hAnsiTheme="minorHAnsi" w:cstheme="minorHAnsi"/>
                <w:sz w:val="20"/>
                <w:szCs w:val="20"/>
              </w:rPr>
              <w:t xml:space="preserve">Saudi-native market insights</w:t>
            </w:r>
          </w:p>
        </w:tc>
        <w:tc>
          <w:tcPr>
            <w:tcW w:w="1259" w:type="dxa"/>
            <w:vAlign w:val="center"/>
          </w:tcPr>
          <w:p>
            <w:pPr>
              <w:spacing w:before="40" w:after="40"/>
              <w:jc w:val="center"/>
            </w:pPr>
            <w:r>
              <w:rPr>
                <w:rFonts w:ascii="Segoe UI Symbol" w:hAnsi="Segoe UI Symbol" w:cstheme="minorHAnsi"/>
                <w:b/>
                <w:bCs/>
                <w:sz w:val="20"/>
                <w:szCs w:val="20"/>
              </w:rPr>
              <w:t xml:space="preserve">✕</w:t>
            </w:r>
          </w:p>
        </w:tc>
        <w:tc>
          <w:tcPr>
            <w:tcW w:w="1144" w:type="dxa"/>
            <w:vAlign w:val="center"/>
          </w:tcPr>
          <w:p>
            <w:pPr>
              <w:spacing w:before="40" w:after="40"/>
              <w:jc w:val="center"/>
            </w:pPr>
            <w:r>
              <w:rPr>
                <w:rFonts w:ascii="Segoe UI Symbol" w:hAnsi="Segoe UI Symbol" w:cstheme="minorHAnsi"/>
                <w:b/>
                <w:bCs/>
                <w:sz w:val="20"/>
                <w:szCs w:val="20"/>
              </w:rPr>
              <w:t xml:space="preserve">✕</w:t>
            </w:r>
          </w:p>
        </w:tc>
        <w:tc>
          <w:tcPr>
            <w:tcW w:w="1602" w:type="dxa"/>
            <w:vAlign w:val="center"/>
          </w:tcPr>
          <w:p>
            <w:pPr>
              <w:spacing w:before="40" w:after="40"/>
              <w:jc w:val="center"/>
            </w:pPr>
            <w:r>
              <w:rPr>
                <w:rFonts w:ascii="Segoe UI Symbol" w:hAnsi="Segoe UI Symbol" w:cstheme="minorHAnsi"/>
                <w:b/>
                <w:bCs/>
                <w:sz w:val="20"/>
                <w:szCs w:val="20"/>
              </w:rPr>
              <w:t xml:space="preserve">✕</w:t>
            </w:r>
          </w:p>
        </w:tc>
        <w:tc>
          <w:tcPr>
            <w:tcW w:w="1488" w:type="dxa"/>
            <w:vAlign w:val="center"/>
          </w:tcPr>
          <w:p>
            <w:pPr>
              <w:spacing w:before="40" w:after="40"/>
              <w:jc w:val="center"/>
            </w:pPr>
            <w:r>
              <w:rPr>
                <w:rFonts w:ascii="Segoe UI Symbol" w:hAnsi="Segoe UI Symbol" w:cstheme="minorHAnsi"/>
                <w:b/>
                <w:bCs/>
                <w:sz w:val="20"/>
                <w:szCs w:val="20"/>
              </w:rPr>
              <w:t xml:space="preserve">✕</w:t>
            </w:r>
          </w:p>
        </w:tc>
        <w:tc>
          <w:tcPr>
            <w:tcW w:w="1717" w:type="dxa"/>
            <w:vAlign w:val="center"/>
          </w:tcPr>
          <w:p>
            <w:pPr>
              <w:spacing w:before="40" w:after="40"/>
              <w:jc w:val="center"/>
            </w:pPr>
            <w:r>
              <w:rPr>
                <w:rFonts w:ascii="Segoe UI Symbol" w:hAnsi="Segoe UI Symbol" w:cstheme="minorHAnsi"/>
                <w:b/>
                <w:bCs/>
                <w:sz w:val="20"/>
                <w:szCs w:val="20"/>
              </w:rPr>
              <w:t xml:space="preserve">✓</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Prices and the bilingual and Saudi-insight rows are from the market study. The affordability row applies its own SAR 200 threshold to the listed prices.</w:t>
      </w:r>
    </w:p>
    <w:p>
      <w:pPr>
        <w:pStyle w:val="ListParagraph"/>
        <w:spacing w:before="0" w:after="120"/>
        <w:contextualSpacing w:val="0"/>
        <w:jc w:val="both"/>
      </w:pPr>
      <w:r>
        <w:rPr>
          <w:rFonts w:asciiTheme="minorHAnsi" w:hAnsiTheme="minorHAnsi" w:cstheme="minorHAnsi"/>
          <w:sz w:val="24"/>
          <w:szCs w:val="24"/>
        </w:rPr>
        <w:t xml:space="preserve">Hootsuite and Buffer offer scheduling and basic analytics but no Arabic AI content and no Snapchat API integration. Sprout Social offers enterprise reporting and bilingual posting but prices out most Saudi SMEs. Jasper AI writes Arabic copy but has no scheduling, analytics or website performance features. Other options fall into the same three groups: global schedulers, enterprise suites (above SAR 900 per month) and AI writing assistants.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Demand, market gap and competitive advantage</w:t>
      </w:r>
    </w:p>
    <w:p>
      <w:pPr>
        <w:pStyle w:val="ListParagraph"/>
        <w:spacing w:before="0" w:after="120"/>
        <w:contextualSpacing w:val="0"/>
        <w:jc w:val="both"/>
      </w:pPr>
      <w:r>
        <w:rPr>
          <w:rFonts w:asciiTheme="minorHAnsi" w:hAnsiTheme="minorHAnsi" w:cstheme="minorHAnsi"/>
          <w:sz w:val="24"/>
          <w:szCs w:val="24"/>
        </w:rPr>
        <w:t xml:space="preserve">In the market study survey of 47 Saudi marketing professionals, 68% valued all-in-one dashboards, 61% valued AI that drafts Arabic captions without manual translation, and 54% valued SAR pricing that avoids foreign-exchange risk. Reviews of competing tools on the App Store, Google Play and G2 point to the same gaps. The survey sample is small and limited to two cities, so it supports the existence of demand but not its size; the beta will test willingness to pay.</w:t>
      </w:r>
    </w:p>
    <w:p>
      <w:pPr>
        <w:pStyle w:val="ListParagraph"/>
        <w:spacing w:before="0" w:after="120"/>
        <w:contextualSpacing w:val="0"/>
        <w:jc w:val="both"/>
      </w:pPr>
      <w:r>
        <w:rPr>
          <w:rFonts w:asciiTheme="minorHAnsi" w:hAnsiTheme="minorHAnsi" w:cstheme="minorHAnsi"/>
          <w:sz w:val="24"/>
          <w:szCs w:val="24"/>
        </w:rPr>
        <w:t xml:space="preserve">No incumbent offers a bilingual, Saudi-native, all-in-one tool at an SME price. Tempo's advantages are therefore (1) Arabic/English AI content with Saudi dialect focus, (2) direct Snapchat, X and Instagram scheduling, (3) social and website analytics in one dashboard with one weekly bilingual report, and (4) SAR pricing from SAR 189 with a freemium entry. These advantages can be copied over time, so speed to market and local content quality are the defensible parts.</w:t>
      </w:r>
    </w:p>
    <w:p>
      <w:pPr>
        <w:pStyle w:val="ListParagraph"/>
        <w:spacing w:before="0" w:after="120"/>
        <w:contextualSpacing w:val="0"/>
        <w:jc w:val="both"/>
      </w:pPr>
      <w:r>
        <w:rPr>
          <w:rFonts w:asciiTheme="minorHAnsi" w:hAnsiTheme="minorHAnsi" w:cstheme="minorHAnsi"/>
          <w:b/>
          <w:bCs/>
          <w:sz w:val="24"/>
          <w:szCs w:val="24"/>
        </w:rPr>
        <w:t xml:space="preserve">Distribution.</w:t>
      </w:r>
      <w:r>
        <w:rPr>
          <w:rFonts w:asciiTheme="minorHAnsi" w:hAnsiTheme="minorHAnsi" w:cstheme="minorHAnsi"/>
          <w:sz w:val="24"/>
          <w:szCs w:val="24"/>
        </w:rPr>
        <w:t xml:space="preserve"> Tempo is sold directly online through its website, with self-service sign-up, in-product trial and card or local payment methods. No physical distribution is needed.</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Marketing Strategy</w:t>
      </w:r>
    </w:p>
    <w:p>
      <w:pPr>
        <w:pStyle w:val="ListParagraph"/>
        <w:spacing w:before="0" w:after="120"/>
        <w:contextualSpacing w:val="0"/>
        <w:jc w:val="both"/>
      </w:pPr>
      <w:r>
        <w:rPr>
          <w:rFonts w:asciiTheme="minorHAnsi" w:hAnsiTheme="minorHAnsi" w:cstheme="minorHAnsi"/>
          <w:b/>
          <w:bCs/>
          <w:sz w:val="24"/>
          <w:szCs w:val="24"/>
        </w:rPr>
        <w:t xml:space="preserve">Positioning.</w:t>
      </w:r>
      <w:r>
        <w:rPr>
          <w:rFonts w:asciiTheme="minorHAnsi" w:hAnsiTheme="minorHAnsi" w:cstheme="minorHAnsi"/>
          <w:sz w:val="24"/>
          <w:szCs w:val="24"/>
        </w:rPr>
        <w:t xml:space="preserve"> Tempo is "the Saudi marketer's co-pilot": the only affordable tool that writes in Saudi Arabic, publishes to Snapchat, X and Instagram, and reports on social and website results together. All messaging stresses time saved (from the market study: about 4 hours of rewriting and 6 hours of reporting a week) rather than technology.</w:t>
      </w:r>
    </w:p>
    <w:p>
      <w:pPr>
        <w:pStyle w:val="ListParagraph"/>
        <w:spacing w:before="0" w:after="120"/>
        <w:contextualSpacing w:val="0"/>
        <w:jc w:val="both"/>
      </w:pPr>
      <w:r>
        <w:rPr>
          <w:rFonts w:asciiTheme="minorHAnsi" w:hAnsiTheme="minorHAnsi" w:cstheme="minorHAnsi"/>
          <w:b/>
          <w:bCs/>
          <w:sz w:val="24"/>
          <w:szCs w:val="24"/>
        </w:rPr>
        <w:t xml:space="preserve">Pricing and trial.</w:t>
      </w:r>
      <w:r>
        <w:rPr>
          <w:rFonts w:asciiTheme="minorHAnsi" w:hAnsiTheme="minorHAnsi" w:cstheme="minorHAnsi"/>
          <w:sz w:val="24"/>
          <w:szCs w:val="24"/>
        </w:rPr>
        <w:t xml:space="preserve"> Entry through a free tier or trial lowers risk for SMEs; Starter at SAR 189 per month is close to Jasper AI (SAR 184, content generation only) and far below Hootsuite (SAR 370) and Sprout Social (SAR 934). The planning assumption is that about one in nine free or trial users becomes a paying account. Agency pricing (SAR 499, assumed) will be tested with the first agencies.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Phased go-to-market</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8. Launch phases</w:t>
      </w:r>
    </w:p>
    <w:tbl>
      <w:tblPr>
        <w:tblStyle w:val="TableGrid"/>
        <w:tblW w:w="10300" w:type="dxa"/>
        <w:jc w:val="center"/>
        <w:tblLayout w:type="fixed"/>
        <w:tblLook w:val="04A0" w:firstRow="1" w:lastRow="0" w:firstColumn="1" w:lastColumn="0" w:noHBand="0" w:noVBand="1"/>
      </w:tblPr>
      <w:tblGrid>
        <w:gridCol w:w="1717"/>
        <w:gridCol w:w="1488"/>
        <w:gridCol w:w="2632"/>
        <w:gridCol w:w="4463"/>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Phase</w:t>
            </w:r>
          </w:p>
        </w:tc>
        <w:tc>
          <w:tcPr>
            <w:tcW w:w="1488" w:type="dxa"/>
            <w:vAlign w:val="center"/>
          </w:tcPr>
          <w:p>
            <w:pPr>
              <w:spacing w:before="40" w:after="40"/>
              <w:jc w:val="center"/>
            </w:pPr>
            <w:r>
              <w:rPr>
                <w:rFonts w:asciiTheme="minorHAnsi" w:hAnsiTheme="minorHAnsi" w:cstheme="minorHAnsi"/>
                <w:b/>
                <w:bCs/>
                <w:sz w:val="20"/>
                <w:szCs w:val="20"/>
              </w:rPr>
              <w:t xml:space="preserve">Timing</w:t>
            </w:r>
          </w:p>
        </w:tc>
        <w:tc>
          <w:tcPr>
            <w:tcW w:w="2632" w:type="dxa"/>
            <w:vAlign w:val="center"/>
          </w:tcPr>
          <w:p>
            <w:pPr>
              <w:spacing w:before="40" w:after="40"/>
              <w:jc w:val="center"/>
            </w:pPr>
            <w:r>
              <w:rPr>
                <w:rFonts w:asciiTheme="minorHAnsi" w:hAnsiTheme="minorHAnsi" w:cstheme="minorHAnsi"/>
                <w:b/>
                <w:bCs/>
                <w:sz w:val="20"/>
                <w:szCs w:val="20"/>
              </w:rPr>
              <w:t xml:space="preserve">Focus</w:t>
            </w:r>
          </w:p>
        </w:tc>
        <w:tc>
          <w:tcPr>
            <w:tcW w:w="4463" w:type="dxa"/>
            <w:vAlign w:val="center"/>
          </w:tcPr>
          <w:p>
            <w:pPr>
              <w:spacing w:before="40" w:after="40"/>
              <w:jc w:val="center"/>
            </w:pPr>
            <w:r>
              <w:rPr>
                <w:rFonts w:asciiTheme="minorHAnsi" w:hAnsiTheme="minorHAnsi" w:cstheme="minorHAnsi"/>
                <w:b/>
                <w:bCs/>
                <w:sz w:val="20"/>
                <w:szCs w:val="20"/>
              </w:rPr>
              <w:t xml:space="preserve">Main actions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Pre-launch</w:t>
            </w:r>
          </w:p>
        </w:tc>
        <w:tc>
          <w:tcPr>
            <w:tcW w:w="1488" w:type="dxa"/>
            <w:vAlign w:val="center"/>
          </w:tcPr>
          <w:p>
            <w:pPr>
              <w:spacing w:before="40" w:after="40"/>
              <w:jc w:val="left"/>
            </w:pPr>
            <w:r>
              <w:rPr>
                <w:rFonts w:asciiTheme="minorHAnsi" w:hAnsiTheme="minorHAnsi" w:cstheme="minorHAnsi"/>
                <w:sz w:val="20"/>
                <w:szCs w:val="20"/>
              </w:rPr>
              <w:t xml:space="preserve">Q4 2026</w:t>
            </w:r>
          </w:p>
        </w:tc>
        <w:tc>
          <w:tcPr>
            <w:tcW w:w="2632" w:type="dxa"/>
            <w:vAlign w:val="center"/>
          </w:tcPr>
          <w:p>
            <w:pPr>
              <w:spacing w:before="40" w:after="40"/>
              <w:jc w:val="left"/>
            </w:pPr>
            <w:r>
              <w:rPr>
                <w:rFonts w:asciiTheme="minorHAnsi" w:hAnsiTheme="minorHAnsi" w:cstheme="minorHAnsi"/>
                <w:sz w:val="20"/>
                <w:szCs w:val="20"/>
              </w:rPr>
              <w:t xml:space="preserve">Validate and build a waitlist</w:t>
            </w:r>
          </w:p>
        </w:tc>
        <w:tc>
          <w:tcPr>
            <w:tcW w:w="4463" w:type="dxa"/>
            <w:vAlign w:val="center"/>
          </w:tcPr>
          <w:p>
            <w:pPr>
              <w:spacing w:before="40" w:after="40"/>
              <w:jc w:val="left"/>
            </w:pPr>
            <w:r>
              <w:rPr>
                <w:rFonts w:asciiTheme="minorHAnsi" w:hAnsiTheme="minorHAnsi" w:cstheme="minorHAnsi"/>
                <w:sz w:val="20"/>
                <w:szCs w:val="20"/>
              </w:rPr>
              <w:t xml:space="preserve">Landing page, prototype demos in Riyadh and Jeddah, survey follow-ups, invitations to beta</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Saudi launch</w:t>
            </w:r>
          </w:p>
        </w:tc>
        <w:tc>
          <w:tcPr>
            <w:tcW w:w="1488" w:type="dxa"/>
            <w:vAlign w:val="center"/>
          </w:tcPr>
          <w:p>
            <w:pPr>
              <w:spacing w:before="40" w:after="40"/>
              <w:jc w:val="left"/>
            </w:pPr>
            <w:r>
              <w:rPr>
                <w:rFonts w:asciiTheme="minorHAnsi" w:hAnsiTheme="minorHAnsi" w:cstheme="minorHAnsi"/>
                <w:sz w:val="20"/>
                <w:szCs w:val="20"/>
              </w:rPr>
              <w:t xml:space="preserve">Q1 2027</w:t>
            </w:r>
          </w:p>
        </w:tc>
        <w:tc>
          <w:tcPr>
            <w:tcW w:w="2632" w:type="dxa"/>
            <w:vAlign w:val="center"/>
          </w:tcPr>
          <w:p>
            <w:pPr>
              <w:spacing w:before="40" w:after="40"/>
              <w:jc w:val="left"/>
            </w:pPr>
            <w:r>
              <w:rPr>
                <w:rFonts w:asciiTheme="minorHAnsi" w:hAnsiTheme="minorHAnsi" w:cstheme="minorHAnsi"/>
                <w:sz w:val="20"/>
                <w:szCs w:val="20"/>
              </w:rPr>
              <w:t xml:space="preserve">Solo marketers, SMEs, creators in Riyadh, Jeddah, Dammam</w:t>
            </w:r>
          </w:p>
        </w:tc>
        <w:tc>
          <w:tcPr>
            <w:tcW w:w="4463" w:type="dxa"/>
            <w:vAlign w:val="center"/>
          </w:tcPr>
          <w:p>
            <w:pPr>
              <w:spacing w:before="40" w:after="40"/>
              <w:jc w:val="left"/>
            </w:pPr>
            <w:r>
              <w:rPr>
                <w:rFonts w:asciiTheme="minorHAnsi" w:hAnsiTheme="minorHAnsi" w:cstheme="minorHAnsi"/>
                <w:sz w:val="20"/>
                <w:szCs w:val="20"/>
              </w:rPr>
              <w:t xml:space="preserve">Public release of freemium and Starter, Arabic social content, creator partnerships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Agency expansion</w:t>
            </w:r>
          </w:p>
        </w:tc>
        <w:tc>
          <w:tcPr>
            <w:tcW w:w="1488" w:type="dxa"/>
            <w:vAlign w:val="center"/>
          </w:tcPr>
          <w:p>
            <w:pPr>
              <w:spacing w:before="40" w:after="40"/>
              <w:jc w:val="left"/>
            </w:pPr>
            <w:r>
              <w:rPr>
                <w:rFonts w:asciiTheme="minorHAnsi" w:hAnsiTheme="minorHAnsi" w:cstheme="minorHAnsi"/>
                <w:sz w:val="20"/>
                <w:szCs w:val="20"/>
              </w:rPr>
              <w:t xml:space="preserve">H1 2027</w:t>
            </w:r>
          </w:p>
        </w:tc>
        <w:tc>
          <w:tcPr>
            <w:tcW w:w="2632" w:type="dxa"/>
            <w:vAlign w:val="center"/>
          </w:tcPr>
          <w:p>
            <w:pPr>
              <w:spacing w:before="40" w:after="40"/>
              <w:jc w:val="left"/>
            </w:pPr>
            <w:r>
              <w:rPr>
                <w:rFonts w:asciiTheme="minorHAnsi" w:hAnsiTheme="minorHAnsi" w:cstheme="minorHAnsi"/>
                <w:sz w:val="20"/>
                <w:szCs w:val="20"/>
              </w:rPr>
              <w:t xml:space="preserve">Boutique agencies</w:t>
            </w:r>
          </w:p>
        </w:tc>
        <w:tc>
          <w:tcPr>
            <w:tcW w:w="4463" w:type="dxa"/>
            <w:vAlign w:val="center"/>
          </w:tcPr>
          <w:p>
            <w:pPr>
              <w:spacing w:before="40" w:after="40"/>
              <w:jc w:val="left"/>
            </w:pPr>
            <w:r>
              <w:rPr>
                <w:rFonts w:asciiTheme="minorHAnsi" w:hAnsiTheme="minorHAnsi" w:cstheme="minorHAnsi"/>
                <w:sz w:val="20"/>
                <w:szCs w:val="20"/>
              </w:rPr>
              <w:t xml:space="preserve">Agency workspaces and branded reports, outreach to agencies, case studies from Khalid-type users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GCC expansion</w:t>
            </w:r>
          </w:p>
        </w:tc>
        <w:tc>
          <w:tcPr>
            <w:tcW w:w="1488" w:type="dxa"/>
            <w:vAlign w:val="center"/>
          </w:tcPr>
          <w:p>
            <w:pPr>
              <w:spacing w:before="40" w:after="40"/>
              <w:jc w:val="left"/>
            </w:pPr>
            <w:r>
              <w:rPr>
                <w:rFonts w:asciiTheme="minorHAnsi" w:hAnsiTheme="minorHAnsi" w:cstheme="minorHAnsi"/>
                <w:sz w:val="20"/>
                <w:szCs w:val="20"/>
              </w:rPr>
              <w:t xml:space="preserve">H2 2027 onward</w:t>
            </w:r>
          </w:p>
        </w:tc>
        <w:tc>
          <w:tcPr>
            <w:tcW w:w="2632" w:type="dxa"/>
            <w:vAlign w:val="center"/>
          </w:tcPr>
          <w:p>
            <w:pPr>
              <w:spacing w:before="40" w:after="40"/>
              <w:jc w:val="left"/>
            </w:pPr>
            <w:r>
              <w:rPr>
                <w:rFonts w:asciiTheme="minorHAnsi" w:hAnsiTheme="minorHAnsi" w:cstheme="minorHAnsi"/>
                <w:sz w:val="20"/>
                <w:szCs w:val="20"/>
              </w:rPr>
              <w:t xml:space="preserve">Selected GCC markets</w:t>
            </w:r>
          </w:p>
        </w:tc>
        <w:tc>
          <w:tcPr>
            <w:tcW w:w="4463" w:type="dxa"/>
            <w:vAlign w:val="center"/>
          </w:tcPr>
          <w:p>
            <w:pPr>
              <w:spacing w:before="40" w:after="40"/>
              <w:jc w:val="left"/>
            </w:pPr>
            <w:r>
              <w:rPr>
                <w:rFonts w:asciiTheme="minorHAnsi" w:hAnsiTheme="minorHAnsi" w:cstheme="minorHAnsi"/>
                <w:sz w:val="20"/>
                <w:szCs w:val="20"/>
              </w:rPr>
              <w:t xml:space="preserve">Pilot in one or two GCC countries after validation gate (Section 10); localise dialects and payments</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The market study places the Saudi launch in Q4 2026. This plan treats Q4 2026 as the pre-launch stage and opens paid access in Q1 2027, so the MVP can be tested before charging customers.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Channels and activities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Social media and content:</w:t>
      </w:r>
      <w:r>
        <w:rPr>
          <w:rFonts w:asciiTheme="minorHAnsi" w:hAnsiTheme="minorHAnsi" w:cstheme="minorHAnsi"/>
          <w:sz w:val="24"/>
          <w:szCs w:val="24"/>
        </w:rPr>
        <w:t xml:space="preserve"> Arabic-first posts and short videos on Snapchat, Instagram and X showing real workflows (for example, "a week of content in 10 minutes"); Tempo uses its own product for this.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SME outreach:</w:t>
      </w:r>
      <w:r>
        <w:rPr>
          <w:rFonts w:asciiTheme="minorHAnsi" w:hAnsiTheme="minorHAnsi" w:cstheme="minorHAnsi"/>
          <w:sz w:val="24"/>
          <w:szCs w:val="24"/>
        </w:rPr>
        <w:t xml:space="preserve"> free workshops and webinars with chambers of commerce, coworking spaces and e-commerce communities in the three launch cities.</w:t>
      </w:r>
    </w:p>
    <w:p>
      <w:pPr>
        <w:pStyle w:val="ListParagraph"/>
        <w:numPr>
          <w:ilvl w:val="0"/>
          <w:numId w:val="41"/>
        </w:numPr>
        <w:spacing w:after="60"/>
        <w:contextualSpacing w:val="0"/>
        <w:jc w:val="both"/>
      </w:pPr>
      <w:r>
        <w:rPr>
          <w:rFonts w:asciiTheme="minorHAnsi" w:hAnsiTheme="minorHAnsi" w:cstheme="minorHAnsi"/>
          <w:b/>
          <w:bCs/>
          <w:sz w:val="24"/>
          <w:szCs w:val="24"/>
        </w:rPr>
        <w:t xml:space="preserve">Agency outreach:</w:t>
      </w:r>
      <w:r>
        <w:rPr>
          <w:rFonts w:asciiTheme="minorHAnsi" w:hAnsiTheme="minorHAnsi" w:cstheme="minorHAnsi"/>
          <w:sz w:val="24"/>
          <w:szCs w:val="24"/>
        </w:rPr>
        <w:t xml:space="preserve"> direct approach to boutique agencies through LinkedIn and referrals, with a pilot offer in exchange for feedback and a named case study.</w:t>
      </w:r>
    </w:p>
    <w:p>
      <w:pPr>
        <w:pStyle w:val="ListParagraph"/>
        <w:numPr>
          <w:ilvl w:val="0"/>
          <w:numId w:val="41"/>
        </w:numPr>
        <w:spacing w:after="60"/>
        <w:contextualSpacing w:val="0"/>
        <w:jc w:val="both"/>
      </w:pPr>
      <w:r>
        <w:rPr>
          <w:rFonts w:asciiTheme="minorHAnsi" w:hAnsiTheme="minorHAnsi" w:cstheme="minorHAnsi"/>
          <w:b/>
          <w:bCs/>
          <w:sz w:val="24"/>
          <w:szCs w:val="24"/>
        </w:rPr>
        <w:t xml:space="preserve">Partnerships and ecosystem:</w:t>
      </w:r>
      <w:r>
        <w:rPr>
          <w:rFonts w:asciiTheme="minorHAnsi" w:hAnsiTheme="minorHAnsi" w:cstheme="minorHAnsi"/>
          <w:sz w:val="24"/>
          <w:szCs w:val="24"/>
        </w:rPr>
        <w:t xml:space="preserve"> university entrepreneurship and marketing programmes, startup incubators and accelerators, and Saudi content-creator communities.</w:t>
      </w:r>
    </w:p>
    <w:p>
      <w:pPr>
        <w:pStyle w:val="ListParagraph"/>
        <w:numPr>
          <w:ilvl w:val="0"/>
          <w:numId w:val="41"/>
        </w:numPr>
        <w:spacing w:after="120"/>
        <w:contextualSpacing w:val="0"/>
        <w:jc w:val="both"/>
      </w:pPr>
      <w:r>
        <w:rPr>
          <w:rFonts w:asciiTheme="minorHAnsi" w:hAnsiTheme="minorHAnsi" w:cstheme="minorHAnsi"/>
          <w:b/>
          <w:bCs/>
          <w:sz w:val="24"/>
          <w:szCs w:val="24"/>
        </w:rPr>
        <w:t xml:space="preserve">Search and website:</w:t>
      </w:r>
      <w:r>
        <w:rPr>
          <w:rFonts w:asciiTheme="minorHAnsi" w:hAnsiTheme="minorHAnsi" w:cstheme="minorHAnsi"/>
          <w:sz w:val="24"/>
          <w:szCs w:val="24"/>
        </w:rPr>
        <w:t xml:space="preserve"> bilingual SEO content on Saudi social media marketing, and a referral programme (one free month for each referred paying account).</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Acquisition budget, retention and targets</w:t>
      </w:r>
    </w:p>
    <w:p>
      <w:pPr>
        <w:pStyle w:val="ListParagraph"/>
        <w:spacing w:before="0" w:after="120"/>
        <w:contextualSpacing w:val="0"/>
        <w:jc w:val="both"/>
      </w:pPr>
      <w:r>
        <w:rPr>
          <w:rFonts w:asciiTheme="minorHAnsi" w:hAnsiTheme="minorHAnsi" w:cstheme="minorHAnsi"/>
          <w:sz w:val="24"/>
          <w:szCs w:val="24"/>
        </w:rPr>
        <w:t xml:space="preserve">Year 1 marketing spend is SAR 90,000: content and paid social SAR 35,000, creator partnerships SAR 15,000, events and workshops SAR 15,000, referral incentives SAR 15,000, and website and SEO SAR 10,000. Spend rises to SAR 180,000 in Year 2 and SAR 300,000 in Year 3 as agencies and GCC pilots are added.</w:t>
      </w:r>
    </w:p>
    <w:p>
      <w:pPr>
        <w:pStyle w:val="ListParagraph"/>
        <w:spacing w:before="0" w:after="120"/>
        <w:contextualSpacing w:val="0"/>
        <w:jc w:val="both"/>
      </w:pPr>
      <w:r>
        <w:rPr>
          <w:rFonts w:asciiTheme="minorHAnsi" w:hAnsiTheme="minorHAnsi" w:cstheme="minorHAnsi"/>
          <w:sz w:val="24"/>
          <w:szCs w:val="24"/>
        </w:rPr>
        <w:t xml:space="preserve">Retention relies on habits the product creates: the Monday weekly report, the content calendar, and agency client workspaces that are costly to rebuild elsewhere. The team will track activation (first post scheduled within 7 days), free-to-paid conversion, monthly churn and hours saved, and contact churned users within a week.</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Organization and Staffing</w:t>
      </w:r>
    </w:p>
    <w:p>
      <w:pPr>
        <w:pStyle w:val="ListParagraph"/>
        <w:spacing w:before="0" w:after="120"/>
        <w:contextualSpacing w:val="0"/>
        <w:jc w:val="both"/>
      </w:pPr>
      <w:r>
        <w:rPr>
          <w:rFonts w:asciiTheme="minorHAnsi" w:hAnsiTheme="minorHAnsi" w:cstheme="minorHAnsi"/>
          <w:sz w:val="24"/>
          <w:szCs w:val="24"/>
        </w:rPr>
        <w:t xml:space="preserve">Tempo starts as a three-person founding team with part-time marketing support and grows to eight people by Year 3. Roles are combined at first so that each hire is added only when its workload and revenue justify it. All staff report through the Product/Project Manager, who acts as the founding lead. The team works from Riyadh and Jeddah with remote collaboration, using a coworking space.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9. Roles and responsibilities</w:t>
      </w:r>
    </w:p>
    <w:tbl>
      <w:tblPr>
        <w:tblStyle w:val="TableGrid"/>
        <w:tblW w:w="10300" w:type="dxa"/>
        <w:jc w:val="center"/>
        <w:tblLayout w:type="fixed"/>
        <w:tblLook w:val="04A0" w:firstRow="1" w:lastRow="0" w:firstColumn="1" w:lastColumn="0" w:noHBand="0" w:noVBand="1"/>
      </w:tblPr>
      <w:tblGrid>
        <w:gridCol w:w="2747"/>
        <w:gridCol w:w="4807"/>
        <w:gridCol w:w="916"/>
        <w:gridCol w:w="916"/>
        <w:gridCol w:w="914"/>
      </w:tblGrid>
      <w:tr>
        <w:trPr>
          <w:cantSplit/>
          <w:tblHeader/>
        </w:trPr>
        <w:tc>
          <w:tcPr>
            <w:tcW w:w="2747" w:type="dxa"/>
            <w:vAlign w:val="center"/>
          </w:tcPr>
          <w:p>
            <w:pPr>
              <w:spacing w:before="40" w:after="40"/>
              <w:jc w:val="center"/>
            </w:pPr>
            <w:r>
              <w:rPr>
                <w:rFonts w:asciiTheme="minorHAnsi" w:hAnsiTheme="minorHAnsi" w:cstheme="minorHAnsi"/>
                <w:b/>
                <w:bCs/>
                <w:sz w:val="20"/>
                <w:szCs w:val="20"/>
              </w:rPr>
              <w:t xml:space="preserve">Role</w:t>
            </w:r>
          </w:p>
        </w:tc>
        <w:tc>
          <w:tcPr>
            <w:tcW w:w="4807" w:type="dxa"/>
            <w:vAlign w:val="center"/>
          </w:tcPr>
          <w:p>
            <w:pPr>
              <w:spacing w:before="40" w:after="40"/>
              <w:jc w:val="center"/>
            </w:pPr>
            <w:r>
              <w:rPr>
                <w:rFonts w:asciiTheme="minorHAnsi" w:hAnsiTheme="minorHAnsi" w:cstheme="minorHAnsi"/>
                <w:b/>
                <w:bCs/>
                <w:sz w:val="20"/>
                <w:szCs w:val="20"/>
              </w:rPr>
              <w:t xml:space="preserve">Main responsibilities</w:t>
            </w:r>
          </w:p>
        </w:tc>
        <w:tc>
          <w:tcPr>
            <w:tcW w:w="916" w:type="dxa"/>
            <w:vAlign w:val="center"/>
          </w:tcPr>
          <w:p>
            <w:pPr>
              <w:spacing w:before="40" w:after="40"/>
              <w:jc w:val="center"/>
            </w:pPr>
            <w:r>
              <w:rPr>
                <w:rFonts w:asciiTheme="minorHAnsi" w:hAnsiTheme="minorHAnsi" w:cstheme="minorHAnsi"/>
                <w:b/>
                <w:bCs/>
                <w:sz w:val="20"/>
                <w:szCs w:val="20"/>
              </w:rPr>
              <w:t xml:space="preserve">Y1</w:t>
            </w:r>
          </w:p>
        </w:tc>
        <w:tc>
          <w:tcPr>
            <w:tcW w:w="916" w:type="dxa"/>
            <w:vAlign w:val="center"/>
          </w:tcPr>
          <w:p>
            <w:pPr>
              <w:spacing w:before="40" w:after="40"/>
              <w:jc w:val="center"/>
            </w:pPr>
            <w:r>
              <w:rPr>
                <w:rFonts w:asciiTheme="minorHAnsi" w:hAnsiTheme="minorHAnsi" w:cstheme="minorHAnsi"/>
                <w:b/>
                <w:bCs/>
                <w:sz w:val="20"/>
                <w:szCs w:val="20"/>
              </w:rPr>
              <w:t xml:space="preserve">Y2</w:t>
            </w:r>
          </w:p>
        </w:tc>
        <w:tc>
          <w:tcPr>
            <w:tcW w:w="914" w:type="dxa"/>
            <w:vAlign w:val="center"/>
          </w:tcPr>
          <w:p>
            <w:pPr>
              <w:spacing w:before="40" w:after="40"/>
              <w:jc w:val="center"/>
            </w:pPr>
            <w:r>
              <w:rPr>
                <w:rFonts w:asciiTheme="minorHAnsi" w:hAnsiTheme="minorHAnsi" w:cstheme="minorHAnsi"/>
                <w:b/>
                <w:bCs/>
                <w:sz w:val="20"/>
                <w:szCs w:val="20"/>
              </w:rPr>
              <w:t xml:space="preserve">Y3</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Product / Project Manager (founder)</w:t>
            </w:r>
          </w:p>
        </w:tc>
        <w:tc>
          <w:tcPr>
            <w:tcW w:w="4807" w:type="dxa"/>
            <w:vAlign w:val="center"/>
          </w:tcPr>
          <w:p>
            <w:pPr>
              <w:spacing w:before="40" w:after="40"/>
              <w:jc w:val="left"/>
            </w:pPr>
            <w:r>
              <w:rPr>
                <w:rFonts w:asciiTheme="minorHAnsi" w:hAnsiTheme="minorHAnsi" w:cstheme="minorHAnsi"/>
                <w:sz w:val="20"/>
                <w:szCs w:val="20"/>
              </w:rPr>
              <w:t xml:space="preserve">Product backlog, sprint planning, requirements and persona validation, partner and funding relations, financial tracking</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4807" w:type="dxa"/>
            <w:vAlign w:val="center"/>
          </w:tcPr>
          <w:p>
            <w:pPr>
              <w:spacing w:before="40" w:after="40"/>
              <w:jc w:val="left"/>
            </w:pPr>
            <w:r>
              <w:rPr>
                <w:rFonts w:asciiTheme="minorHAnsi" w:hAnsiTheme="minorHAnsi" w:cstheme="minorHAnsi"/>
                <w:sz w:val="20"/>
                <w:szCs w:val="20"/>
              </w:rPr>
              <w:t xml:space="preserve">API, database, social and Search Console integrations, publishing queue, security</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Frontend &amp; UX Developer (founder)</w:t>
            </w:r>
          </w:p>
        </w:tc>
        <w:tc>
          <w:tcPr>
            <w:tcW w:w="4807" w:type="dxa"/>
            <w:vAlign w:val="center"/>
          </w:tcPr>
          <w:p>
            <w:pPr>
              <w:spacing w:before="40" w:after="40"/>
              <w:jc w:val="left"/>
            </w:pPr>
            <w:r>
              <w:rPr>
                <w:rFonts w:asciiTheme="minorHAnsi" w:hAnsiTheme="minorHAnsi" w:cstheme="minorHAnsi"/>
                <w:sz w:val="20"/>
                <w:szCs w:val="20"/>
              </w:rPr>
              <w:t xml:space="preserve">Bilingual RTL/LTR interface, dashboard, calendar and workspace screens, responsive design</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AI / ML Engineer</w:t>
            </w:r>
          </w:p>
        </w:tc>
        <w:tc>
          <w:tcPr>
            <w:tcW w:w="4807" w:type="dxa"/>
            <w:vAlign w:val="center"/>
          </w:tcPr>
          <w:p>
            <w:pPr>
              <w:spacing w:before="40" w:after="40"/>
              <w:jc w:val="left"/>
            </w:pPr>
            <w:r>
              <w:rPr>
                <w:rFonts w:asciiTheme="minorHAnsi" w:hAnsiTheme="minorHAnsi" w:cstheme="minorHAnsi"/>
                <w:sz w:val="20"/>
                <w:szCs w:val="20"/>
              </w:rPr>
              <w:t xml:space="preserve">Prompt design, Saudi-dialect evaluation, AI cost control, content-safety checks</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Marketing &amp; Sales Executive</w:t>
            </w:r>
          </w:p>
        </w:tc>
        <w:tc>
          <w:tcPr>
            <w:tcW w:w="4807" w:type="dxa"/>
            <w:vAlign w:val="center"/>
          </w:tcPr>
          <w:p>
            <w:pPr>
              <w:spacing w:before="40" w:after="40"/>
              <w:jc w:val="left"/>
            </w:pPr>
            <w:r>
              <w:rPr>
                <w:rFonts w:asciiTheme="minorHAnsi" w:hAnsiTheme="minorHAnsi" w:cstheme="minorHAnsi"/>
                <w:sz w:val="20"/>
                <w:szCs w:val="20"/>
              </w:rPr>
              <w:t xml:space="preserve">Launch campaigns, SME and agency outreach, partnerships, onboarding calls</w:t>
            </w:r>
          </w:p>
        </w:tc>
        <w:tc>
          <w:tcPr>
            <w:tcW w:w="916" w:type="dxa"/>
            <w:vAlign w:val="center"/>
          </w:tcPr>
          <w:p>
            <w:pPr>
              <w:spacing w:before="40" w:after="40"/>
              <w:jc w:val="center"/>
            </w:pPr>
            <w:r>
              <w:rPr>
                <w:rFonts w:asciiTheme="minorHAnsi" w:hAnsiTheme="minorHAnsi" w:cstheme="minorHAnsi"/>
                <w:sz w:val="20"/>
                <w:szCs w:val="20"/>
              </w:rPr>
              <w:t xml:space="preserve">0.5</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Customer Support Specialist</w:t>
            </w:r>
          </w:p>
        </w:tc>
        <w:tc>
          <w:tcPr>
            <w:tcW w:w="4807" w:type="dxa"/>
            <w:vAlign w:val="center"/>
          </w:tcPr>
          <w:p>
            <w:pPr>
              <w:spacing w:before="40" w:after="40"/>
              <w:jc w:val="left"/>
            </w:pPr>
            <w:r>
              <w:rPr>
                <w:rFonts w:asciiTheme="minorHAnsi" w:hAnsiTheme="minorHAnsi" w:cstheme="minorHAnsi"/>
                <w:sz w:val="20"/>
                <w:szCs w:val="20"/>
              </w:rPr>
              <w:t xml:space="preserve">Support by chat and email in Arabic and English, feedback collection, help content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6" w:type="dxa"/>
            <w:vAlign w:val="center"/>
          </w:tcPr>
          <w:p>
            <w:pPr>
              <w:spacing w:before="40" w:after="40"/>
              <w:jc w:val="center"/>
            </w:pPr>
            <w:r>
              <w:rPr>
                <w:rFonts w:asciiTheme="minorHAnsi" w:hAnsiTheme="minorHAnsi" w:cstheme="minorHAnsi"/>
                <w:sz w:val="20"/>
                <w:szCs w:val="20"/>
              </w:rPr>
              <w:t xml:space="preserve">1</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sz w:val="20"/>
                <w:szCs w:val="20"/>
              </w:rPr>
              <w:t xml:space="preserve">UI/UX Designer</w:t>
            </w:r>
          </w:p>
        </w:tc>
        <w:tc>
          <w:tcPr>
            <w:tcW w:w="4807" w:type="dxa"/>
            <w:vAlign w:val="center"/>
          </w:tcPr>
          <w:p>
            <w:pPr>
              <w:spacing w:before="40" w:after="40"/>
              <w:jc w:val="left"/>
            </w:pPr>
            <w:r>
              <w:rPr>
                <w:rFonts w:asciiTheme="minorHAnsi" w:hAnsiTheme="minorHAnsi" w:cstheme="minorHAnsi"/>
                <w:sz w:val="20"/>
                <w:szCs w:val="20"/>
              </w:rPr>
              <w:t xml:space="preserve">Design system, usability testing, report templates (contract in Year 1, full time in Year 3)</w:t>
            </w:r>
          </w:p>
        </w:tc>
        <w:tc>
          <w:tcPr>
            <w:tcW w:w="916" w:type="dxa"/>
            <w:vAlign w:val="center"/>
          </w:tcPr>
          <w:p>
            <w:pPr>
              <w:spacing w:before="40" w:after="40"/>
              <w:jc w:val="center"/>
            </w:pPr>
            <w:r>
              <w:rPr>
                <w:rFonts w:asciiTheme="minorHAnsi" w:hAnsiTheme="minorHAnsi" w:cstheme="minorHAnsi"/>
                <w:sz w:val="20"/>
                <w:szCs w:val="20"/>
              </w:rPr>
              <w:t xml:space="preserve">Contract</w:t>
            </w:r>
          </w:p>
        </w:tc>
        <w:tc>
          <w:tcPr>
            <w:tcW w:w="916" w:type="dxa"/>
            <w:vAlign w:val="center"/>
          </w:tcPr>
          <w:p>
            <w:pPr>
              <w:spacing w:before="40" w:after="40"/>
              <w:jc w:val="center"/>
            </w:pPr>
            <w:r>
              <w:rPr>
                <w:rFonts w:asciiTheme="minorHAnsi" w:hAnsiTheme="minorHAnsi" w:cstheme="minorHAnsi"/>
                <w:sz w:val="20"/>
                <w:szCs w:val="20"/>
              </w:rPr>
              <w:t xml:space="preserve">–</w:t>
            </w:r>
          </w:p>
        </w:tc>
        <w:tc>
          <w:tcPr>
            <w:tcW w:w="914" w:type="dxa"/>
            <w:vAlign w:val="center"/>
          </w:tcPr>
          <w:p>
            <w:pPr>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keepNext/>
              <w:spacing w:before="40" w:after="40"/>
              <w:jc w:val="left"/>
            </w:pPr>
            <w:r>
              <w:rPr>
                <w:rFonts w:asciiTheme="minorHAnsi" w:hAnsiTheme="minorHAnsi" w:cstheme="minorHAnsi"/>
                <w:sz w:val="20"/>
                <w:szCs w:val="20"/>
              </w:rPr>
              <w:t xml:space="preserve">Agency &amp; GCC Sales Executive</w:t>
            </w:r>
          </w:p>
        </w:tc>
        <w:tc>
          <w:tcPr>
            <w:tcW w:w="4807" w:type="dxa"/>
            <w:vAlign w:val="center"/>
          </w:tcPr>
          <w:p>
            <w:pPr>
              <w:keepNext/>
              <w:spacing w:before="40" w:after="40"/>
              <w:jc w:val="left"/>
            </w:pPr>
            <w:r>
              <w:rPr>
                <w:rFonts w:asciiTheme="minorHAnsi" w:hAnsiTheme="minorHAnsi" w:cstheme="minorHAnsi"/>
                <w:sz w:val="20"/>
                <w:szCs w:val="20"/>
              </w:rPr>
              <w:t xml:space="preserve">Agency accounts, GCC pilots, partner channels</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6" w:type="dxa"/>
            <w:vAlign w:val="center"/>
          </w:tcPr>
          <w:p>
            <w:pPr>
              <w:keepNext/>
              <w:spacing w:before="40" w:after="40"/>
              <w:jc w:val="center"/>
            </w:pPr>
            <w:r>
              <w:rPr>
                <w:rFonts w:asciiTheme="minorHAnsi" w:hAnsiTheme="minorHAnsi" w:cstheme="minorHAnsi"/>
                <w:sz w:val="20"/>
                <w:szCs w:val="20"/>
              </w:rPr>
              <w:t xml:space="preserve">–</w:t>
            </w:r>
          </w:p>
        </w:tc>
        <w:tc>
          <w:tcPr>
            <w:tcW w:w="914" w:type="dxa"/>
            <w:vAlign w:val="center"/>
          </w:tcPr>
          <w:p>
            <w:pPr>
              <w:keepNext/>
              <w:spacing w:before="40" w:after="40"/>
              <w:jc w:val="center"/>
            </w:pPr>
            <w:r>
              <w:rPr>
                <w:rFonts w:asciiTheme="minorHAnsi" w:hAnsiTheme="minorHAnsi" w:cstheme="minorHAnsi"/>
                <w:sz w:val="20"/>
                <w:szCs w:val="20"/>
              </w:rPr>
              <w:t xml:space="preserve">1</w:t>
            </w:r>
          </w:p>
        </w:tc>
      </w:tr>
      <w:tr>
        <w:trPr>
          <w:cantSplit/>
        </w:trPr>
        <w:tc>
          <w:tcPr>
            <w:tcW w:w="2747" w:type="dxa"/>
            <w:vAlign w:val="center"/>
          </w:tcPr>
          <w:p>
            <w:pPr>
              <w:spacing w:before="40" w:after="40"/>
              <w:jc w:val="left"/>
            </w:pPr>
            <w:r>
              <w:rPr>
                <w:rFonts w:asciiTheme="minorHAnsi" w:hAnsiTheme="minorHAnsi" w:cstheme="minorHAnsi"/>
                <w:b/>
                <w:bCs/>
                <w:sz w:val="20"/>
                <w:szCs w:val="20"/>
              </w:rPr>
              <w:t xml:space="preserve">Total full-time equivalents</w:t>
            </w:r>
          </w:p>
        </w:tc>
        <w:tc>
          <w:tcPr>
            <w:tcW w:w="4807" w:type="dxa"/>
            <w:vAlign w:val="center"/>
          </w:tcPr>
          <w:p>
            <w:pPr>
              <w:spacing w:before="40" w:after="40"/>
              <w:jc w:val="left"/>
            </w:pPr>
          </w:p>
        </w:tc>
        <w:tc>
          <w:tcPr>
            <w:tcW w:w="916" w:type="dxa"/>
            <w:vAlign w:val="center"/>
          </w:tcPr>
          <w:p>
            <w:pPr>
              <w:spacing w:before="40" w:after="40"/>
              <w:jc w:val="center"/>
            </w:pPr>
            <w:r>
              <w:rPr>
                <w:rFonts w:asciiTheme="minorHAnsi" w:hAnsiTheme="minorHAnsi" w:cstheme="minorHAnsi"/>
                <w:b/>
                <w:bCs/>
                <w:sz w:val="20"/>
                <w:szCs w:val="20"/>
              </w:rPr>
              <w:t xml:space="preserve">3.5</w:t>
            </w:r>
          </w:p>
        </w:tc>
        <w:tc>
          <w:tcPr>
            <w:tcW w:w="916" w:type="dxa"/>
            <w:vAlign w:val="center"/>
          </w:tcPr>
          <w:p>
            <w:pPr>
              <w:spacing w:before="40" w:after="40"/>
              <w:jc w:val="center"/>
            </w:pPr>
            <w:r>
              <w:rPr>
                <w:rFonts w:asciiTheme="minorHAnsi" w:hAnsiTheme="minorHAnsi" w:cstheme="minorHAnsi"/>
                <w:b/>
                <w:bCs/>
                <w:sz w:val="20"/>
                <w:szCs w:val="20"/>
              </w:rPr>
              <w:t xml:space="preserve">6</w:t>
            </w:r>
          </w:p>
        </w:tc>
        <w:tc>
          <w:tcPr>
            <w:tcW w:w="914" w:type="dxa"/>
            <w:vAlign w:val="center"/>
          </w:tcPr>
          <w:p>
            <w:pPr>
              <w:spacing w:before="40" w:after="40"/>
              <w:jc w:val="center"/>
            </w:pPr>
            <w:r>
              <w:rPr>
                <w:rFonts w:asciiTheme="minorHAnsi" w:hAnsiTheme="minorHAnsi" w:cstheme="minorHAnsi"/>
                <w:b/>
                <w:bCs/>
                <w:sz w:val="20"/>
                <w:szCs w:val="20"/>
              </w:rPr>
              <w:t xml:space="preserve">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Founders are assumed to take reduced stipends and hold equity, which is why early salaries are below market rates (Table 17). Accounting, legal and penetration testing are outsourced.</w:t>
      </w:r>
    </w:p>
    <w:p>
      <w:pPr>
        <w:pStyle w:val="ListParagraph"/>
        <w:spacing w:before="0" w:after="120"/>
        <w:contextualSpacing w:val="0"/>
        <w:jc w:val="both"/>
      </w:pPr>
      <w:r>
        <w:rPr>
          <w:rFonts w:asciiTheme="minorHAnsi" w:hAnsiTheme="minorHAnsi" w:cstheme="minorHAnsi"/>
          <w:b/>
          <w:bCs/>
          <w:sz w:val="24"/>
          <w:szCs w:val="24"/>
        </w:rPr>
        <w:t xml:space="preserve">Operational feasibility.</w:t>
      </w:r>
      <w:r>
        <w:rPr>
          <w:rFonts w:asciiTheme="minorHAnsi" w:hAnsiTheme="minorHAnsi" w:cstheme="minorHAnsi"/>
          <w:sz w:val="24"/>
          <w:szCs w:val="24"/>
        </w:rPr>
        <w:t xml:space="preserve"> The founders can deliver the MVP, and Year 1 depends on their time commitment and on keeping scope tight. The main staffing risks are founder overload before the Year 2 hires and dependence on a few key people; documentation, code review and shared ownership of each integration reduce both.</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Schedule</w:t>
      </w:r>
    </w:p>
    <w:p>
      <w:pPr>
        <w:pStyle w:val="ListParagraph"/>
        <w:spacing w:before="0" w:after="60"/>
        <w:contextualSpacing w:val="0"/>
        <w:jc w:val="both"/>
      </w:pPr>
      <w:r>
        <w:rPr>
          <w:rFonts w:asciiTheme="minorHAnsi" w:hAnsiTheme="minorHAnsi" w:cstheme="minorHAnsi"/>
          <w:sz w:val="24"/>
          <w:szCs w:val="24"/>
        </w:rPr>
        <w:t xml:space="preserve">The schedule below is a high-level guideline for an MVP-first launch; a detailed sprint plan will be created if the project is approved. Platform developer-account and API access applications are started in the first weeks because approvals can take time.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10. Implementation milestones</w:t>
      </w:r>
    </w:p>
    <w:tbl>
      <w:tblPr>
        <w:tblStyle w:val="TableGrid"/>
        <w:tblW w:w="10300" w:type="dxa"/>
        <w:jc w:val="center"/>
        <w:tblLayout w:type="fixed"/>
        <w:tblLook w:val="04A0" w:firstRow="1" w:lastRow="0" w:firstColumn="1" w:lastColumn="0" w:noHBand="0" w:noVBand="1"/>
      </w:tblPr>
      <w:tblGrid>
        <w:gridCol w:w="801"/>
        <w:gridCol w:w="7096"/>
        <w:gridCol w:w="2403"/>
      </w:tblGrid>
      <w:tr>
        <w:trPr>
          <w:cantSplit/>
          <w:tblHeader/>
        </w:trPr>
        <w:tc>
          <w:tcPr>
            <w:tcW w:w="801" w:type="dxa"/>
            <w:vAlign w:val="center"/>
          </w:tcPr>
          <w:p>
            <w:pPr>
              <w:spacing w:before="40" w:after="40"/>
              <w:jc w:val="center"/>
            </w:pPr>
            <w:r>
              <w:rPr>
                <w:rFonts w:asciiTheme="minorHAnsi" w:hAnsiTheme="minorHAnsi" w:cstheme="minorHAnsi"/>
                <w:b/>
                <w:bCs/>
                <w:sz w:val="20"/>
                <w:szCs w:val="20"/>
              </w:rPr>
              <w:t xml:space="preserve">No.</w:t>
            </w:r>
          </w:p>
        </w:tc>
        <w:tc>
          <w:tcPr>
            <w:tcW w:w="7096" w:type="dxa"/>
            <w:vAlign w:val="center"/>
          </w:tcPr>
          <w:p>
            <w:pPr>
              <w:spacing w:before="40" w:after="40"/>
              <w:jc w:val="center"/>
            </w:pPr>
            <w:r>
              <w:rPr>
                <w:rFonts w:asciiTheme="minorHAnsi" w:hAnsiTheme="minorHAnsi" w:cstheme="minorHAnsi"/>
                <w:b/>
                <w:bCs/>
                <w:sz w:val="20"/>
                <w:szCs w:val="20"/>
              </w:rPr>
              <w:t xml:space="preserve">Milestone</w:t>
            </w:r>
          </w:p>
        </w:tc>
        <w:tc>
          <w:tcPr>
            <w:tcW w:w="2403" w:type="dxa"/>
            <w:vAlign w:val="center"/>
          </w:tcPr>
          <w:p>
            <w:pPr>
              <w:spacing w:before="40" w:after="40"/>
              <w:jc w:val="center"/>
            </w:pPr>
            <w:r>
              <w:rPr>
                <w:rFonts w:asciiTheme="minorHAnsi" w:hAnsiTheme="minorHAnsi" w:cstheme="minorHAnsi"/>
                <w:b/>
                <w:bCs/>
                <w:sz w:val="20"/>
                <w:szCs w:val="20"/>
              </w:rPr>
              <w:t xml:space="preserve">Target date</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w:t>
            </w:r>
          </w:p>
        </w:tc>
        <w:tc>
          <w:tcPr>
            <w:tcW w:w="7096" w:type="dxa"/>
            <w:vAlign w:val="center"/>
          </w:tcPr>
          <w:p>
            <w:pPr>
              <w:spacing w:before="40" w:after="40"/>
              <w:jc w:val="left"/>
            </w:pPr>
            <w:r>
              <w:rPr>
                <w:rFonts w:asciiTheme="minorHAnsi" w:hAnsiTheme="minorHAnsi" w:cstheme="minorHAnsi"/>
                <w:sz w:val="20"/>
                <w:szCs w:val="20"/>
              </w:rPr>
              <w:t xml:space="preserve">Requirements analysis: market study, personas, feasibility study</w:t>
            </w:r>
          </w:p>
        </w:tc>
        <w:tc>
          <w:tcPr>
            <w:tcW w:w="2403" w:type="dxa"/>
            <w:vAlign w:val="center"/>
          </w:tcPr>
          <w:p>
            <w:pPr>
              <w:spacing w:before="40" w:after="40"/>
              <w:jc w:val="left"/>
            </w:pPr>
            <w:r>
              <w:rPr>
                <w:rFonts w:asciiTheme="minorHAnsi" w:hAnsiTheme="minorHAnsi" w:cstheme="minorHAnsi"/>
                <w:sz w:val="20"/>
                <w:szCs w:val="20"/>
              </w:rPr>
              <w:t xml:space="preserve">Aug – 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2</w:t>
            </w:r>
          </w:p>
        </w:tc>
        <w:tc>
          <w:tcPr>
            <w:tcW w:w="7096" w:type="dxa"/>
            <w:vAlign w:val="center"/>
          </w:tcPr>
          <w:p>
            <w:pPr>
              <w:spacing w:before="40" w:after="40"/>
              <w:jc w:val="left"/>
            </w:pPr>
            <w:r>
              <w:rPr>
                <w:rFonts w:asciiTheme="minorHAnsi" w:hAnsiTheme="minorHAnsi" w:cstheme="minorHAnsi"/>
                <w:sz w:val="20"/>
                <w:szCs w:val="20"/>
              </w:rPr>
              <w:t xml:space="preserve">Sprint 0: architecture, repositories, CI/CD, cloud environments; apply for Meta, X, Snap and Google API access</w:t>
            </w:r>
          </w:p>
        </w:tc>
        <w:tc>
          <w:tcPr>
            <w:tcW w:w="2403" w:type="dxa"/>
            <w:vAlign w:val="center"/>
          </w:tcPr>
          <w:p>
            <w:pPr>
              <w:spacing w:before="40" w:after="40"/>
              <w:jc w:val="left"/>
            </w:pPr>
            <w:r>
              <w:rPr>
                <w:rFonts w:asciiTheme="minorHAnsi" w:hAnsiTheme="minorHAnsi" w:cstheme="minorHAnsi"/>
                <w:sz w:val="20"/>
                <w:szCs w:val="20"/>
              </w:rPr>
              <w:t xml:space="preserve">Oct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3</w:t>
            </w:r>
          </w:p>
        </w:tc>
        <w:tc>
          <w:tcPr>
            <w:tcW w:w="7096" w:type="dxa"/>
            <w:vAlign w:val="center"/>
          </w:tcPr>
          <w:p>
            <w:pPr>
              <w:spacing w:before="40" w:after="40"/>
              <w:jc w:val="left"/>
            </w:pPr>
            <w:r>
              <w:rPr>
                <w:rFonts w:asciiTheme="minorHAnsi" w:hAnsiTheme="minorHAnsi" w:cstheme="minorHAnsi"/>
                <w:sz w:val="20"/>
                <w:szCs w:val="20"/>
              </w:rPr>
              <w:t xml:space="preserve">UI/UX design and clickable bilingual prototype</w:t>
            </w:r>
          </w:p>
        </w:tc>
        <w:tc>
          <w:tcPr>
            <w:tcW w:w="2403" w:type="dxa"/>
            <w:vAlign w:val="center"/>
          </w:tcPr>
          <w:p>
            <w:pPr>
              <w:spacing w:before="40" w:after="40"/>
              <w:jc w:val="left"/>
            </w:pPr>
            <w:r>
              <w:rPr>
                <w:rFonts w:asciiTheme="minorHAnsi" w:hAnsiTheme="minorHAnsi" w:cstheme="minorHAnsi"/>
                <w:sz w:val="20"/>
                <w:szCs w:val="20"/>
              </w:rPr>
              <w:t xml:space="preserve">Oct – Nov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4</w:t>
            </w:r>
          </w:p>
        </w:tc>
        <w:tc>
          <w:tcPr>
            <w:tcW w:w="7096" w:type="dxa"/>
            <w:vAlign w:val="center"/>
          </w:tcPr>
          <w:p>
            <w:pPr>
              <w:spacing w:before="40" w:after="40"/>
              <w:jc w:val="left"/>
            </w:pPr>
            <w:r>
              <w:rPr>
                <w:rFonts w:asciiTheme="minorHAnsi" w:hAnsiTheme="minorHAnsi" w:cstheme="minorHAnsi"/>
                <w:sz w:val="20"/>
                <w:szCs w:val="20"/>
              </w:rPr>
              <w:t xml:space="preserve">Waitlist and prototype demos in Riyadh and Jeddah</w:t>
            </w:r>
          </w:p>
        </w:tc>
        <w:tc>
          <w:tcPr>
            <w:tcW w:w="2403" w:type="dxa"/>
            <w:vAlign w:val="center"/>
          </w:tcPr>
          <w:p>
            <w:pPr>
              <w:spacing w:before="40" w:after="40"/>
              <w:jc w:val="left"/>
            </w:pPr>
            <w:r>
              <w:rPr>
                <w:rFonts w:asciiTheme="minorHAnsi" w:hAnsiTheme="minorHAnsi" w:cstheme="minorHAnsi"/>
                <w:sz w:val="20"/>
                <w:szCs w:val="20"/>
              </w:rPr>
              <w:t xml:space="preserve">Nov – Dec 2026</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5</w:t>
            </w:r>
          </w:p>
        </w:tc>
        <w:tc>
          <w:tcPr>
            <w:tcW w:w="7096" w:type="dxa"/>
            <w:vAlign w:val="center"/>
          </w:tcPr>
          <w:p>
            <w:pPr>
              <w:spacing w:before="40" w:after="40"/>
              <w:jc w:val="left"/>
            </w:pPr>
            <w:r>
              <w:rPr>
                <w:rFonts w:asciiTheme="minorHAnsi" w:hAnsiTheme="minorHAnsi" w:cstheme="minorHAnsi"/>
                <w:sz w:val="20"/>
                <w:szCs w:val="20"/>
              </w:rPr>
              <w:t xml:space="preserve">Core MVP: sign-up, workspaces, AI Content Studio, calendar, X and Instagram publishing</w:t>
            </w:r>
          </w:p>
        </w:tc>
        <w:tc>
          <w:tcPr>
            <w:tcW w:w="2403" w:type="dxa"/>
            <w:vAlign w:val="center"/>
          </w:tcPr>
          <w:p>
            <w:pPr>
              <w:spacing w:before="40" w:after="40"/>
              <w:jc w:val="left"/>
            </w:pPr>
            <w:r>
              <w:rPr>
                <w:rFonts w:asciiTheme="minorHAnsi" w:hAnsiTheme="minorHAnsi" w:cstheme="minorHAnsi"/>
                <w:sz w:val="20"/>
                <w:szCs w:val="20"/>
              </w:rPr>
              <w:t xml:space="preserve">Nov 2026 – Jan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6</w:t>
            </w:r>
          </w:p>
        </w:tc>
        <w:tc>
          <w:tcPr>
            <w:tcW w:w="7096" w:type="dxa"/>
            <w:vAlign w:val="center"/>
          </w:tcPr>
          <w:p>
            <w:pPr>
              <w:spacing w:before="40" w:after="40"/>
              <w:jc w:val="left"/>
            </w:pPr>
            <w:r>
              <w:rPr>
                <w:rFonts w:asciiTheme="minorHAnsi" w:hAnsiTheme="minorHAnsi" w:cstheme="minorHAnsi"/>
                <w:sz w:val="20"/>
                <w:szCs w:val="20"/>
              </w:rPr>
              <w:t xml:space="preserve">Analytics: Google Search Console, unified dashboard, weekly bilingual report</w:t>
            </w:r>
          </w:p>
        </w:tc>
        <w:tc>
          <w:tcPr>
            <w:tcW w:w="2403" w:type="dxa"/>
            <w:vAlign w:val="center"/>
          </w:tcPr>
          <w:p>
            <w:pPr>
              <w:spacing w:before="40" w:after="40"/>
              <w:jc w:val="left"/>
            </w:pPr>
            <w:r>
              <w:rPr>
                <w:rFonts w:asciiTheme="minorHAnsi" w:hAnsiTheme="minorHAnsi" w:cstheme="minorHAnsi"/>
                <w:sz w:val="20"/>
                <w:szCs w:val="20"/>
              </w:rPr>
              <w:t xml:space="preserve">Dec 2026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7</w:t>
            </w:r>
          </w:p>
        </w:tc>
        <w:tc>
          <w:tcPr>
            <w:tcW w:w="7096" w:type="dxa"/>
            <w:vAlign w:val="center"/>
          </w:tcPr>
          <w:p>
            <w:pPr>
              <w:spacing w:before="40" w:after="40"/>
              <w:jc w:val="left"/>
            </w:pPr>
            <w:r>
              <w:rPr>
                <w:rFonts w:asciiTheme="minorHAnsi" w:hAnsiTheme="minorHAnsi" w:cstheme="minorHAnsi"/>
                <w:sz w:val="20"/>
                <w:szCs w:val="20"/>
              </w:rPr>
              <w:t xml:space="preserve">Testing: automated tests, Arabic content evaluation, security review and penetration test</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8</w:t>
            </w:r>
          </w:p>
        </w:tc>
        <w:tc>
          <w:tcPr>
            <w:tcW w:w="7096" w:type="dxa"/>
            <w:vAlign w:val="center"/>
          </w:tcPr>
          <w:p>
            <w:pPr>
              <w:spacing w:before="40" w:after="40"/>
              <w:jc w:val="left"/>
            </w:pPr>
            <w:r>
              <w:rPr>
                <w:rFonts w:asciiTheme="minorHAnsi" w:hAnsiTheme="minorHAnsi" w:cstheme="minorHAnsi"/>
                <w:sz w:val="20"/>
                <w:szCs w:val="20"/>
              </w:rPr>
              <w:t xml:space="preserve">Closed beta with about 40 invited users</w:t>
            </w:r>
          </w:p>
        </w:tc>
        <w:tc>
          <w:tcPr>
            <w:tcW w:w="2403" w:type="dxa"/>
            <w:vAlign w:val="center"/>
          </w:tcPr>
          <w:p>
            <w:pPr>
              <w:spacing w:before="40" w:after="40"/>
              <w:jc w:val="left"/>
            </w:pPr>
            <w:r>
              <w:rPr>
                <w:rFonts w:asciiTheme="minorHAnsi" w:hAnsiTheme="minorHAnsi" w:cstheme="minorHAnsi"/>
                <w:sz w:val="20"/>
                <w:szCs w:val="20"/>
              </w:rPr>
              <w:t xml:space="preserve">Jan –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9</w:t>
            </w:r>
          </w:p>
        </w:tc>
        <w:tc>
          <w:tcPr>
            <w:tcW w:w="7096" w:type="dxa"/>
            <w:vAlign w:val="center"/>
          </w:tcPr>
          <w:p>
            <w:pPr>
              <w:spacing w:before="40" w:after="40"/>
              <w:jc w:val="left"/>
            </w:pPr>
            <w:r>
              <w:rPr>
                <w:rFonts w:asciiTheme="minorHAnsi" w:hAnsiTheme="minorHAnsi" w:cstheme="minorHAnsi"/>
                <w:sz w:val="20"/>
                <w:szCs w:val="20"/>
              </w:rPr>
              <w:t xml:space="preserve">Public Saudi launch: freemium and Starter (Riyadh, Jeddah, Dammam)</w:t>
            </w:r>
          </w:p>
        </w:tc>
        <w:tc>
          <w:tcPr>
            <w:tcW w:w="2403" w:type="dxa"/>
            <w:vAlign w:val="center"/>
          </w:tcPr>
          <w:p>
            <w:pPr>
              <w:spacing w:before="40" w:after="40"/>
              <w:jc w:val="left"/>
            </w:pPr>
            <w:r>
              <w:rPr>
                <w:rFonts w:asciiTheme="minorHAnsi" w:hAnsiTheme="minorHAnsi" w:cstheme="minorHAnsi"/>
                <w:sz w:val="20"/>
                <w:szCs w:val="20"/>
              </w:rPr>
              <w:t xml:space="preserve">End of Feb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10</w:t>
            </w:r>
          </w:p>
        </w:tc>
        <w:tc>
          <w:tcPr>
            <w:tcW w:w="7096" w:type="dxa"/>
            <w:vAlign w:val="center"/>
          </w:tcPr>
          <w:p>
            <w:pPr>
              <w:spacing w:before="40" w:after="40"/>
              <w:jc w:val="left"/>
            </w:pPr>
            <w:r>
              <w:rPr>
                <w:rFonts w:asciiTheme="minorHAnsi" w:hAnsiTheme="minorHAnsi" w:cstheme="minorHAnsi"/>
                <w:sz w:val="20"/>
                <w:szCs w:val="20"/>
              </w:rPr>
              <w:t xml:space="preserve">Snapchat integration (subject to platform approval)</w:t>
            </w:r>
          </w:p>
        </w:tc>
        <w:tc>
          <w:tcPr>
            <w:tcW w:w="2403" w:type="dxa"/>
            <w:vAlign w:val="center"/>
          </w:tcPr>
          <w:p>
            <w:pPr>
              <w:spacing w:before="40" w:after="40"/>
              <w:jc w:val="left"/>
            </w:pPr>
            <w:r>
              <w:rPr>
                <w:rFonts w:asciiTheme="minorHAnsi" w:hAnsiTheme="minorHAnsi" w:cstheme="minorHAnsi"/>
                <w:sz w:val="20"/>
                <w:szCs w:val="20"/>
              </w:rPr>
              <w:t xml:space="preserve">Feb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11</w:t>
            </w:r>
          </w:p>
        </w:tc>
        <w:tc>
          <w:tcPr>
            <w:tcW w:w="7096" w:type="dxa"/>
            <w:vAlign w:val="center"/>
          </w:tcPr>
          <w:p>
            <w:pPr>
              <w:spacing w:before="40" w:after="40"/>
              <w:jc w:val="left"/>
            </w:pPr>
            <w:r>
              <w:rPr>
                <w:rFonts w:asciiTheme="minorHAnsi" w:hAnsiTheme="minorHAnsi" w:cstheme="minorHAnsi"/>
                <w:sz w:val="20"/>
                <w:szCs w:val="20"/>
              </w:rPr>
              <w:t xml:space="preserve">Feedback and iteration: monthly releases based on beta and launch data</w:t>
            </w:r>
          </w:p>
        </w:tc>
        <w:tc>
          <w:tcPr>
            <w:tcW w:w="2403" w:type="dxa"/>
            <w:vAlign w:val="center"/>
          </w:tcPr>
          <w:p>
            <w:pPr>
              <w:spacing w:before="40" w:after="40"/>
              <w:jc w:val="left"/>
            </w:pPr>
            <w:r>
              <w:rPr>
                <w:rFonts w:asciiTheme="minorHAnsi" w:hAnsiTheme="minorHAnsi" w:cstheme="minorHAnsi"/>
                <w:sz w:val="20"/>
                <w:szCs w:val="20"/>
              </w:rPr>
              <w:t xml:space="preserve">Mar – Apr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12</w:t>
            </w:r>
          </w:p>
        </w:tc>
        <w:tc>
          <w:tcPr>
            <w:tcW w:w="7096" w:type="dxa"/>
            <w:vAlign w:val="center"/>
          </w:tcPr>
          <w:p>
            <w:pPr>
              <w:spacing w:before="40" w:after="40"/>
              <w:jc w:val="left"/>
            </w:pPr>
            <w:r>
              <w:rPr>
                <w:rFonts w:asciiTheme="minorHAnsi" w:hAnsiTheme="minorHAnsi" w:cstheme="minorHAnsi"/>
                <w:sz w:val="20"/>
                <w:szCs w:val="20"/>
              </w:rPr>
              <w:t xml:space="preserve">Agency features: client workspaces, role-based access, branded bilingual PDF reports</w:t>
            </w:r>
          </w:p>
        </w:tc>
        <w:tc>
          <w:tcPr>
            <w:tcW w:w="2403" w:type="dxa"/>
            <w:vAlign w:val="center"/>
          </w:tcPr>
          <w:p>
            <w:pPr>
              <w:spacing w:before="40" w:after="40"/>
              <w:jc w:val="left"/>
            </w:pPr>
            <w:r>
              <w:rPr>
                <w:rFonts w:asciiTheme="minorHAnsi" w:hAnsiTheme="minorHAnsi" w:cstheme="minorHAnsi"/>
                <w:sz w:val="20"/>
                <w:szCs w:val="20"/>
              </w:rPr>
              <w:t xml:space="preserve">Apr – Jun 2027</w:t>
            </w:r>
          </w:p>
        </w:tc>
      </w:tr>
      <w:tr>
        <w:trPr>
          <w:cantSplit/>
        </w:trPr>
        <w:tc>
          <w:tcPr>
            <w:tcW w:w="801" w:type="dxa"/>
            <w:vAlign w:val="center"/>
          </w:tcPr>
          <w:p>
            <w:pPr>
              <w:spacing w:before="40" w:after="40"/>
              <w:jc w:val="center"/>
            </w:pPr>
            <w:r>
              <w:rPr>
                <w:rFonts w:asciiTheme="minorHAnsi" w:hAnsiTheme="minorHAnsi" w:cstheme="minorHAnsi"/>
                <w:sz w:val="20"/>
                <w:szCs w:val="20"/>
              </w:rPr>
              <w:t xml:space="preserve">13</w:t>
            </w:r>
          </w:p>
        </w:tc>
        <w:tc>
          <w:tcPr>
            <w:tcW w:w="7096" w:type="dxa"/>
            <w:vAlign w:val="center"/>
          </w:tcPr>
          <w:p>
            <w:pPr>
              <w:spacing w:before="40" w:after="40"/>
              <w:jc w:val="left"/>
            </w:pPr>
            <w:r>
              <w:rPr>
                <w:rFonts w:asciiTheme="minorHAnsi" w:hAnsiTheme="minorHAnsi" w:cstheme="minorHAnsi"/>
                <w:sz w:val="20"/>
                <w:szCs w:val="20"/>
              </w:rPr>
              <w:t xml:space="preserve">GCC readiness and pilot, if validation gate is met</w:t>
            </w:r>
          </w:p>
        </w:tc>
        <w:tc>
          <w:tcPr>
            <w:tcW w:w="2403" w:type="dxa"/>
            <w:vAlign w:val="center"/>
          </w:tcPr>
          <w:p>
            <w:pPr>
              <w:spacing w:before="40" w:after="40"/>
              <w:jc w:val="left"/>
            </w:pPr>
            <w:r>
              <w:rPr>
                <w:rFonts w:asciiTheme="minorHAnsi" w:hAnsiTheme="minorHAnsi" w:cstheme="minorHAnsi"/>
                <w:sz w:val="20"/>
                <w:szCs w:val="20"/>
              </w:rPr>
              <w:t xml:space="preserve">Jul – Dec 2027</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The schedule is tight for a small team. If Snapchat approval or the beta runs late, the launch scope should be reduced (X and Instagram first) rather than the date moved.</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Financial Projections</w:t>
      </w:r>
    </w:p>
    <w:p>
      <w:pPr>
        <w:pStyle w:val="ListParagraph"/>
        <w:spacing w:before="0" w:after="120"/>
        <w:contextualSpacing w:val="0"/>
        <w:jc w:val="both"/>
      </w:pPr>
      <w:r>
        <w:rPr>
          <w:rFonts w:asciiTheme="minorHAnsi" w:hAnsiTheme="minorHAnsi" w:cstheme="minorHAnsi"/>
          <w:sz w:val="24"/>
          <w:szCs w:val="24"/>
        </w:rPr>
        <w:t xml:space="preserve">All figures are in Saudi Riyals (SAR) and are </w:t>
      </w:r>
      <w:r>
        <w:rPr>
          <w:rFonts w:asciiTheme="minorHAnsi" w:hAnsiTheme="minorHAnsi" w:cstheme="minorHAnsi"/>
          <w:b/>
          <w:bCs/>
          <w:sz w:val="24"/>
          <w:szCs w:val="24"/>
        </w:rPr>
        <w:t xml:space="preserve">estimates based on assumptions</w:t>
      </w:r>
      <w:r>
        <w:rPr>
          <w:rFonts w:asciiTheme="minorHAnsi" w:hAnsiTheme="minorHAnsi" w:cstheme="minorHAnsi"/>
          <w:sz w:val="24"/>
          <w:szCs w:val="24"/>
        </w:rPr>
        <w:t xml:space="preserve"> made for this study. Only the Starter price (SAR 189), the market sizes and the survey results come from the source documents; every other number is an academic assumption, to be replaced with actual data from the beta. Years are calendar years: Year 1 is 2027, Year 2 is 2028 and Year 3 is 2029. Prices exclude VAT.</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Key assumptions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11. Planning assumptions</w:t>
      </w:r>
    </w:p>
    <w:tbl>
      <w:tblPr>
        <w:tblStyle w:val="TableGrid"/>
        <w:tblW w:w="10300" w:type="dxa"/>
        <w:jc w:val="center"/>
        <w:tblLayout w:type="fixed"/>
        <w:tblLook w:val="04A0" w:firstRow="1" w:lastRow="0" w:firstColumn="1" w:lastColumn="0" w:noHBand="0" w:noVBand="1"/>
      </w:tblPr>
      <w:tblGrid>
        <w:gridCol w:w="3433"/>
        <w:gridCol w:w="6867"/>
      </w:tblGrid>
      <w:tr>
        <w:trPr>
          <w:cantSplit/>
          <w:tblHeader/>
        </w:trPr>
        <w:tc>
          <w:tcPr>
            <w:tcW w:w="3433" w:type="dxa"/>
            <w:vAlign w:val="center"/>
          </w:tcPr>
          <w:p>
            <w:pPr>
              <w:spacing w:before="40" w:after="40"/>
              <w:jc w:val="center"/>
            </w:pPr>
            <w:r>
              <w:rPr>
                <w:rFonts w:asciiTheme="minorHAnsi" w:hAnsiTheme="minorHAnsi" w:cstheme="minorHAnsi"/>
                <w:b/>
                <w:bCs/>
                <w:sz w:val="20"/>
                <w:szCs w:val="20"/>
              </w:rPr>
              <w:t xml:space="preserve">Item</w:t>
            </w:r>
          </w:p>
        </w:tc>
        <w:tc>
          <w:tcPr>
            <w:tcW w:w="6867" w:type="dxa"/>
            <w:vAlign w:val="center"/>
          </w:tcPr>
          <w:p>
            <w:pPr>
              <w:spacing w:before="40" w:after="40"/>
              <w:jc w:val="center"/>
            </w:pPr>
            <w:r>
              <w:rPr>
                <w:rFonts w:asciiTheme="minorHAnsi" w:hAnsiTheme="minorHAnsi" w:cstheme="minorHAnsi"/>
                <w:b/>
                <w:bCs/>
                <w:sz w:val="20"/>
                <w:szCs w:val="20"/>
              </w:rPr>
              <w:t xml:space="preserve">Assumption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Plans and mix</w:t>
            </w:r>
          </w:p>
        </w:tc>
        <w:tc>
          <w:tcPr>
            <w:tcW w:w="6867" w:type="dxa"/>
            <w:vAlign w:val="center"/>
          </w:tcPr>
          <w:p>
            <w:pPr>
              <w:spacing w:before="40" w:after="40"/>
              <w:jc w:val="left"/>
            </w:pPr>
            <w:r>
              <w:rPr>
                <w:rFonts w:asciiTheme="minorHAnsi" w:hAnsiTheme="minorHAnsi" w:cstheme="minorHAnsi"/>
                <w:sz w:val="20"/>
                <w:szCs w:val="20"/>
              </w:rPr>
              <w:t xml:space="preserve">Starter SAR 189 and Agency SAR 499 per month, monthly billing, no annual discount. Starter share of paying accounts: 85% (Y1), 80% (Y2), 75%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Average revenue per account (ARPU)</w:t>
            </w:r>
          </w:p>
        </w:tc>
        <w:tc>
          <w:tcPr>
            <w:tcW w:w="6867" w:type="dxa"/>
            <w:vAlign w:val="center"/>
          </w:tcPr>
          <w:p>
            <w:pPr>
              <w:spacing w:before="40" w:after="40"/>
              <w:jc w:val="left"/>
            </w:pPr>
            <w:r>
              <w:rPr>
                <w:rFonts w:asciiTheme="minorHAnsi" w:hAnsiTheme="minorHAnsi" w:cstheme="minorHAnsi"/>
                <w:sz w:val="20"/>
                <w:szCs w:val="20"/>
              </w:rPr>
              <w:t xml:space="preserve">Y1: 0.85 × 189 + 0.15 × 499 = SAR 235.50; Y2: SAR 251.00; Y3: SAR 266.50 per month</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Paying accounts (end of year, net of churn)</w:t>
            </w:r>
          </w:p>
        </w:tc>
        <w:tc>
          <w:tcPr>
            <w:tcW w:w="6867" w:type="dxa"/>
            <w:vAlign w:val="center"/>
          </w:tcPr>
          <w:p>
            <w:pPr>
              <w:spacing w:before="40" w:after="40"/>
              <w:jc w:val="left"/>
            </w:pPr>
            <w:r>
              <w:rPr>
                <w:rFonts w:asciiTheme="minorHAnsi" w:hAnsiTheme="minorHAnsi" w:cstheme="minorHAnsi"/>
                <w:sz w:val="20"/>
                <w:szCs w:val="20"/>
              </w:rPr>
              <w:t xml:space="preserve">Y1: 150; Y2: 450; Y3: 950. Quarterly path in Table 13; growth is linear within each quarter</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Free/trial users</w:t>
            </w:r>
          </w:p>
        </w:tc>
        <w:tc>
          <w:tcPr>
            <w:tcW w:w="6867" w:type="dxa"/>
            <w:vAlign w:val="center"/>
          </w:tcPr>
          <w:p>
            <w:pPr>
              <w:spacing w:before="40" w:after="40"/>
              <w:jc w:val="left"/>
            </w:pPr>
            <w:r>
              <w:rPr>
                <w:rFonts w:asciiTheme="minorHAnsi" w:hAnsiTheme="minorHAnsi" w:cstheme="minorHAnsi"/>
                <w:sz w:val="20"/>
                <w:szCs w:val="20"/>
              </w:rPr>
              <w:t xml:space="preserve">Eight free or trial users per paying account on average (about 11% conversion)</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AI usage cost</w:t>
            </w:r>
          </w:p>
        </w:tc>
        <w:tc>
          <w:tcPr>
            <w:tcW w:w="6867" w:type="dxa"/>
            <w:vAlign w:val="center"/>
          </w:tcPr>
          <w:p>
            <w:pPr>
              <w:spacing w:before="40" w:after="40"/>
              <w:jc w:val="left"/>
            </w:pPr>
            <w:r>
              <w:rPr>
                <w:rFonts w:asciiTheme="minorHAnsi" w:hAnsiTheme="minorHAnsi" w:cstheme="minorHAnsi"/>
                <w:sz w:val="20"/>
                <w:szCs w:val="20"/>
              </w:rPr>
              <w:t xml:space="preserve">SAR 16 per paying account per month and SAR 1.5 per free user per month (SAR 28 per paying account including its free users)</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Payment processing</w:t>
            </w:r>
          </w:p>
        </w:tc>
        <w:tc>
          <w:tcPr>
            <w:tcW w:w="6867" w:type="dxa"/>
            <w:vAlign w:val="center"/>
          </w:tcPr>
          <w:p>
            <w:pPr>
              <w:spacing w:before="40" w:after="40"/>
              <w:jc w:val="left"/>
            </w:pPr>
            <w:r>
              <w:rPr>
                <w:rFonts w:asciiTheme="minorHAnsi" w:hAnsiTheme="minorHAnsi" w:cstheme="minorHAnsi"/>
                <w:sz w:val="20"/>
                <w:szCs w:val="20"/>
              </w:rPr>
              <w:t xml:space="preserve">2.5% of revenue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Cloud hosting</w:t>
            </w:r>
          </w:p>
        </w:tc>
        <w:tc>
          <w:tcPr>
            <w:tcW w:w="6867" w:type="dxa"/>
            <w:vAlign w:val="center"/>
          </w:tcPr>
          <w:p>
            <w:pPr>
              <w:spacing w:before="40" w:after="40"/>
              <w:jc w:val="left"/>
            </w:pPr>
            <w:r>
              <w:rPr>
                <w:rFonts w:asciiTheme="minorHAnsi" w:hAnsiTheme="minorHAnsi" w:cstheme="minorHAnsi"/>
                <w:sz w:val="20"/>
                <w:szCs w:val="20"/>
              </w:rPr>
              <w:t xml:space="preserve">SAR 24,000 (Y1), 54,000 (Y2), 108,000 (Y3)</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Salaries</w:t>
            </w:r>
          </w:p>
        </w:tc>
        <w:tc>
          <w:tcPr>
            <w:tcW w:w="6867" w:type="dxa"/>
            <w:vAlign w:val="center"/>
          </w:tcPr>
          <w:p>
            <w:pPr>
              <w:spacing w:before="40" w:after="40"/>
              <w:jc w:val="left"/>
            </w:pPr>
            <w:r>
              <w:rPr>
                <w:rFonts w:asciiTheme="minorHAnsi" w:hAnsiTheme="minorHAnsi" w:cstheme="minorHAnsi"/>
                <w:sz w:val="20"/>
                <w:szCs w:val="20"/>
              </w:rPr>
              <w:t xml:space="preserve">Fully loaded monthly cost per role (Table 17)</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Depreciation</w:t>
            </w:r>
          </w:p>
        </w:tc>
        <w:tc>
          <w:tcPr>
            <w:tcW w:w="6867" w:type="dxa"/>
            <w:vAlign w:val="center"/>
          </w:tcPr>
          <w:p>
            <w:pPr>
              <w:spacing w:before="40" w:after="40"/>
              <w:jc w:val="left"/>
            </w:pPr>
            <w:r>
              <w:rPr>
                <w:rFonts w:asciiTheme="minorHAnsi" w:hAnsiTheme="minorHAnsi" w:cstheme="minorHAnsi"/>
                <w:sz w:val="20"/>
                <w:szCs w:val="20"/>
              </w:rPr>
              <w:t xml:space="preserve">Laptops and equipment over 3 years, straight line</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Zakat</w:t>
            </w:r>
          </w:p>
        </w:tc>
        <w:tc>
          <w:tcPr>
            <w:tcW w:w="6867" w:type="dxa"/>
            <w:vAlign w:val="center"/>
          </w:tcPr>
          <w:p>
            <w:pPr>
              <w:spacing w:before="40" w:after="40"/>
              <w:jc w:val="left"/>
            </w:pPr>
            <w:r>
              <w:rPr>
                <w:rFonts w:asciiTheme="minorHAnsi" w:hAnsiTheme="minorHAnsi" w:cstheme="minorHAnsi"/>
                <w:sz w:val="20"/>
                <w:szCs w:val="20"/>
              </w:rPr>
              <w:t xml:space="preserve">Simplified to 2.5% of positive operating profit (actual zakat base to be confirmed with an accountant)</w:t>
            </w:r>
          </w:p>
        </w:tc>
      </w:tr>
      <w:tr>
        <w:trPr>
          <w:cantSplit/>
        </w:trPr>
        <w:tc>
          <w:tcPr>
            <w:tcW w:w="3433" w:type="dxa"/>
            <w:vAlign w:val="center"/>
          </w:tcPr>
          <w:p>
            <w:pPr>
              <w:spacing w:before="40" w:after="40"/>
              <w:jc w:val="left"/>
            </w:pPr>
            <w:r>
              <w:rPr>
                <w:rFonts w:asciiTheme="minorHAnsi" w:hAnsiTheme="minorHAnsi" w:cstheme="minorHAnsi"/>
                <w:sz w:val="20"/>
                <w:szCs w:val="20"/>
              </w:rPr>
              <w:t xml:space="preserve">Accounts payable</w:t>
            </w:r>
          </w:p>
        </w:tc>
        <w:tc>
          <w:tcPr>
            <w:tcW w:w="6867" w:type="dxa"/>
            <w:vAlign w:val="center"/>
          </w:tcPr>
          <w:p>
            <w:pPr>
              <w:spacing w:before="40" w:after="40"/>
              <w:jc w:val="left"/>
            </w:pPr>
            <w:r>
              <w:rPr>
                <w:rFonts w:asciiTheme="minorHAnsi" w:hAnsiTheme="minorHAnsi" w:cstheme="minorHAnsi"/>
                <w:sz w:val="20"/>
                <w:szCs w:val="20"/>
              </w:rPr>
              <w:t xml:space="preserve">One month of AI, hosting and payment costs at year end; no receivables because customers pay by card in advance</w:t>
            </w:r>
          </w:p>
        </w:tc>
      </w:tr>
    </w:tbl>
    <w:p>
      <w:pPr>
        <w:spacing w:after="0"/>
      </w:pP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Start-up costs (pre-launch, Oct – Dec 2026)</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12. Start-up costs (estimated)</w:t>
      </w:r>
    </w:p>
    <w:tbl>
      <w:tblPr>
        <w:tblStyle w:val="TableGrid"/>
        <w:tblW w:w="10300" w:type="dxa"/>
        <w:jc w:val="center"/>
        <w:tblLayout w:type="fixed"/>
        <w:tblLook w:val="04A0" w:firstRow="1" w:lastRow="0" w:firstColumn="1" w:lastColumn="0" w:noHBand="0" w:noVBand="1"/>
      </w:tblPr>
      <w:tblGrid>
        <w:gridCol w:w="8011"/>
        <w:gridCol w:w="2289"/>
      </w:tblGrid>
      <w:tr>
        <w:trPr>
          <w:cantSplit/>
          <w:tblHeader/>
        </w:trPr>
        <w:tc>
          <w:tcPr>
            <w:tcW w:w="8011" w:type="dxa"/>
            <w:vAlign w:val="center"/>
          </w:tcPr>
          <w:p>
            <w:pPr>
              <w:spacing w:before="40" w:after="40"/>
              <w:jc w:val="center"/>
            </w:pPr>
            <w:r>
              <w:rPr>
                <w:rFonts w:asciiTheme="minorHAnsi" w:hAnsiTheme="minorHAnsi" w:cstheme="minorHAnsi"/>
                <w:b/>
                <w:bCs/>
                <w:sz w:val="20"/>
                <w:szCs w:val="20"/>
              </w:rPr>
              <w:t xml:space="preserve">Item</w:t>
            </w:r>
          </w:p>
        </w:tc>
        <w:tc>
          <w:tcPr>
            <w:tcW w:w="2289" w:type="dxa"/>
            <w:vAlign w:val="center"/>
          </w:tcPr>
          <w:p>
            <w:pPr>
              <w:spacing w:before="40" w:after="40"/>
              <w:jc w:val="center"/>
            </w:pPr>
            <w:r>
              <w:rPr>
                <w:rFonts w:asciiTheme="minorHAnsi" w:hAnsiTheme="minorHAnsi" w:cstheme="minorHAnsi"/>
                <w:b/>
                <w:bCs/>
                <w:sz w:val="20"/>
                <w:szCs w:val="20"/>
              </w:rPr>
              <w:t xml:space="preserve">SAR</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Founder stipends (3 x SAR 6,000 x 3 months)</w:t>
            </w:r>
          </w:p>
        </w:tc>
        <w:tc>
          <w:tcPr>
            <w:tcW w:w="2289" w:type="dxa"/>
            <w:vAlign w:val="center"/>
          </w:tcPr>
          <w:p>
            <w:pPr>
              <w:spacing w:before="40" w:after="40"/>
              <w:jc w:val="right"/>
            </w:pPr>
            <w:r>
              <w:rPr>
                <w:rFonts w:asciiTheme="minorHAnsi" w:hAnsiTheme="minorHAnsi" w:cstheme="minorHAnsi"/>
                <w:sz w:val="20"/>
                <w:szCs w:val="20"/>
              </w:rPr>
              <w:t xml:space="preserve">54,000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UI/UX design contract (prototype, design system)</w:t>
            </w:r>
          </w:p>
        </w:tc>
        <w:tc>
          <w:tcPr>
            <w:tcW w:w="2289"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Company registration, trademark and legal setup</w:t>
            </w:r>
          </w:p>
        </w:tc>
        <w:tc>
          <w:tcPr>
            <w:tcW w:w="2289" w:type="dxa"/>
            <w:vAlign w:val="center"/>
          </w:tcPr>
          <w:p>
            <w:pPr>
              <w:spacing w:before="40" w:after="40"/>
              <w:jc w:val="right"/>
            </w:pPr>
            <w:r>
              <w:rPr>
                <w:rFonts w:asciiTheme="minorHAnsi" w:hAnsiTheme="minorHAnsi" w:cstheme="minorHAnsi"/>
                <w:sz w:val="20"/>
                <w:szCs w:val="20"/>
              </w:rPr>
              <w:t xml:space="preserve">8,000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Development tools, cloud sandbox and domains</w:t>
            </w:r>
          </w:p>
        </w:tc>
        <w:tc>
          <w:tcPr>
            <w:tcW w:w="2289" w:type="dxa"/>
            <w:vAlign w:val="center"/>
          </w:tcPr>
          <w:p>
            <w:pPr>
              <w:spacing w:before="40" w:after="40"/>
              <w:jc w:val="right"/>
            </w:pPr>
            <w:r>
              <w:rPr>
                <w:rFonts w:asciiTheme="minorHAnsi" w:hAnsiTheme="minorHAnsi" w:cstheme="minorHAnsi"/>
                <w:sz w:val="20"/>
                <w:szCs w:val="20"/>
              </w:rPr>
              <w:t xml:space="preserve">6,000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AI API testing credits (prompt and dialect tuning)</w:t>
            </w:r>
          </w:p>
        </w:tc>
        <w:tc>
          <w:tcPr>
            <w:tcW w:w="2289" w:type="dxa"/>
            <w:vAlign w:val="center"/>
          </w:tcPr>
          <w:p>
            <w:pPr>
              <w:spacing w:before="40" w:after="40"/>
              <w:jc w:val="right"/>
            </w:pPr>
            <w:r>
              <w:rPr>
                <w:rFonts w:asciiTheme="minorHAnsi" w:hAnsiTheme="minorHAnsi" w:cstheme="minorHAnsi"/>
                <w:sz w:val="20"/>
                <w:szCs w:val="20"/>
              </w:rPr>
              <w:t xml:space="preserve">4,000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Beta and waitlist marketing</w:t>
            </w:r>
          </w:p>
        </w:tc>
        <w:tc>
          <w:tcPr>
            <w:tcW w:w="2289" w:type="dxa"/>
            <w:vAlign w:val="center"/>
          </w:tcPr>
          <w:p>
            <w:pPr>
              <w:spacing w:before="40" w:after="40"/>
              <w:jc w:val="right"/>
            </w:pPr>
            <w:r>
              <w:rPr>
                <w:rFonts w:asciiTheme="minorHAnsi" w:hAnsiTheme="minorHAnsi" w:cstheme="minorHAnsi"/>
                <w:sz w:val="20"/>
                <w:szCs w:val="20"/>
              </w:rPr>
              <w:t xml:space="preserve">10,000</w:t>
            </w:r>
          </w:p>
        </w:tc>
      </w:tr>
      <w:tr>
        <w:trPr>
          <w:cantSplit/>
        </w:trPr>
        <w:tc>
          <w:tcPr>
            <w:tcW w:w="8011" w:type="dxa"/>
            <w:vAlign w:val="center"/>
          </w:tcPr>
          <w:p>
            <w:pPr>
              <w:spacing w:before="40" w:after="40"/>
              <w:jc w:val="left"/>
            </w:pPr>
            <w:r>
              <w:rPr>
                <w:rFonts w:asciiTheme="minorHAnsi" w:hAnsiTheme="minorHAnsi" w:cstheme="minorHAnsi"/>
                <w:sz w:val="20"/>
                <w:szCs w:val="20"/>
              </w:rPr>
              <w:t xml:space="preserve">Laptops and equipment (capitalised, 3 x SAR 6,000)</w:t>
            </w:r>
          </w:p>
        </w:tc>
        <w:tc>
          <w:tcPr>
            <w:tcW w:w="2289"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8011" w:type="dxa"/>
            <w:vAlign w:val="center"/>
          </w:tcPr>
          <w:p>
            <w:pPr>
              <w:spacing w:before="40" w:after="40"/>
              <w:jc w:val="left"/>
            </w:pPr>
            <w:r>
              <w:rPr>
                <w:rFonts w:asciiTheme="minorHAnsi" w:hAnsiTheme="minorHAnsi" w:cstheme="minorHAnsi"/>
                <w:b/>
                <w:bCs/>
                <w:sz w:val="20"/>
                <w:szCs w:val="20"/>
              </w:rPr>
              <w:t xml:space="preserve">Total start-up costs</w:t>
            </w:r>
          </w:p>
        </w:tc>
        <w:tc>
          <w:tcPr>
            <w:tcW w:w="2289" w:type="dxa"/>
            <w:vAlign w:val="center"/>
          </w:tcPr>
          <w:p>
            <w:pPr>
              <w:spacing w:before="40" w:after="40"/>
              <w:jc w:val="right"/>
            </w:pPr>
            <w:r>
              <w:rPr>
                <w:rFonts w:asciiTheme="minorHAnsi" w:hAnsiTheme="minorHAnsi" w:cstheme="minorHAnsi"/>
                <w:b/>
                <w:bCs/>
                <w:sz w:val="20"/>
                <w:szCs w:val="20"/>
              </w:rPr>
              <w:t xml:space="preserve">115,000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SAR 18,000 of equipment is capitalised; the other SAR 97,000 is expensed in the pre-launch period.</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Revenue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13. Paying accounts and subscription revenue</w:t>
      </w:r>
    </w:p>
    <w:tbl>
      <w:tblPr>
        <w:tblStyle w:val="TableGrid"/>
        <w:tblW w:w="10300" w:type="dxa"/>
        <w:jc w:val="center"/>
        <w:tblLayout w:type="fixed"/>
        <w:tblLook w:val="04A0" w:firstRow="1" w:lastRow="0" w:firstColumn="1" w:lastColumn="0" w:noHBand="0" w:noVBand="1"/>
      </w:tblPr>
      <w:tblGrid>
        <w:gridCol w:w="4120"/>
        <w:gridCol w:w="2060"/>
        <w:gridCol w:w="2060"/>
        <w:gridCol w:w="2060"/>
      </w:tblGrid>
      <w:tr>
        <w:trPr>
          <w:cantSplit/>
          <w:tblHeader/>
        </w:trPr>
        <w:tc>
          <w:tcPr>
            <w:tcW w:w="4120" w:type="dxa"/>
            <w:vAlign w:val="center"/>
          </w:tcPr>
          <w:p>
            <w:pPr>
              <w:spacing w:before="40" w:after="40"/>
              <w:jc w:val="center"/>
            </w:pPr>
          </w:p>
        </w:tc>
        <w:tc>
          <w:tcPr>
            <w:tcW w:w="2060" w:type="dxa"/>
            <w:vAlign w:val="center"/>
          </w:tcPr>
          <w:p>
            <w:pPr>
              <w:spacing w:before="40" w:after="40"/>
              <w:jc w:val="center"/>
            </w:pPr>
            <w:r>
              <w:rPr>
                <w:rFonts w:asciiTheme="minorHAnsi" w:hAnsiTheme="minorHAnsi" w:cstheme="minorHAnsi"/>
                <w:b/>
                <w:bCs/>
                <w:sz w:val="20"/>
                <w:szCs w:val="20"/>
              </w:rPr>
              <w:t xml:space="preserve">Year 1 (2027)</w:t>
            </w:r>
          </w:p>
        </w:tc>
        <w:tc>
          <w:tcPr>
            <w:tcW w:w="2060" w:type="dxa"/>
            <w:vAlign w:val="center"/>
          </w:tcPr>
          <w:p>
            <w:pPr>
              <w:spacing w:before="40" w:after="40"/>
              <w:jc w:val="center"/>
            </w:pPr>
            <w:r>
              <w:rPr>
                <w:rFonts w:asciiTheme="minorHAnsi" w:hAnsiTheme="minorHAnsi" w:cstheme="minorHAnsi"/>
                <w:b/>
                <w:bCs/>
                <w:sz w:val="20"/>
                <w:szCs w:val="20"/>
              </w:rPr>
              <w:t xml:space="preserve">Year 2 (2028)</w:t>
            </w:r>
          </w:p>
        </w:tc>
        <w:tc>
          <w:tcPr>
            <w:tcW w:w="2060" w:type="dxa"/>
            <w:vAlign w:val="center"/>
          </w:tcPr>
          <w:p>
            <w:pPr>
              <w:spacing w:before="40" w:after="40"/>
              <w:jc w:val="center"/>
            </w:pPr>
            <w:r>
              <w:rPr>
                <w:rFonts w:asciiTheme="minorHAnsi" w:hAnsiTheme="minorHAnsi" w:cstheme="minorHAnsi"/>
                <w:b/>
                <w:bCs/>
                <w:sz w:val="20"/>
                <w:szCs w:val="20"/>
              </w:rPr>
              <w:t xml:space="preserve">Year 3 (2029)</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end Q1 / Q2 / Q3 / Q4</w:t>
            </w:r>
          </w:p>
        </w:tc>
        <w:tc>
          <w:tcPr>
            <w:tcW w:w="2060" w:type="dxa"/>
            <w:vAlign w:val="center"/>
          </w:tcPr>
          <w:p>
            <w:pPr>
              <w:spacing w:before="40" w:after="40"/>
              <w:jc w:val="right"/>
            </w:pPr>
            <w:r>
              <w:rPr>
                <w:rFonts w:asciiTheme="minorHAnsi" w:hAnsiTheme="minorHAnsi" w:cstheme="minorHAnsi"/>
                <w:sz w:val="20"/>
                <w:szCs w:val="20"/>
              </w:rPr>
              <w:t xml:space="preserve">20 / 55 / 100 / 150</w:t>
            </w:r>
          </w:p>
        </w:tc>
        <w:tc>
          <w:tcPr>
            <w:tcW w:w="2060" w:type="dxa"/>
            <w:vAlign w:val="center"/>
          </w:tcPr>
          <w:p>
            <w:pPr>
              <w:spacing w:before="40" w:after="40"/>
              <w:jc w:val="right"/>
            </w:pPr>
            <w:r>
              <w:rPr>
                <w:rFonts w:asciiTheme="minorHAnsi" w:hAnsiTheme="minorHAnsi" w:cstheme="minorHAnsi"/>
                <w:sz w:val="20"/>
                <w:szCs w:val="20"/>
              </w:rPr>
              <w:t xml:space="preserve">210 / 280 / 360 / 450</w:t>
            </w:r>
          </w:p>
        </w:tc>
        <w:tc>
          <w:tcPr>
            <w:tcW w:w="2060" w:type="dxa"/>
            <w:vAlign w:val="center"/>
          </w:tcPr>
          <w:p>
            <w:pPr>
              <w:spacing w:before="40" w:after="40"/>
              <w:jc w:val="right"/>
            </w:pPr>
            <w:r>
              <w:rPr>
                <w:rFonts w:asciiTheme="minorHAnsi" w:hAnsiTheme="minorHAnsi" w:cstheme="minorHAnsi"/>
                <w:sz w:val="20"/>
                <w:szCs w:val="20"/>
              </w:rPr>
              <w:t xml:space="preserve">540 / 650 / 790 / 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Paying accounts at year end</w:t>
            </w:r>
          </w:p>
        </w:tc>
        <w:tc>
          <w:tcPr>
            <w:tcW w:w="2060" w:type="dxa"/>
            <w:vAlign w:val="center"/>
          </w:tcPr>
          <w:p>
            <w:pPr>
              <w:spacing w:before="40" w:after="40"/>
              <w:jc w:val="right"/>
            </w:pPr>
            <w:r>
              <w:rPr>
                <w:rFonts w:asciiTheme="minorHAnsi" w:hAnsiTheme="minorHAnsi" w:cstheme="minorHAnsi"/>
                <w:sz w:val="20"/>
                <w:szCs w:val="20"/>
              </w:rPr>
              <w:t xml:space="preserve">150</w:t>
            </w:r>
          </w:p>
        </w:tc>
        <w:tc>
          <w:tcPr>
            <w:tcW w:w="2060" w:type="dxa"/>
            <w:vAlign w:val="center"/>
          </w:tcPr>
          <w:p>
            <w:pPr>
              <w:spacing w:before="40" w:after="40"/>
              <w:jc w:val="right"/>
            </w:pPr>
            <w:r>
              <w:rPr>
                <w:rFonts w:asciiTheme="minorHAnsi" w:hAnsiTheme="minorHAnsi" w:cstheme="minorHAnsi"/>
                <w:sz w:val="20"/>
                <w:szCs w:val="20"/>
              </w:rPr>
              <w:t xml:space="preserve">450</w:t>
            </w:r>
          </w:p>
        </w:tc>
        <w:tc>
          <w:tcPr>
            <w:tcW w:w="2060" w:type="dxa"/>
            <w:vAlign w:val="center"/>
          </w:tcPr>
          <w:p>
            <w:pPr>
              <w:spacing w:before="40" w:after="40"/>
              <w:jc w:val="right"/>
            </w:pPr>
            <w:r>
              <w:rPr>
                <w:rFonts w:asciiTheme="minorHAnsi" w:hAnsiTheme="minorHAnsi" w:cstheme="minorHAnsi"/>
                <w:sz w:val="20"/>
                <w:szCs w:val="20"/>
              </w:rPr>
              <w:t xml:space="preserve">950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Account-months (sum of quarterly averages × 3)</w:t>
            </w:r>
          </w:p>
        </w:tc>
        <w:tc>
          <w:tcPr>
            <w:tcW w:w="2060" w:type="dxa"/>
            <w:vAlign w:val="center"/>
          </w:tcPr>
          <w:p>
            <w:pPr>
              <w:spacing w:before="40" w:after="40"/>
              <w:jc w:val="right"/>
            </w:pPr>
            <w:r>
              <w:rPr>
                <w:rFonts w:asciiTheme="minorHAnsi" w:hAnsiTheme="minorHAnsi" w:cstheme="minorHAnsi"/>
                <w:sz w:val="20"/>
                <w:szCs w:val="20"/>
              </w:rPr>
              <w:t xml:space="preserve">750</w:t>
            </w:r>
          </w:p>
        </w:tc>
        <w:tc>
          <w:tcPr>
            <w:tcW w:w="2060" w:type="dxa"/>
            <w:vAlign w:val="center"/>
          </w:tcPr>
          <w:p>
            <w:pPr>
              <w:spacing w:before="40" w:after="40"/>
              <w:jc w:val="right"/>
            </w:pPr>
            <w:r>
              <w:rPr>
                <w:rFonts w:asciiTheme="minorHAnsi" w:hAnsiTheme="minorHAnsi" w:cstheme="minorHAnsi"/>
                <w:sz w:val="20"/>
                <w:szCs w:val="20"/>
              </w:rPr>
              <w:t xml:space="preserve">3,450</w:t>
            </w:r>
          </w:p>
        </w:tc>
        <w:tc>
          <w:tcPr>
            <w:tcW w:w="2060" w:type="dxa"/>
            <w:vAlign w:val="center"/>
          </w:tcPr>
          <w:p>
            <w:pPr>
              <w:spacing w:before="40" w:after="40"/>
              <w:jc w:val="right"/>
            </w:pPr>
            <w:r>
              <w:rPr>
                <w:rFonts w:asciiTheme="minorHAnsi" w:hAnsiTheme="minorHAnsi" w:cstheme="minorHAnsi"/>
                <w:sz w:val="20"/>
                <w:szCs w:val="20"/>
              </w:rPr>
              <w:t xml:space="preserve">8,040</w:t>
            </w:r>
          </w:p>
        </w:tc>
      </w:tr>
      <w:tr>
        <w:trPr>
          <w:cantSplit/>
        </w:trPr>
        <w:tc>
          <w:tcPr>
            <w:tcW w:w="4120" w:type="dxa"/>
            <w:vAlign w:val="center"/>
          </w:tcPr>
          <w:p>
            <w:pPr>
              <w:spacing w:before="40" w:after="40"/>
              <w:jc w:val="left"/>
            </w:pPr>
            <w:r>
              <w:rPr>
                <w:rFonts w:asciiTheme="minorHAnsi" w:hAnsiTheme="minorHAnsi" w:cstheme="minorHAnsi"/>
                <w:sz w:val="20"/>
                <w:szCs w:val="20"/>
              </w:rPr>
              <w:t xml:space="preserve">ARPU (SAR per month)</w:t>
            </w:r>
          </w:p>
        </w:tc>
        <w:tc>
          <w:tcPr>
            <w:tcW w:w="2060" w:type="dxa"/>
            <w:vAlign w:val="center"/>
          </w:tcPr>
          <w:p>
            <w:pPr>
              <w:spacing w:before="40" w:after="40"/>
              <w:jc w:val="right"/>
            </w:pPr>
            <w:r>
              <w:rPr>
                <w:rFonts w:asciiTheme="minorHAnsi" w:hAnsiTheme="minorHAnsi" w:cstheme="minorHAnsi"/>
                <w:sz w:val="20"/>
                <w:szCs w:val="20"/>
              </w:rPr>
              <w:t xml:space="preserve">235.50</w:t>
            </w:r>
          </w:p>
        </w:tc>
        <w:tc>
          <w:tcPr>
            <w:tcW w:w="2060" w:type="dxa"/>
            <w:vAlign w:val="center"/>
          </w:tcPr>
          <w:p>
            <w:pPr>
              <w:spacing w:before="40" w:after="40"/>
              <w:jc w:val="right"/>
            </w:pPr>
            <w:r>
              <w:rPr>
                <w:rFonts w:asciiTheme="minorHAnsi" w:hAnsiTheme="minorHAnsi" w:cstheme="minorHAnsi"/>
                <w:sz w:val="20"/>
                <w:szCs w:val="20"/>
              </w:rPr>
              <w:t xml:space="preserve">251.00</w:t>
            </w:r>
          </w:p>
        </w:tc>
        <w:tc>
          <w:tcPr>
            <w:tcW w:w="2060" w:type="dxa"/>
            <w:vAlign w:val="center"/>
          </w:tcPr>
          <w:p>
            <w:pPr>
              <w:spacing w:before="40" w:after="40"/>
              <w:jc w:val="right"/>
            </w:pPr>
            <w:r>
              <w:rPr>
                <w:rFonts w:asciiTheme="minorHAnsi" w:hAnsiTheme="minorHAnsi" w:cstheme="minorHAnsi"/>
                <w:sz w:val="20"/>
                <w:szCs w:val="20"/>
              </w:rPr>
              <w:t xml:space="preserve">266.50</w:t>
            </w:r>
          </w:p>
        </w:tc>
      </w:tr>
      <w:tr>
        <w:trPr>
          <w:cantSplit/>
        </w:trPr>
        <w:tc>
          <w:tcPr>
            <w:tcW w:w="4120" w:type="dxa"/>
            <w:vAlign w:val="center"/>
          </w:tcPr>
          <w:p>
            <w:pPr>
              <w:spacing w:before="40" w:after="40"/>
              <w:jc w:val="left"/>
            </w:pPr>
            <w:r>
              <w:rPr>
                <w:rFonts w:asciiTheme="minorHAnsi" w:hAnsiTheme="minorHAnsi" w:cstheme="minorHAnsi"/>
                <w:b/>
                <w:bCs/>
                <w:sz w:val="20"/>
                <w:szCs w:val="20"/>
              </w:rPr>
              <w:t xml:space="preserve">Subscription revenue (SAR)</w:t>
            </w:r>
          </w:p>
        </w:tc>
        <w:tc>
          <w:tcPr>
            <w:tcW w:w="2060" w:type="dxa"/>
            <w:vAlign w:val="center"/>
          </w:tcPr>
          <w:p>
            <w:pPr>
              <w:spacing w:before="40" w:after="40"/>
              <w:jc w:val="right"/>
            </w:pPr>
            <w:r>
              <w:rPr>
                <w:rFonts w:asciiTheme="minorHAnsi" w:hAnsiTheme="minorHAnsi" w:cstheme="minorHAnsi"/>
                <w:b/>
                <w:bCs/>
                <w:sz w:val="20"/>
                <w:szCs w:val="20"/>
              </w:rPr>
              <w:t xml:space="preserve">176,625</w:t>
            </w:r>
          </w:p>
        </w:tc>
        <w:tc>
          <w:tcPr>
            <w:tcW w:w="2060" w:type="dxa"/>
            <w:vAlign w:val="center"/>
          </w:tcPr>
          <w:p>
            <w:pPr>
              <w:spacing w:before="40" w:after="40"/>
              <w:jc w:val="right"/>
            </w:pPr>
            <w:r>
              <w:rPr>
                <w:rFonts w:asciiTheme="minorHAnsi" w:hAnsiTheme="minorHAnsi" w:cstheme="minorHAnsi"/>
                <w:b/>
                <w:bCs/>
                <w:sz w:val="20"/>
                <w:szCs w:val="20"/>
              </w:rPr>
              <w:t xml:space="preserve">865,950</w:t>
            </w:r>
          </w:p>
        </w:tc>
        <w:tc>
          <w:tcPr>
            <w:tcW w:w="2060" w:type="dxa"/>
            <w:vAlign w:val="center"/>
          </w:tcPr>
          <w:p>
            <w:pPr>
              <w:spacing w:before="40" w:after="40"/>
              <w:jc w:val="right"/>
            </w:pPr>
            <w:r>
              <w:rPr>
                <w:rFonts w:asciiTheme="minorHAnsi" w:hAnsiTheme="minorHAnsi" w:cstheme="minorHAnsi"/>
                <w:b/>
                <w:bCs/>
                <w:sz w:val="20"/>
                <w:szCs w:val="20"/>
              </w:rPr>
              <w:t xml:space="preserve">2,142,660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Example, Year 1: account-months = (0+20)/2×3 + (20+55)/2×3 + (55+100)/2×3 + (100+150)/2×3 = 750; revenue = 750 × 235.50 = SAR 176,625.</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Income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14. Income statement (SAR; brackets are deductions or losses)</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Sales (subscription revenue)</w:t>
            </w:r>
          </w:p>
        </w:tc>
        <w:tc>
          <w:tcPr>
            <w:tcW w:w="1717" w:type="dxa"/>
            <w:vAlign w:val="center"/>
          </w:tcPr>
          <w:p>
            <w:pPr>
              <w:spacing w:before="40" w:after="40"/>
              <w:jc w:val="right"/>
            </w:pPr>
            <w:r>
              <w:rPr>
                <w:rFonts w:asciiTheme="minorHAnsi" w:hAnsiTheme="minorHAnsi" w:cstheme="minorHAnsi"/>
                <w:sz w:val="20"/>
                <w:szCs w:val="20"/>
              </w:rPr>
              <w:t xml:space="preserve">176,625</w:t>
            </w:r>
          </w:p>
        </w:tc>
        <w:tc>
          <w:tcPr>
            <w:tcW w:w="1717" w:type="dxa"/>
            <w:vAlign w:val="center"/>
          </w:tcPr>
          <w:p>
            <w:pPr>
              <w:spacing w:before="40" w:after="40"/>
              <w:jc w:val="right"/>
            </w:pPr>
            <w:r>
              <w:rPr>
                <w:rFonts w:asciiTheme="minorHAnsi" w:hAnsiTheme="minorHAnsi" w:cstheme="minorHAnsi"/>
                <w:sz w:val="20"/>
                <w:szCs w:val="20"/>
              </w:rPr>
              <w:t xml:space="preserve">865,950</w:t>
            </w:r>
          </w:p>
        </w:tc>
        <w:tc>
          <w:tcPr>
            <w:tcW w:w="1716" w:type="dxa"/>
            <w:vAlign w:val="center"/>
          </w:tcPr>
          <w:p>
            <w:pPr>
              <w:spacing w:before="40" w:after="40"/>
              <w:jc w:val="right"/>
            </w:pPr>
            <w:r>
              <w:rPr>
                <w:rFonts w:asciiTheme="minorHAnsi" w:hAnsiTheme="minorHAnsi" w:cstheme="minorHAnsi"/>
                <w:sz w:val="20"/>
                <w:szCs w:val="20"/>
              </w:rPr>
              <w:t xml:space="preserve">2,142,660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Cost of sales (AI usage, payment fees, cloud hosting)</w:t>
            </w:r>
          </w:p>
        </w:tc>
        <w:tc>
          <w:tcPr>
            <w:tcW w:w="1717" w:type="dxa"/>
            <w:vAlign w:val="center"/>
          </w:tcPr>
          <w:p>
            <w:pPr>
              <w:spacing w:before="40" w:after="40"/>
              <w:jc w:val="right"/>
            </w:pPr>
            <w:r>
              <w:rPr>
                <w:rFonts w:asciiTheme="minorHAnsi" w:hAnsiTheme="minorHAnsi" w:cstheme="minorHAnsi"/>
                <w:sz w:val="20"/>
                <w:szCs w:val="20"/>
              </w:rPr>
              <w:t xml:space="preserve">(49,416)</w:t>
            </w:r>
          </w:p>
        </w:tc>
        <w:tc>
          <w:tcPr>
            <w:tcW w:w="1717" w:type="dxa"/>
            <w:vAlign w:val="center"/>
          </w:tcPr>
          <w:p>
            <w:pPr>
              <w:spacing w:before="40" w:after="40"/>
              <w:jc w:val="right"/>
            </w:pPr>
            <w:r>
              <w:rPr>
                <w:rFonts w:asciiTheme="minorHAnsi" w:hAnsiTheme="minorHAnsi" w:cstheme="minorHAnsi"/>
                <w:sz w:val="20"/>
                <w:szCs w:val="20"/>
              </w:rPr>
              <w:t xml:space="preserve">(172,249)</w:t>
            </w:r>
          </w:p>
        </w:tc>
        <w:tc>
          <w:tcPr>
            <w:tcW w:w="1716" w:type="dxa"/>
            <w:vAlign w:val="center"/>
          </w:tcPr>
          <w:p>
            <w:pPr>
              <w:spacing w:before="40" w:after="40"/>
              <w:jc w:val="right"/>
            </w:pPr>
            <w:r>
              <w:rPr>
                <w:rFonts w:asciiTheme="minorHAnsi" w:hAnsiTheme="minorHAnsi" w:cstheme="minorHAnsi"/>
                <w:sz w:val="20"/>
                <w:szCs w:val="20"/>
              </w:rPr>
              <w:t xml:space="preserve">(386,686)</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sales (gross profit)</w:t>
            </w:r>
          </w:p>
        </w:tc>
        <w:tc>
          <w:tcPr>
            <w:tcW w:w="1717" w:type="dxa"/>
            <w:vAlign w:val="center"/>
          </w:tcPr>
          <w:p>
            <w:pPr>
              <w:spacing w:before="40" w:after="40"/>
              <w:jc w:val="right"/>
            </w:pPr>
            <w:r>
              <w:rPr>
                <w:rFonts w:asciiTheme="minorHAnsi" w:hAnsiTheme="minorHAnsi" w:cstheme="minorHAnsi"/>
                <w:b/>
                <w:bCs/>
                <w:sz w:val="20"/>
                <w:szCs w:val="20"/>
              </w:rPr>
              <w:t xml:space="preserve">127,209</w:t>
            </w:r>
          </w:p>
        </w:tc>
        <w:tc>
          <w:tcPr>
            <w:tcW w:w="1717" w:type="dxa"/>
            <w:vAlign w:val="center"/>
          </w:tcPr>
          <w:p>
            <w:pPr>
              <w:spacing w:before="40" w:after="40"/>
              <w:jc w:val="right"/>
            </w:pPr>
            <w:r>
              <w:rPr>
                <w:rFonts w:asciiTheme="minorHAnsi" w:hAnsiTheme="minorHAnsi" w:cstheme="minorHAnsi"/>
                <w:b/>
                <w:bCs/>
                <w:sz w:val="20"/>
                <w:szCs w:val="20"/>
              </w:rPr>
              <w:t xml:space="preserve">693,701</w:t>
            </w:r>
          </w:p>
        </w:tc>
        <w:tc>
          <w:tcPr>
            <w:tcW w:w="1716" w:type="dxa"/>
            <w:vAlign w:val="center"/>
          </w:tcPr>
          <w:p>
            <w:pPr>
              <w:spacing w:before="40" w:after="40"/>
              <w:jc w:val="right"/>
            </w:pPr>
            <w:r>
              <w:rPr>
                <w:rFonts w:asciiTheme="minorHAnsi" w:hAnsiTheme="minorHAnsi" w:cstheme="minorHAnsi"/>
                <w:b/>
                <w:bCs/>
                <w:sz w:val="20"/>
                <w:szCs w:val="20"/>
              </w:rPr>
              <w:t xml:space="preserve">1,755,974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Salaries</w:t>
            </w:r>
          </w:p>
        </w:tc>
        <w:tc>
          <w:tcPr>
            <w:tcW w:w="1717" w:type="dxa"/>
            <w:vAlign w:val="center"/>
          </w:tcPr>
          <w:p>
            <w:pPr>
              <w:spacing w:before="40" w:after="40"/>
              <w:jc w:val="right"/>
            </w:pPr>
            <w:r>
              <w:rPr>
                <w:rFonts w:asciiTheme="minorHAnsi" w:hAnsiTheme="minorHAnsi" w:cstheme="minorHAnsi"/>
                <w:sz w:val="20"/>
                <w:szCs w:val="20"/>
              </w:rPr>
              <w:t xml:space="preserve">(276,000)</w:t>
            </w:r>
          </w:p>
        </w:tc>
        <w:tc>
          <w:tcPr>
            <w:tcW w:w="1717" w:type="dxa"/>
            <w:vAlign w:val="center"/>
          </w:tcPr>
          <w:p>
            <w:pPr>
              <w:spacing w:before="40" w:after="40"/>
              <w:jc w:val="right"/>
            </w:pPr>
            <w:r>
              <w:rPr>
                <w:rFonts w:asciiTheme="minorHAnsi" w:hAnsiTheme="minorHAnsi" w:cstheme="minorHAnsi"/>
                <w:sz w:val="20"/>
                <w:szCs w:val="20"/>
              </w:rPr>
              <w:t xml:space="preserve">(684,000)</w:t>
            </w:r>
          </w:p>
        </w:tc>
        <w:tc>
          <w:tcPr>
            <w:tcW w:w="1716" w:type="dxa"/>
            <w:vAlign w:val="center"/>
          </w:tcPr>
          <w:p>
            <w:pPr>
              <w:spacing w:before="40" w:after="40"/>
              <w:jc w:val="right"/>
            </w:pPr>
            <w:r>
              <w:rPr>
                <w:rFonts w:asciiTheme="minorHAnsi" w:hAnsiTheme="minorHAnsi" w:cstheme="minorHAnsi"/>
                <w:sz w:val="20"/>
                <w:szCs w:val="20"/>
              </w:rPr>
              <w:t xml:space="preserve">(1,056,000)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w:t>
            </w:r>
          </w:p>
        </w:tc>
        <w:tc>
          <w:tcPr>
            <w:tcW w:w="1717" w:type="dxa"/>
            <w:vAlign w:val="center"/>
          </w:tcPr>
          <w:p>
            <w:pPr>
              <w:spacing w:before="40" w:after="40"/>
              <w:jc w:val="right"/>
            </w:pPr>
            <w:r>
              <w:rPr>
                <w:rFonts w:asciiTheme="minorHAnsi" w:hAnsiTheme="minorHAnsi" w:cstheme="minorHAnsi"/>
                <w:sz w:val="20"/>
                <w:szCs w:val="20"/>
              </w:rPr>
              <w:t xml:space="preserve">(90,000)</w:t>
            </w:r>
          </w:p>
        </w:tc>
        <w:tc>
          <w:tcPr>
            <w:tcW w:w="1717" w:type="dxa"/>
            <w:vAlign w:val="center"/>
          </w:tcPr>
          <w:p>
            <w:pPr>
              <w:spacing w:before="40" w:after="40"/>
              <w:jc w:val="right"/>
            </w:pPr>
            <w:r>
              <w:rPr>
                <w:rFonts w:asciiTheme="minorHAnsi" w:hAnsiTheme="minorHAnsi" w:cstheme="minorHAnsi"/>
                <w:sz w:val="20"/>
                <w:szCs w:val="20"/>
              </w:rPr>
              <w:t xml:space="preserve">(180,000)</w:t>
            </w:r>
          </w:p>
        </w:tc>
        <w:tc>
          <w:tcPr>
            <w:tcW w:w="1716" w:type="dxa"/>
            <w:vAlign w:val="center"/>
          </w:tcPr>
          <w:p>
            <w:pPr>
              <w:spacing w:before="40" w:after="40"/>
              <w:jc w:val="right"/>
            </w:pPr>
            <w:r>
              <w:rPr>
                <w:rFonts w:asciiTheme="minorHAnsi" w:hAnsiTheme="minorHAnsi" w:cstheme="minorHAnsi"/>
                <w:sz w:val="20"/>
                <w:szCs w:val="20"/>
              </w:rPr>
              <w:t xml:space="preserve">(300,000)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Software and tools</w:t>
            </w:r>
          </w:p>
        </w:tc>
        <w:tc>
          <w:tcPr>
            <w:tcW w:w="1717" w:type="dxa"/>
            <w:vAlign w:val="center"/>
          </w:tcPr>
          <w:p>
            <w:pPr>
              <w:spacing w:before="40" w:after="40"/>
              <w:jc w:val="right"/>
            </w:pPr>
            <w:r>
              <w:rPr>
                <w:rFonts w:asciiTheme="minorHAnsi" w:hAnsiTheme="minorHAnsi" w:cstheme="minorHAnsi"/>
                <w:sz w:val="20"/>
                <w:szCs w:val="20"/>
              </w:rPr>
              <w:t xml:space="preserve">(18,000)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(48,000)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Legal, accounting and compliance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(30,000)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Coworking and office</w:t>
            </w:r>
          </w:p>
        </w:tc>
        <w:tc>
          <w:tcPr>
            <w:tcW w:w="1717" w:type="dxa"/>
            <w:vAlign w:val="center"/>
          </w:tcPr>
          <w:p>
            <w:pPr>
              <w:spacing w:before="40" w:after="40"/>
              <w:jc w:val="right"/>
            </w:pPr>
            <w:r>
              <w:rPr>
                <w:rFonts w:asciiTheme="minorHAnsi" w:hAnsiTheme="minorHAnsi" w:cstheme="minorHAnsi"/>
                <w:sz w:val="20"/>
                <w:szCs w:val="20"/>
              </w:rPr>
              <w:t xml:space="preserve">(24,000)</w:t>
            </w:r>
          </w:p>
        </w:tc>
        <w:tc>
          <w:tcPr>
            <w:tcW w:w="1717" w:type="dxa"/>
            <w:vAlign w:val="center"/>
          </w:tcPr>
          <w:p>
            <w:pPr>
              <w:spacing w:before="40" w:after="40"/>
              <w:jc w:val="right"/>
            </w:pPr>
            <w:r>
              <w:rPr>
                <w:rFonts w:asciiTheme="minorHAnsi" w:hAnsiTheme="minorHAnsi" w:cstheme="minorHAnsi"/>
                <w:sz w:val="20"/>
                <w:szCs w:val="20"/>
              </w:rPr>
              <w:t xml:space="preserve">(48,000)</w:t>
            </w:r>
          </w:p>
        </w:tc>
        <w:tc>
          <w:tcPr>
            <w:tcW w:w="1716" w:type="dxa"/>
            <w:vAlign w:val="center"/>
          </w:tcPr>
          <w:p>
            <w:pPr>
              <w:spacing w:before="40" w:after="40"/>
              <w:jc w:val="right"/>
            </w:pPr>
            <w:r>
              <w:rPr>
                <w:rFonts w:asciiTheme="minorHAnsi" w:hAnsiTheme="minorHAnsi" w:cstheme="minorHAnsi"/>
                <w:sz w:val="20"/>
                <w:szCs w:val="20"/>
              </w:rPr>
              <w:t xml:space="preserve">(72,000)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Security testing and audits</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7" w:type="dxa"/>
            <w:vAlign w:val="center"/>
          </w:tcPr>
          <w:p>
            <w:pPr>
              <w:spacing w:before="40" w:after="40"/>
              <w:jc w:val="right"/>
            </w:pPr>
            <w:r>
              <w:rPr>
                <w:rFonts w:asciiTheme="minorHAnsi" w:hAnsiTheme="minorHAnsi" w:cstheme="minorHAnsi"/>
                <w:sz w:val="20"/>
                <w:szCs w:val="20"/>
              </w:rPr>
              <w:t xml:space="preserve">(25,000)</w:t>
            </w:r>
          </w:p>
        </w:tc>
        <w:tc>
          <w:tcPr>
            <w:tcW w:w="1716" w:type="dxa"/>
            <w:vAlign w:val="center"/>
          </w:tcPr>
          <w:p>
            <w:pPr>
              <w:spacing w:before="40" w:after="40"/>
              <w:jc w:val="right"/>
            </w:pPr>
            <w:r>
              <w:rPr>
                <w:rFonts w:asciiTheme="minorHAnsi" w:hAnsiTheme="minorHAnsi" w:cstheme="minorHAnsi"/>
                <w:sz w:val="20"/>
                <w:szCs w:val="20"/>
              </w:rPr>
              <w:t xml:space="preserve">(40,000)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Miscellaneous (5% of other expenses)</w:t>
            </w:r>
          </w:p>
        </w:tc>
        <w:tc>
          <w:tcPr>
            <w:tcW w:w="1717" w:type="dxa"/>
            <w:vAlign w:val="center"/>
          </w:tcPr>
          <w:p>
            <w:pPr>
              <w:spacing w:before="40" w:after="40"/>
              <w:jc w:val="right"/>
            </w:pPr>
            <w:r>
              <w:rPr>
                <w:rFonts w:asciiTheme="minorHAnsi" w:hAnsiTheme="minorHAnsi" w:cstheme="minorHAnsi"/>
                <w:sz w:val="20"/>
                <w:szCs w:val="20"/>
              </w:rPr>
              <w:t xml:space="preserve">(8,300)</w:t>
            </w:r>
          </w:p>
        </w:tc>
        <w:tc>
          <w:tcPr>
            <w:tcW w:w="1717" w:type="dxa"/>
            <w:vAlign w:val="center"/>
          </w:tcPr>
          <w:p>
            <w:pPr>
              <w:spacing w:before="40" w:after="40"/>
              <w:jc w:val="right"/>
            </w:pPr>
            <w:r>
              <w:rPr>
                <w:rFonts w:asciiTheme="minorHAnsi" w:hAnsiTheme="minorHAnsi" w:cstheme="minorHAnsi"/>
                <w:sz w:val="20"/>
                <w:szCs w:val="20"/>
              </w:rPr>
              <w:t xml:space="preserve">(15,650)</w:t>
            </w:r>
          </w:p>
        </w:tc>
        <w:tc>
          <w:tcPr>
            <w:tcW w:w="1716" w:type="dxa"/>
            <w:vAlign w:val="center"/>
          </w:tcPr>
          <w:p>
            <w:pPr>
              <w:spacing w:before="40" w:after="40"/>
              <w:jc w:val="right"/>
            </w:pPr>
            <w:r>
              <w:rPr>
                <w:rFonts w:asciiTheme="minorHAnsi" w:hAnsiTheme="minorHAnsi" w:cstheme="minorHAnsi"/>
                <w:sz w:val="20"/>
                <w:szCs w:val="20"/>
              </w:rPr>
              <w:t xml:space="preserve">(25,000)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Depreciation</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(10,000)</w:t>
            </w:r>
          </w:p>
        </w:tc>
        <w:tc>
          <w:tcPr>
            <w:tcW w:w="1716" w:type="dxa"/>
            <w:vAlign w:val="center"/>
          </w:tcPr>
          <w:p>
            <w:pPr>
              <w:spacing w:before="40" w:after="40"/>
              <w:jc w:val="right"/>
            </w:pPr>
            <w:r>
              <w:rPr>
                <w:rFonts w:asciiTheme="minorHAnsi" w:hAnsiTheme="minorHAnsi" w:cstheme="minorHAnsi"/>
                <w:sz w:val="20"/>
                <w:szCs w:val="20"/>
              </w:rPr>
              <w:t xml:space="preserve">(18,000)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Administrative and marketing expenses (total)</w:t>
            </w:r>
          </w:p>
        </w:tc>
        <w:tc>
          <w:tcPr>
            <w:tcW w:w="1717" w:type="dxa"/>
            <w:vAlign w:val="center"/>
          </w:tcPr>
          <w:p>
            <w:pPr>
              <w:spacing w:before="40" w:after="40"/>
              <w:jc w:val="right"/>
            </w:pPr>
            <w:r>
              <w:rPr>
                <w:rFonts w:asciiTheme="minorHAnsi" w:hAnsiTheme="minorHAnsi" w:cstheme="minorHAnsi"/>
                <w:b/>
                <w:bCs/>
                <w:sz w:val="20"/>
                <w:szCs w:val="20"/>
              </w:rPr>
              <w:t xml:space="preserve">(456,300)</w:t>
            </w:r>
          </w:p>
        </w:tc>
        <w:tc>
          <w:tcPr>
            <w:tcW w:w="1717" w:type="dxa"/>
            <w:vAlign w:val="center"/>
          </w:tcPr>
          <w:p>
            <w:pPr>
              <w:spacing w:before="40" w:after="40"/>
              <w:jc w:val="right"/>
            </w:pPr>
            <w:r>
              <w:rPr>
                <w:rFonts w:asciiTheme="minorHAnsi" w:hAnsiTheme="minorHAnsi" w:cstheme="minorHAnsi"/>
                <w:b/>
                <w:bCs/>
                <w:sz w:val="20"/>
                <w:szCs w:val="20"/>
              </w:rPr>
              <w:t xml:space="preserve">(1,022,650)</w:t>
            </w:r>
          </w:p>
        </w:tc>
        <w:tc>
          <w:tcPr>
            <w:tcW w:w="1716" w:type="dxa"/>
            <w:vAlign w:val="center"/>
          </w:tcPr>
          <w:p>
            <w:pPr>
              <w:spacing w:before="40" w:after="40"/>
              <w:jc w:val="right"/>
            </w:pPr>
            <w:r>
              <w:rPr>
                <w:rFonts w:asciiTheme="minorHAnsi" w:hAnsiTheme="minorHAnsi" w:cstheme="minorHAnsi"/>
                <w:b/>
                <w:bCs/>
                <w:sz w:val="20"/>
                <w:szCs w:val="20"/>
              </w:rPr>
              <w:t xml:space="preserve">(1,599,000)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Operating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156,974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Zakat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(3,924)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profit</w:t>
            </w:r>
          </w:p>
        </w:tc>
        <w:tc>
          <w:tcPr>
            <w:tcW w:w="1717" w:type="dxa"/>
            <w:vAlign w:val="center"/>
          </w:tcPr>
          <w:p>
            <w:pPr>
              <w:spacing w:before="40" w:after="40"/>
              <w:jc w:val="right"/>
            </w:pPr>
            <w:r>
              <w:rPr>
                <w:rFonts w:asciiTheme="minorHAnsi" w:hAnsiTheme="minorHAnsi" w:cstheme="minorHAnsi"/>
                <w:b/>
                <w:bCs/>
                <w:sz w:val="20"/>
                <w:szCs w:val="20"/>
              </w:rPr>
              <w:t xml:space="preserve">(329,091)</w:t>
            </w:r>
          </w:p>
        </w:tc>
        <w:tc>
          <w:tcPr>
            <w:tcW w:w="1717" w:type="dxa"/>
            <w:vAlign w:val="center"/>
          </w:tcPr>
          <w:p>
            <w:pPr>
              <w:spacing w:before="40" w:after="40"/>
              <w:jc w:val="right"/>
            </w:pPr>
            <w:r>
              <w:rPr>
                <w:rFonts w:asciiTheme="minorHAnsi" w:hAnsiTheme="minorHAnsi" w:cstheme="minorHAnsi"/>
                <w:b/>
                <w:bCs/>
                <w:sz w:val="20"/>
                <w:szCs w:val="20"/>
              </w:rPr>
              <w:t xml:space="preserve">(328,949)</w:t>
            </w:r>
          </w:p>
        </w:tc>
        <w:tc>
          <w:tcPr>
            <w:tcW w:w="1716" w:type="dxa"/>
            <w:vAlign w:val="center"/>
          </w:tcPr>
          <w:p>
            <w:pPr>
              <w:spacing w:before="40" w:after="40"/>
              <w:jc w:val="right"/>
            </w:pPr>
            <w:r>
              <w:rPr>
                <w:rFonts w:asciiTheme="minorHAnsi" w:hAnsiTheme="minorHAnsi" w:cstheme="minorHAnsi"/>
                <w:b/>
                <w:bCs/>
                <w:sz w:val="20"/>
                <w:szCs w:val="20"/>
              </w:rPr>
              <w:t xml:space="preserve">153,050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Gross margin is about 72%, 80% and 82% in Years 1 to 3. Losses in Years 1 and 2 reflect the team and marketing spend ahead of revenue; Year 3 shows a small profit of SAR 153,050.</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Balance sheet and sources of financing (estimated, at year end)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15. Balance sheet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assets (cash)</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7" w:type="dxa"/>
            <w:vAlign w:val="center"/>
          </w:tcPr>
          <w:p>
            <w:pPr>
              <w:spacing w:before="40" w:after="40"/>
              <w:jc w:val="right"/>
            </w:pPr>
            <w:r>
              <w:rPr>
                <w:rFonts w:asciiTheme="minorHAnsi" w:hAnsiTheme="minorHAnsi" w:cstheme="minorHAnsi"/>
                <w:sz w:val="20"/>
                <w:szCs w:val="20"/>
              </w:rPr>
              <w:t xml:space="preserve">245,314</w:t>
            </w:r>
          </w:p>
        </w:tc>
        <w:tc>
          <w:tcPr>
            <w:tcW w:w="1716" w:type="dxa"/>
            <w:vAlign w:val="center"/>
          </w:tcPr>
          <w:p>
            <w:pPr>
              <w:spacing w:before="40" w:after="40"/>
              <w:jc w:val="right"/>
            </w:pPr>
            <w:r>
              <w:rPr>
                <w:rFonts w:asciiTheme="minorHAnsi" w:hAnsiTheme="minorHAnsi" w:cstheme="minorHAnsi"/>
                <w:sz w:val="20"/>
                <w:szCs w:val="20"/>
              </w:rPr>
              <w:t xml:space="preserve">414,158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assets (net)</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20,000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assets</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Current liabilities (payables and zakat)</w:t>
            </w:r>
          </w:p>
        </w:tc>
        <w:tc>
          <w:tcPr>
            <w:tcW w:w="1717" w:type="dxa"/>
            <w:vAlign w:val="center"/>
          </w:tcPr>
          <w:p>
            <w:pPr>
              <w:spacing w:before="40" w:after="40"/>
              <w:jc w:val="right"/>
            </w:pPr>
            <w:r>
              <w:rPr>
                <w:rFonts w:asciiTheme="minorHAnsi" w:hAnsiTheme="minorHAnsi" w:cstheme="minorHAnsi"/>
                <w:sz w:val="20"/>
                <w:szCs w:val="20"/>
              </w:rPr>
              <w:t xml:space="preserve">4,118</w:t>
            </w:r>
          </w:p>
        </w:tc>
        <w:tc>
          <w:tcPr>
            <w:tcW w:w="1717" w:type="dxa"/>
            <w:vAlign w:val="center"/>
          </w:tcPr>
          <w:p>
            <w:pPr>
              <w:spacing w:before="40" w:after="40"/>
              <w:jc w:val="right"/>
            </w:pPr>
            <w:r>
              <w:rPr>
                <w:rFonts w:asciiTheme="minorHAnsi" w:hAnsiTheme="minorHAnsi" w:cstheme="minorHAnsi"/>
                <w:sz w:val="20"/>
                <w:szCs w:val="20"/>
              </w:rPr>
              <w:t xml:space="preserve">14,354</w:t>
            </w:r>
          </w:p>
        </w:tc>
        <w:tc>
          <w:tcPr>
            <w:tcW w:w="1716" w:type="dxa"/>
            <w:vAlign w:val="center"/>
          </w:tcPr>
          <w:p>
            <w:pPr>
              <w:spacing w:before="40" w:after="40"/>
              <w:jc w:val="right"/>
            </w:pPr>
            <w:r>
              <w:rPr>
                <w:rFonts w:asciiTheme="minorHAnsi" w:hAnsiTheme="minorHAnsi" w:cstheme="minorHAnsi"/>
                <w:sz w:val="20"/>
                <w:szCs w:val="20"/>
              </w:rPr>
              <w:t xml:space="preserve">36,148</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Long-term liabilities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paid-in capital</w:t>
            </w:r>
          </w:p>
        </w:tc>
        <w:tc>
          <w:tcPr>
            <w:tcW w:w="1717" w:type="dxa"/>
            <w:vAlign w:val="center"/>
          </w:tcPr>
          <w:p>
            <w:pPr>
              <w:spacing w:before="40" w:after="40"/>
              <w:jc w:val="right"/>
            </w:pPr>
            <w:r>
              <w:rPr>
                <w:rFonts w:asciiTheme="minorHAnsi" w:hAnsiTheme="minorHAnsi" w:cstheme="minorHAnsi"/>
                <w:sz w:val="20"/>
                <w:szCs w:val="20"/>
              </w:rPr>
              <w:t xml:space="preserve">600,000</w:t>
            </w:r>
          </w:p>
        </w:tc>
        <w:tc>
          <w:tcPr>
            <w:tcW w:w="1717" w:type="dxa"/>
            <w:vAlign w:val="center"/>
          </w:tcPr>
          <w:p>
            <w:pPr>
              <w:spacing w:before="40" w:after="40"/>
              <w:jc w:val="right"/>
            </w:pPr>
            <w:r>
              <w:rPr>
                <w:rFonts w:asciiTheme="minorHAnsi" w:hAnsiTheme="minorHAnsi" w:cstheme="minorHAnsi"/>
                <w:sz w:val="20"/>
                <w:szCs w:val="20"/>
              </w:rPr>
              <w:t xml:space="preserve">1,000,000</w:t>
            </w:r>
          </w:p>
        </w:tc>
        <w:tc>
          <w:tcPr>
            <w:tcW w:w="1716" w:type="dxa"/>
            <w:vAlign w:val="center"/>
          </w:tcPr>
          <w:p>
            <w:pPr>
              <w:spacing w:before="40" w:after="40"/>
              <w:jc w:val="right"/>
            </w:pPr>
            <w:r>
              <w:rPr>
                <w:rFonts w:asciiTheme="minorHAnsi" w:hAnsiTheme="minorHAnsi" w:cstheme="minorHAnsi"/>
                <w:sz w:val="20"/>
                <w:szCs w:val="20"/>
              </w:rPr>
              <w:t xml:space="preserve">1,000,000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Equity: retained earnings (deficit)</w:t>
            </w:r>
          </w:p>
        </w:tc>
        <w:tc>
          <w:tcPr>
            <w:tcW w:w="1717" w:type="dxa"/>
            <w:vAlign w:val="center"/>
          </w:tcPr>
          <w:p>
            <w:pPr>
              <w:spacing w:before="40" w:after="40"/>
              <w:jc w:val="right"/>
            </w:pPr>
            <w:r>
              <w:rPr>
                <w:rFonts w:asciiTheme="minorHAnsi" w:hAnsiTheme="minorHAnsi" w:cstheme="minorHAnsi"/>
                <w:sz w:val="20"/>
                <w:szCs w:val="20"/>
              </w:rPr>
              <w:t xml:space="preserve">(426,091)</w:t>
            </w:r>
          </w:p>
        </w:tc>
        <w:tc>
          <w:tcPr>
            <w:tcW w:w="1717" w:type="dxa"/>
            <w:vAlign w:val="center"/>
          </w:tcPr>
          <w:p>
            <w:pPr>
              <w:spacing w:before="40" w:after="40"/>
              <w:jc w:val="right"/>
            </w:pPr>
            <w:r>
              <w:rPr>
                <w:rFonts w:asciiTheme="minorHAnsi" w:hAnsiTheme="minorHAnsi" w:cstheme="minorHAnsi"/>
                <w:sz w:val="20"/>
                <w:szCs w:val="20"/>
              </w:rPr>
              <w:t xml:space="preserve">(755,040)</w:t>
            </w:r>
          </w:p>
        </w:tc>
        <w:tc>
          <w:tcPr>
            <w:tcW w:w="1716" w:type="dxa"/>
            <w:vAlign w:val="center"/>
          </w:tcPr>
          <w:p>
            <w:pPr>
              <w:spacing w:before="40" w:after="40"/>
              <w:jc w:val="right"/>
            </w:pPr>
            <w:r>
              <w:rPr>
                <w:rFonts w:asciiTheme="minorHAnsi" w:hAnsiTheme="minorHAnsi" w:cstheme="minorHAnsi"/>
                <w:sz w:val="20"/>
                <w:szCs w:val="20"/>
              </w:rPr>
              <w:t xml:space="preserve">(601,990)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equity</w:t>
            </w:r>
          </w:p>
        </w:tc>
        <w:tc>
          <w:tcPr>
            <w:tcW w:w="1717" w:type="dxa"/>
            <w:vAlign w:val="center"/>
          </w:tcPr>
          <w:p>
            <w:pPr>
              <w:spacing w:before="40" w:after="40"/>
              <w:jc w:val="right"/>
            </w:pPr>
            <w:r>
              <w:rPr>
                <w:rFonts w:asciiTheme="minorHAnsi" w:hAnsiTheme="minorHAnsi" w:cstheme="minorHAnsi"/>
                <w:b/>
                <w:bCs/>
                <w:sz w:val="20"/>
                <w:szCs w:val="20"/>
              </w:rPr>
              <w:t xml:space="preserve">173,909</w:t>
            </w:r>
          </w:p>
        </w:tc>
        <w:tc>
          <w:tcPr>
            <w:tcW w:w="1717" w:type="dxa"/>
            <w:vAlign w:val="center"/>
          </w:tcPr>
          <w:p>
            <w:pPr>
              <w:spacing w:before="40" w:after="40"/>
              <w:jc w:val="right"/>
            </w:pPr>
            <w:r>
              <w:rPr>
                <w:rFonts w:asciiTheme="minorHAnsi" w:hAnsiTheme="minorHAnsi" w:cstheme="minorHAnsi"/>
                <w:b/>
                <w:bCs/>
                <w:sz w:val="20"/>
                <w:szCs w:val="20"/>
              </w:rPr>
              <w:t xml:space="preserve">244,960</w:t>
            </w:r>
          </w:p>
        </w:tc>
        <w:tc>
          <w:tcPr>
            <w:tcW w:w="1716" w:type="dxa"/>
            <w:vAlign w:val="center"/>
          </w:tcPr>
          <w:p>
            <w:pPr>
              <w:spacing w:before="40" w:after="40"/>
              <w:jc w:val="right"/>
            </w:pPr>
            <w:r>
              <w:rPr>
                <w:rFonts w:asciiTheme="minorHAnsi" w:hAnsiTheme="minorHAnsi" w:cstheme="minorHAnsi"/>
                <w:b/>
                <w:bCs/>
                <w:sz w:val="20"/>
                <w:szCs w:val="20"/>
              </w:rPr>
              <w:t xml:space="preserve">398,010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liabilities and equity</w:t>
            </w:r>
          </w:p>
        </w:tc>
        <w:tc>
          <w:tcPr>
            <w:tcW w:w="1717" w:type="dxa"/>
            <w:vAlign w:val="center"/>
          </w:tcPr>
          <w:p>
            <w:pPr>
              <w:spacing w:before="40" w:after="40"/>
              <w:jc w:val="right"/>
            </w:pPr>
            <w:r>
              <w:rPr>
                <w:rFonts w:asciiTheme="minorHAnsi" w:hAnsiTheme="minorHAnsi" w:cstheme="minorHAnsi"/>
                <w:b/>
                <w:bCs/>
                <w:sz w:val="20"/>
                <w:szCs w:val="20"/>
              </w:rPr>
              <w:t xml:space="preserve">178,027</w:t>
            </w:r>
          </w:p>
        </w:tc>
        <w:tc>
          <w:tcPr>
            <w:tcW w:w="1717" w:type="dxa"/>
            <w:vAlign w:val="center"/>
          </w:tcPr>
          <w:p>
            <w:pPr>
              <w:spacing w:before="40" w:after="40"/>
              <w:jc w:val="right"/>
            </w:pPr>
            <w:r>
              <w:rPr>
                <w:rFonts w:asciiTheme="minorHAnsi" w:hAnsiTheme="minorHAnsi" w:cstheme="minorHAnsi"/>
                <w:b/>
                <w:bCs/>
                <w:sz w:val="20"/>
                <w:szCs w:val="20"/>
              </w:rPr>
              <w:t xml:space="preserve">259,314</w:t>
            </w:r>
          </w:p>
        </w:tc>
        <w:tc>
          <w:tcPr>
            <w:tcW w:w="1716" w:type="dxa"/>
            <w:vAlign w:val="center"/>
          </w:tcPr>
          <w:p>
            <w:pPr>
              <w:spacing w:before="40" w:after="40"/>
              <w:jc w:val="right"/>
            </w:pPr>
            <w:r>
              <w:rPr>
                <w:rFonts w:asciiTheme="minorHAnsi" w:hAnsiTheme="minorHAnsi" w:cstheme="minorHAnsi"/>
                <w:b/>
                <w:bCs/>
                <w:sz w:val="20"/>
                <w:szCs w:val="20"/>
              </w:rPr>
              <w:t xml:space="preserve">434,158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Total assets equal total liabilities plus equity in every year. The plan is financed entirely by equity: SAR 600,000 in Q4 2026 (assumed SAR 100,000 from the founders and SAR 500,000 from a seed investor, grant or incubator programme) and a further SAR 400,000 in January 2028. No source of funding has been secured; these are planning assumptions. Opening retained deficit of SAR 97,000 is the pre-launch expense.</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Cash flow statement (estimated)</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16. Cash flow statement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operating activities</w:t>
            </w:r>
          </w:p>
        </w:tc>
        <w:tc>
          <w:tcPr>
            <w:tcW w:w="1717" w:type="dxa"/>
            <w:vAlign w:val="center"/>
          </w:tcPr>
          <w:p>
            <w:pPr>
              <w:spacing w:before="40" w:after="40"/>
              <w:jc w:val="right"/>
            </w:pPr>
            <w:r>
              <w:rPr>
                <w:rFonts w:asciiTheme="minorHAnsi" w:hAnsiTheme="minorHAnsi" w:cstheme="minorHAnsi"/>
                <w:sz w:val="20"/>
                <w:szCs w:val="20"/>
              </w:rPr>
              <w:t xml:space="preserve">(318,973)</w:t>
            </w:r>
          </w:p>
        </w:tc>
        <w:tc>
          <w:tcPr>
            <w:tcW w:w="1717" w:type="dxa"/>
            <w:vAlign w:val="center"/>
          </w:tcPr>
          <w:p>
            <w:pPr>
              <w:spacing w:before="40" w:after="40"/>
              <w:jc w:val="right"/>
            </w:pPr>
            <w:r>
              <w:rPr>
                <w:rFonts w:asciiTheme="minorHAnsi" w:hAnsiTheme="minorHAnsi" w:cstheme="minorHAnsi"/>
                <w:sz w:val="20"/>
                <w:szCs w:val="20"/>
              </w:rPr>
              <w:t xml:space="preserve">(308,713)</w:t>
            </w:r>
          </w:p>
        </w:tc>
        <w:tc>
          <w:tcPr>
            <w:tcW w:w="1716" w:type="dxa"/>
            <w:vAlign w:val="center"/>
          </w:tcPr>
          <w:p>
            <w:pPr>
              <w:spacing w:before="40" w:after="40"/>
              <w:jc w:val="right"/>
            </w:pPr>
            <w:r>
              <w:rPr>
                <w:rFonts w:asciiTheme="minorHAnsi" w:hAnsiTheme="minorHAnsi" w:cstheme="minorHAnsi"/>
                <w:sz w:val="20"/>
                <w:szCs w:val="20"/>
              </w:rPr>
              <w:t xml:space="preserve">192,844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investing activities (equipment)</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(12,000)</w:t>
            </w:r>
          </w:p>
        </w:tc>
        <w:tc>
          <w:tcPr>
            <w:tcW w:w="1716" w:type="dxa"/>
            <w:vAlign w:val="center"/>
          </w:tcPr>
          <w:p>
            <w:pPr>
              <w:spacing w:before="40" w:after="40"/>
              <w:jc w:val="right"/>
            </w:pPr>
            <w:r>
              <w:rPr>
                <w:rFonts w:asciiTheme="minorHAnsi" w:hAnsiTheme="minorHAnsi" w:cstheme="minorHAnsi"/>
                <w:sz w:val="20"/>
                <w:szCs w:val="20"/>
              </w:rPr>
              <w:t xml:space="preserve">(24,000)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flows from financing activities</w:t>
            </w:r>
          </w:p>
        </w:tc>
        <w:tc>
          <w:tcPr>
            <w:tcW w:w="1717" w:type="dxa"/>
            <w:vAlign w:val="center"/>
          </w:tcPr>
          <w:p>
            <w:pPr>
              <w:spacing w:before="40" w:after="40"/>
              <w:jc w:val="right"/>
            </w:pPr>
            <w:r>
              <w:rPr>
                <w:rFonts w:asciiTheme="minorHAnsi" w:hAnsiTheme="minorHAnsi" w:cstheme="minorHAnsi"/>
                <w:sz w:val="20"/>
                <w:szCs w:val="20"/>
              </w:rPr>
              <w:t xml:space="preserve">0</w:t>
            </w:r>
          </w:p>
        </w:tc>
        <w:tc>
          <w:tcPr>
            <w:tcW w:w="1717" w:type="dxa"/>
            <w:vAlign w:val="center"/>
          </w:tcPr>
          <w:p>
            <w:pPr>
              <w:spacing w:before="40" w:after="40"/>
              <w:jc w:val="right"/>
            </w:pPr>
            <w:r>
              <w:rPr>
                <w:rFonts w:asciiTheme="minorHAnsi" w:hAnsiTheme="minorHAnsi" w:cstheme="minorHAnsi"/>
                <w:sz w:val="20"/>
                <w:szCs w:val="20"/>
              </w:rPr>
              <w:t xml:space="preserve">400,000</w:t>
            </w:r>
          </w:p>
        </w:tc>
        <w:tc>
          <w:tcPr>
            <w:tcW w:w="1716" w:type="dxa"/>
            <w:vAlign w:val="center"/>
          </w:tcPr>
          <w:p>
            <w:pPr>
              <w:spacing w:before="40" w:after="40"/>
              <w:jc w:val="right"/>
            </w:pPr>
            <w:r>
              <w:rPr>
                <w:rFonts w:asciiTheme="minorHAnsi" w:hAnsiTheme="minorHAnsi" w:cstheme="minorHAnsi"/>
                <w:sz w:val="20"/>
                <w:szCs w:val="20"/>
              </w:rPr>
              <w:t xml:space="preserve">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Net cash flows</w:t>
            </w:r>
          </w:p>
        </w:tc>
        <w:tc>
          <w:tcPr>
            <w:tcW w:w="1717" w:type="dxa"/>
            <w:vAlign w:val="center"/>
          </w:tcPr>
          <w:p>
            <w:pPr>
              <w:spacing w:before="40" w:after="40"/>
              <w:jc w:val="right"/>
            </w:pPr>
            <w:r>
              <w:rPr>
                <w:rFonts w:asciiTheme="minorHAnsi" w:hAnsiTheme="minorHAnsi" w:cstheme="minorHAnsi"/>
                <w:b/>
                <w:bCs/>
                <w:sz w:val="20"/>
                <w:szCs w:val="20"/>
              </w:rPr>
              <w:t xml:space="preserve">(318,973)</w:t>
            </w:r>
          </w:p>
        </w:tc>
        <w:tc>
          <w:tcPr>
            <w:tcW w:w="1717" w:type="dxa"/>
            <w:vAlign w:val="center"/>
          </w:tcPr>
          <w:p>
            <w:pPr>
              <w:spacing w:before="40" w:after="40"/>
              <w:jc w:val="right"/>
            </w:pPr>
            <w:r>
              <w:rPr>
                <w:rFonts w:asciiTheme="minorHAnsi" w:hAnsiTheme="minorHAnsi" w:cstheme="minorHAnsi"/>
                <w:b/>
                <w:bCs/>
                <w:sz w:val="20"/>
                <w:szCs w:val="20"/>
              </w:rPr>
              <w:t xml:space="preserve">79,287</w:t>
            </w:r>
          </w:p>
        </w:tc>
        <w:tc>
          <w:tcPr>
            <w:tcW w:w="1716" w:type="dxa"/>
            <w:vAlign w:val="center"/>
          </w:tcPr>
          <w:p>
            <w:pPr>
              <w:spacing w:before="40" w:after="40"/>
              <w:jc w:val="right"/>
            </w:pPr>
            <w:r>
              <w:rPr>
                <w:rFonts w:asciiTheme="minorHAnsi" w:hAnsiTheme="minorHAnsi" w:cstheme="minorHAnsi"/>
                <w:b/>
                <w:bCs/>
                <w:sz w:val="20"/>
                <w:szCs w:val="20"/>
              </w:rPr>
              <w:t xml:space="preserve">168,844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Cash balance at the beginning of the period</w:t>
            </w:r>
          </w:p>
        </w:tc>
        <w:tc>
          <w:tcPr>
            <w:tcW w:w="1717" w:type="dxa"/>
            <w:vAlign w:val="center"/>
          </w:tcPr>
          <w:p>
            <w:pPr>
              <w:spacing w:before="40" w:after="40"/>
              <w:jc w:val="right"/>
            </w:pPr>
            <w:r>
              <w:rPr>
                <w:rFonts w:asciiTheme="minorHAnsi" w:hAnsiTheme="minorHAnsi" w:cstheme="minorHAnsi"/>
                <w:sz w:val="20"/>
                <w:szCs w:val="20"/>
              </w:rPr>
              <w:t xml:space="preserve">485,000</w:t>
            </w:r>
          </w:p>
        </w:tc>
        <w:tc>
          <w:tcPr>
            <w:tcW w:w="1717" w:type="dxa"/>
            <w:vAlign w:val="center"/>
          </w:tcPr>
          <w:p>
            <w:pPr>
              <w:spacing w:before="40" w:after="40"/>
              <w:jc w:val="right"/>
            </w:pPr>
            <w:r>
              <w:rPr>
                <w:rFonts w:asciiTheme="minorHAnsi" w:hAnsiTheme="minorHAnsi" w:cstheme="minorHAnsi"/>
                <w:sz w:val="20"/>
                <w:szCs w:val="20"/>
              </w:rPr>
              <w:t xml:space="preserve">166,027</w:t>
            </w:r>
          </w:p>
        </w:tc>
        <w:tc>
          <w:tcPr>
            <w:tcW w:w="1716" w:type="dxa"/>
            <w:vAlign w:val="center"/>
          </w:tcPr>
          <w:p>
            <w:pPr>
              <w:spacing w:before="40" w:after="40"/>
              <w:jc w:val="right"/>
            </w:pPr>
            <w:r>
              <w:rPr>
                <w:rFonts w:asciiTheme="minorHAnsi" w:hAnsiTheme="minorHAnsi" w:cstheme="minorHAnsi"/>
                <w:sz w:val="20"/>
                <w:szCs w:val="20"/>
              </w:rPr>
              <w:t xml:space="preserve">245,314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Cash balance at the end of the period</w:t>
            </w:r>
          </w:p>
        </w:tc>
        <w:tc>
          <w:tcPr>
            <w:tcW w:w="1717" w:type="dxa"/>
            <w:vAlign w:val="center"/>
          </w:tcPr>
          <w:p>
            <w:pPr>
              <w:spacing w:before="40" w:after="40"/>
              <w:jc w:val="right"/>
            </w:pPr>
            <w:r>
              <w:rPr>
                <w:rFonts w:asciiTheme="minorHAnsi" w:hAnsiTheme="minorHAnsi" w:cstheme="minorHAnsi"/>
                <w:b/>
                <w:bCs/>
                <w:sz w:val="20"/>
                <w:szCs w:val="20"/>
              </w:rPr>
              <w:t xml:space="preserve">166,027</w:t>
            </w:r>
          </w:p>
        </w:tc>
        <w:tc>
          <w:tcPr>
            <w:tcW w:w="1717" w:type="dxa"/>
            <w:vAlign w:val="center"/>
          </w:tcPr>
          <w:p>
            <w:pPr>
              <w:spacing w:before="40" w:after="40"/>
              <w:jc w:val="right"/>
            </w:pPr>
            <w:r>
              <w:rPr>
                <w:rFonts w:asciiTheme="minorHAnsi" w:hAnsiTheme="minorHAnsi" w:cstheme="minorHAnsi"/>
                <w:b/>
                <w:bCs/>
                <w:sz w:val="20"/>
                <w:szCs w:val="20"/>
              </w:rPr>
              <w:t xml:space="preserve">245,314</w:t>
            </w:r>
          </w:p>
        </w:tc>
        <w:tc>
          <w:tcPr>
            <w:tcW w:w="1716" w:type="dxa"/>
            <w:vAlign w:val="center"/>
          </w:tcPr>
          <w:p>
            <w:pPr>
              <w:spacing w:before="40" w:after="40"/>
              <w:jc w:val="right"/>
            </w:pPr>
            <w:r>
              <w:rPr>
                <w:rFonts w:asciiTheme="minorHAnsi" w:hAnsiTheme="minorHAnsi" w:cstheme="minorHAnsi"/>
                <w:b/>
                <w:bCs/>
                <w:sz w:val="20"/>
                <w:szCs w:val="20"/>
              </w:rPr>
              <w:t xml:space="preserve">414,158</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Opening cash on 1 January 2027 is SAR 485,000 (SAR 600,000 raised less SAR 115,000 pre-launch spending). Cash falls to SAR 166,027 at the end of Year 1, which is why the second funding round is needed before Year 2 spending increases.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17. Monthly staff cost assumption (SAR, fully loaded)</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r>
              <w:rPr>
                <w:rFonts w:asciiTheme="minorHAnsi" w:hAnsiTheme="minorHAnsi" w:cstheme="minorHAnsi"/>
                <w:b/>
                <w:bCs/>
                <w:sz w:val="20"/>
                <w:szCs w:val="20"/>
              </w:rPr>
              <w:t xml:space="preserve">Role</w:t>
            </w: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Product / Project Manager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Backend &amp; AI-integration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Frontend &amp; UX Developer (founder)</w:t>
            </w:r>
          </w:p>
        </w:tc>
        <w:tc>
          <w:tcPr>
            <w:tcW w:w="1717" w:type="dxa"/>
            <w:vAlign w:val="center"/>
          </w:tcPr>
          <w:p>
            <w:pPr>
              <w:spacing w:before="40" w:after="40"/>
              <w:jc w:val="right"/>
            </w:pPr>
            <w:r>
              <w:rPr>
                <w:rFonts w:asciiTheme="minorHAnsi" w:hAnsiTheme="minorHAnsi" w:cstheme="minorHAnsi"/>
                <w:sz w:val="20"/>
                <w:szCs w:val="20"/>
              </w:rPr>
              <w:t xml:space="preserve">6,000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12,000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AI / ML Engineer</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14,000</w:t>
            </w:r>
          </w:p>
        </w:tc>
        <w:tc>
          <w:tcPr>
            <w:tcW w:w="1716" w:type="dxa"/>
            <w:vAlign w:val="center"/>
          </w:tcPr>
          <w:p>
            <w:pPr>
              <w:spacing w:before="40" w:after="40"/>
              <w:jc w:val="right"/>
            </w:pPr>
            <w:r>
              <w:rPr>
                <w:rFonts w:asciiTheme="minorHAnsi" w:hAnsiTheme="minorHAnsi" w:cstheme="minorHAnsi"/>
                <w:sz w:val="20"/>
                <w:szCs w:val="20"/>
              </w:rPr>
              <w:t xml:space="preserve">15,000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Marketing &amp; Sales Executive</w:t>
            </w:r>
          </w:p>
        </w:tc>
        <w:tc>
          <w:tcPr>
            <w:tcW w:w="1717" w:type="dxa"/>
            <w:vAlign w:val="center"/>
          </w:tcPr>
          <w:p>
            <w:pPr>
              <w:spacing w:before="40" w:after="40"/>
              <w:jc w:val="right"/>
            </w:pPr>
            <w:r>
              <w:rPr>
                <w:rFonts w:asciiTheme="minorHAnsi" w:hAnsiTheme="minorHAnsi" w:cstheme="minorHAnsi"/>
                <w:sz w:val="20"/>
                <w:szCs w:val="20"/>
              </w:rPr>
              <w:t xml:space="preserve">4,000</w:t>
            </w:r>
          </w:p>
        </w:tc>
        <w:tc>
          <w:tcPr>
            <w:tcW w:w="1717" w:type="dxa"/>
            <w:vAlign w:val="center"/>
          </w:tcPr>
          <w:p>
            <w:pPr>
              <w:spacing w:before="40" w:after="40"/>
              <w:jc w:val="right"/>
            </w:pPr>
            <w:r>
              <w:rPr>
                <w:rFonts w:asciiTheme="minorHAnsi" w:hAnsiTheme="minorHAnsi" w:cstheme="minorHAnsi"/>
                <w:sz w:val="20"/>
                <w:szCs w:val="20"/>
              </w:rPr>
              <w:t xml:space="preserve">9,000</w:t>
            </w:r>
          </w:p>
        </w:tc>
        <w:tc>
          <w:tcPr>
            <w:tcW w:w="1716" w:type="dxa"/>
            <w:vAlign w:val="center"/>
          </w:tcPr>
          <w:p>
            <w:pPr>
              <w:spacing w:before="40" w:after="40"/>
              <w:jc w:val="right"/>
            </w:pPr>
            <w:r>
              <w:rPr>
                <w:rFonts w:asciiTheme="minorHAnsi" w:hAnsiTheme="minorHAnsi" w:cstheme="minorHAnsi"/>
                <w:sz w:val="20"/>
                <w:szCs w:val="20"/>
              </w:rPr>
              <w:t xml:space="preserve">9,500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Customer Support Specialist</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7,000</w:t>
            </w:r>
          </w:p>
        </w:tc>
        <w:tc>
          <w:tcPr>
            <w:tcW w:w="1716" w:type="dxa"/>
            <w:vAlign w:val="center"/>
          </w:tcPr>
          <w:p>
            <w:pPr>
              <w:spacing w:before="40" w:after="40"/>
              <w:jc w:val="right"/>
            </w:pPr>
            <w:r>
              <w:rPr>
                <w:rFonts w:asciiTheme="minorHAnsi" w:hAnsiTheme="minorHAnsi" w:cstheme="minorHAnsi"/>
                <w:sz w:val="20"/>
                <w:szCs w:val="20"/>
              </w:rPr>
              <w:t xml:space="preserve">7,500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UI/UX Designer</w:t>
            </w:r>
          </w:p>
        </w:tc>
        <w:tc>
          <w:tcPr>
            <w:tcW w:w="1717" w:type="dxa"/>
            <w:vAlign w:val="center"/>
          </w:tcPr>
          <w:p>
            <w:pPr>
              <w:spacing w:before="40" w:after="40"/>
              <w:jc w:val="right"/>
            </w:pPr>
            <w:r>
              <w:rPr>
                <w:rFonts w:asciiTheme="minorHAnsi" w:hAnsiTheme="minorHAnsi" w:cstheme="minorHAnsi"/>
                <w:sz w:val="20"/>
                <w:szCs w:val="20"/>
              </w:rPr>
              <w:t xml:space="preserve">1,000</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11,000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Agency &amp; GCC Sales Executive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7" w:type="dxa"/>
            <w:vAlign w:val="center"/>
          </w:tcPr>
          <w:p>
            <w:pPr>
              <w:spacing w:before="40" w:after="40"/>
              <w:jc w:val="right"/>
            </w:pPr>
            <w:r>
              <w:rPr>
                <w:rFonts w:asciiTheme="minorHAnsi" w:hAnsiTheme="minorHAnsi" w:cstheme="minorHAnsi"/>
                <w:sz w:val="20"/>
                <w:szCs w:val="20"/>
              </w:rPr>
              <w:t xml:space="preserve">–</w:t>
            </w:r>
          </w:p>
        </w:tc>
        <w:tc>
          <w:tcPr>
            <w:tcW w:w="1716" w:type="dxa"/>
            <w:vAlign w:val="center"/>
          </w:tcPr>
          <w:p>
            <w:pPr>
              <w:spacing w:before="40" w:after="40"/>
              <w:jc w:val="right"/>
            </w:pPr>
            <w:r>
              <w:rPr>
                <w:rFonts w:asciiTheme="minorHAnsi" w:hAnsiTheme="minorHAnsi" w:cstheme="minorHAnsi"/>
                <w:sz w:val="20"/>
                <w:szCs w:val="20"/>
              </w:rPr>
              <w:t xml:space="preserve">9,000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monthly</w:t>
            </w:r>
          </w:p>
        </w:tc>
        <w:tc>
          <w:tcPr>
            <w:tcW w:w="1717" w:type="dxa"/>
            <w:vAlign w:val="center"/>
          </w:tcPr>
          <w:p>
            <w:pPr>
              <w:spacing w:before="40" w:after="40"/>
              <w:jc w:val="right"/>
            </w:pPr>
            <w:r>
              <w:rPr>
                <w:rFonts w:asciiTheme="minorHAnsi" w:hAnsiTheme="minorHAnsi" w:cstheme="minorHAnsi"/>
                <w:b/>
                <w:bCs/>
                <w:sz w:val="20"/>
                <w:szCs w:val="20"/>
              </w:rPr>
              <w:t xml:space="preserve">23,000</w:t>
            </w:r>
          </w:p>
        </w:tc>
        <w:tc>
          <w:tcPr>
            <w:tcW w:w="1717" w:type="dxa"/>
            <w:vAlign w:val="center"/>
          </w:tcPr>
          <w:p>
            <w:pPr>
              <w:spacing w:before="40" w:after="40"/>
              <w:jc w:val="right"/>
            </w:pPr>
            <w:r>
              <w:rPr>
                <w:rFonts w:asciiTheme="minorHAnsi" w:hAnsiTheme="minorHAnsi" w:cstheme="minorHAnsi"/>
                <w:b/>
                <w:bCs/>
                <w:sz w:val="20"/>
                <w:szCs w:val="20"/>
              </w:rPr>
              <w:t xml:space="preserve">57,000</w:t>
            </w:r>
          </w:p>
        </w:tc>
        <w:tc>
          <w:tcPr>
            <w:tcW w:w="1716" w:type="dxa"/>
            <w:vAlign w:val="center"/>
          </w:tcPr>
          <w:p>
            <w:pPr>
              <w:spacing w:before="40" w:after="40"/>
              <w:jc w:val="right"/>
            </w:pPr>
            <w:r>
              <w:rPr>
                <w:rFonts w:asciiTheme="minorHAnsi" w:hAnsiTheme="minorHAnsi" w:cstheme="minorHAnsi"/>
                <w:b/>
                <w:bCs/>
                <w:sz w:val="20"/>
                <w:szCs w:val="20"/>
              </w:rPr>
              <w:t xml:space="preserve">88,000</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Total annual (included in Table 14)</w:t>
            </w:r>
          </w:p>
        </w:tc>
        <w:tc>
          <w:tcPr>
            <w:tcW w:w="1717" w:type="dxa"/>
            <w:vAlign w:val="center"/>
          </w:tcPr>
          <w:p>
            <w:pPr>
              <w:spacing w:before="40" w:after="40"/>
              <w:jc w:val="right"/>
            </w:pPr>
            <w:r>
              <w:rPr>
                <w:rFonts w:asciiTheme="minorHAnsi" w:hAnsiTheme="minorHAnsi" w:cstheme="minorHAnsi"/>
                <w:b/>
                <w:bCs/>
                <w:sz w:val="20"/>
                <w:szCs w:val="20"/>
              </w:rPr>
              <w:t xml:space="preserve">276,000</w:t>
            </w:r>
          </w:p>
        </w:tc>
        <w:tc>
          <w:tcPr>
            <w:tcW w:w="1717" w:type="dxa"/>
            <w:vAlign w:val="center"/>
          </w:tcPr>
          <w:p>
            <w:pPr>
              <w:spacing w:before="40" w:after="40"/>
              <w:jc w:val="right"/>
            </w:pPr>
            <w:r>
              <w:rPr>
                <w:rFonts w:asciiTheme="minorHAnsi" w:hAnsiTheme="minorHAnsi" w:cstheme="minorHAnsi"/>
                <w:b/>
                <w:bCs/>
                <w:sz w:val="20"/>
                <w:szCs w:val="20"/>
              </w:rPr>
              <w:t xml:space="preserve">684,000</w:t>
            </w:r>
          </w:p>
        </w:tc>
        <w:tc>
          <w:tcPr>
            <w:tcW w:w="1716" w:type="dxa"/>
            <w:vAlign w:val="center"/>
          </w:tcPr>
          <w:p>
            <w:pPr>
              <w:spacing w:before="40" w:after="40"/>
              <w:jc w:val="right"/>
            </w:pPr>
            <w:r>
              <w:rPr>
                <w:rFonts w:asciiTheme="minorHAnsi" w:hAnsiTheme="minorHAnsi" w:cstheme="minorHAnsi"/>
                <w:b/>
                <w:bCs/>
                <w:sz w:val="20"/>
                <w:szCs w:val="20"/>
              </w:rPr>
              <w:t xml:space="preserve">1,056,000</w:t>
            </w:r>
          </w:p>
        </w:tc>
      </w:tr>
    </w:tbl>
    <w:p>
      <w:pPr>
        <w:spacing w:after="0"/>
      </w:pPr>
    </w:p>
    <w:p>
      <w:pPr>
        <w:pStyle w:val="ListParagraph"/>
        <w:spacing w:before="60" w:after="160"/>
        <w:contextualSpacing w:val="0"/>
        <w:jc w:val="left"/>
      </w:pPr>
      <w:r>
        <w:rPr>
          <w:rFonts w:asciiTheme="minorHAnsi" w:hAnsiTheme="minorHAnsi" w:cstheme="minorHAnsi"/>
          <w:i/>
          <w:iCs/>
          <w:color w:val="595959"/>
          <w:sz w:val="18"/>
          <w:szCs w:val="18"/>
        </w:rPr>
        <w:t xml:space="preserve">Year 1 marketing is a 0.5 FTE (SAR 8,000 per month full-time equivalent) and the designer is a SAR 12,000 annual retainer.</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Break-even and sustainability</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18. Operating break-even analysis (SAR)</w:t>
      </w:r>
    </w:p>
    <w:tbl>
      <w:tblPr>
        <w:tblStyle w:val="TableGrid"/>
        <w:tblW w:w="10300" w:type="dxa"/>
        <w:jc w:val="center"/>
        <w:tblLayout w:type="fixed"/>
        <w:tblLook w:val="04A0" w:firstRow="1" w:lastRow="0" w:firstColumn="1" w:lastColumn="0" w:noHBand="0" w:noVBand="1"/>
      </w:tblPr>
      <w:tblGrid>
        <w:gridCol w:w="5150"/>
        <w:gridCol w:w="1717"/>
        <w:gridCol w:w="1717"/>
        <w:gridCol w:w="1716"/>
      </w:tblGrid>
      <w:tr>
        <w:trPr>
          <w:cantSplit/>
          <w:tblHeader/>
        </w:trPr>
        <w:tc>
          <w:tcPr>
            <w:tcW w:w="5150" w:type="dxa"/>
            <w:vAlign w:val="center"/>
          </w:tcPr>
          <w:p>
            <w:pPr>
              <w:spacing w:before="40" w:after="40"/>
              <w:jc w:val="center"/>
            </w:pPr>
          </w:p>
        </w:tc>
        <w:tc>
          <w:tcPr>
            <w:tcW w:w="1717" w:type="dxa"/>
            <w:vAlign w:val="center"/>
          </w:tcPr>
          <w:p>
            <w:pPr>
              <w:spacing w:before="40" w:after="40"/>
              <w:jc w:val="center"/>
            </w:pPr>
            <w:r>
              <w:rPr>
                <w:rFonts w:asciiTheme="minorHAnsi" w:hAnsiTheme="minorHAnsi" w:cstheme="minorHAnsi"/>
                <w:b/>
                <w:bCs/>
                <w:sz w:val="20"/>
                <w:szCs w:val="20"/>
              </w:rPr>
              <w:t xml:space="preserve">Year 1</w:t>
            </w:r>
          </w:p>
        </w:tc>
        <w:tc>
          <w:tcPr>
            <w:tcW w:w="1717" w:type="dxa"/>
            <w:vAlign w:val="center"/>
          </w:tcPr>
          <w:p>
            <w:pPr>
              <w:spacing w:before="40" w:after="40"/>
              <w:jc w:val="center"/>
            </w:pPr>
            <w:r>
              <w:rPr>
                <w:rFonts w:asciiTheme="minorHAnsi" w:hAnsiTheme="minorHAnsi" w:cstheme="minorHAnsi"/>
                <w:b/>
                <w:bCs/>
                <w:sz w:val="20"/>
                <w:szCs w:val="20"/>
              </w:rPr>
              <w:t xml:space="preserve">Year 2</w:t>
            </w:r>
          </w:p>
        </w:tc>
        <w:tc>
          <w:tcPr>
            <w:tcW w:w="1716" w:type="dxa"/>
            <w:vAlign w:val="center"/>
          </w:tcPr>
          <w:p>
            <w:pPr>
              <w:spacing w:before="40" w:after="40"/>
              <w:jc w:val="center"/>
            </w:pPr>
            <w:r>
              <w:rPr>
                <w:rFonts w:asciiTheme="minorHAnsi" w:hAnsiTheme="minorHAnsi" w:cstheme="minorHAnsi"/>
                <w:b/>
                <w:bCs/>
                <w:sz w:val="20"/>
                <w:szCs w:val="20"/>
              </w:rPr>
              <w:t xml:space="preserve">Year 3</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Fixed monthly costs (administrative expenses + hosting) ÷ 12</w:t>
            </w:r>
          </w:p>
        </w:tc>
        <w:tc>
          <w:tcPr>
            <w:tcW w:w="1717" w:type="dxa"/>
            <w:vAlign w:val="center"/>
          </w:tcPr>
          <w:p>
            <w:pPr>
              <w:spacing w:before="40" w:after="40"/>
              <w:jc w:val="right"/>
            </w:pPr>
            <w:r>
              <w:rPr>
                <w:rFonts w:asciiTheme="minorHAnsi" w:hAnsiTheme="minorHAnsi" w:cstheme="minorHAnsi"/>
                <w:sz w:val="20"/>
                <w:szCs w:val="20"/>
              </w:rPr>
              <w:t xml:space="preserve">40,025</w:t>
            </w:r>
          </w:p>
        </w:tc>
        <w:tc>
          <w:tcPr>
            <w:tcW w:w="1717" w:type="dxa"/>
            <w:vAlign w:val="center"/>
          </w:tcPr>
          <w:p>
            <w:pPr>
              <w:spacing w:before="40" w:after="40"/>
              <w:jc w:val="right"/>
            </w:pPr>
            <w:r>
              <w:rPr>
                <w:rFonts w:asciiTheme="minorHAnsi" w:hAnsiTheme="minorHAnsi" w:cstheme="minorHAnsi"/>
                <w:sz w:val="20"/>
                <w:szCs w:val="20"/>
              </w:rPr>
              <w:t xml:space="preserve">89,721</w:t>
            </w:r>
          </w:p>
        </w:tc>
        <w:tc>
          <w:tcPr>
            <w:tcW w:w="1716" w:type="dxa"/>
            <w:vAlign w:val="center"/>
          </w:tcPr>
          <w:p>
            <w:pPr>
              <w:spacing w:before="40" w:after="40"/>
              <w:jc w:val="right"/>
            </w:pPr>
            <w:r>
              <w:rPr>
                <w:rFonts w:asciiTheme="minorHAnsi" w:hAnsiTheme="minorHAnsi" w:cstheme="minorHAnsi"/>
                <w:sz w:val="20"/>
                <w:szCs w:val="20"/>
              </w:rPr>
              <w:t xml:space="preserve">142,250</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Variable cost per paying account-month (AI, free users, payment fees)</w:t>
            </w:r>
          </w:p>
        </w:tc>
        <w:tc>
          <w:tcPr>
            <w:tcW w:w="1717" w:type="dxa"/>
            <w:vAlign w:val="center"/>
          </w:tcPr>
          <w:p>
            <w:pPr>
              <w:spacing w:before="40" w:after="40"/>
              <w:jc w:val="right"/>
            </w:pPr>
            <w:r>
              <w:rPr>
                <w:rFonts w:asciiTheme="minorHAnsi" w:hAnsiTheme="minorHAnsi" w:cstheme="minorHAnsi"/>
                <w:sz w:val="20"/>
                <w:szCs w:val="20"/>
              </w:rPr>
              <w:t xml:space="preserve">33.89</w:t>
            </w:r>
          </w:p>
        </w:tc>
        <w:tc>
          <w:tcPr>
            <w:tcW w:w="1717" w:type="dxa"/>
            <w:vAlign w:val="center"/>
          </w:tcPr>
          <w:p>
            <w:pPr>
              <w:spacing w:before="40" w:after="40"/>
              <w:jc w:val="right"/>
            </w:pPr>
            <w:r>
              <w:rPr>
                <w:rFonts w:asciiTheme="minorHAnsi" w:hAnsiTheme="minorHAnsi" w:cstheme="minorHAnsi"/>
                <w:sz w:val="20"/>
                <w:szCs w:val="20"/>
              </w:rPr>
              <w:t xml:space="preserve">34.27</w:t>
            </w:r>
          </w:p>
        </w:tc>
        <w:tc>
          <w:tcPr>
            <w:tcW w:w="1716" w:type="dxa"/>
            <w:vAlign w:val="center"/>
          </w:tcPr>
          <w:p>
            <w:pPr>
              <w:spacing w:before="40" w:after="40"/>
              <w:jc w:val="right"/>
            </w:pPr>
            <w:r>
              <w:rPr>
                <w:rFonts w:asciiTheme="minorHAnsi" w:hAnsiTheme="minorHAnsi" w:cstheme="minorHAnsi"/>
                <w:sz w:val="20"/>
                <w:szCs w:val="20"/>
              </w:rPr>
              <w:t xml:space="preserve">34.66</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Contribution per account-month (ARPU – variable cost)</w:t>
            </w:r>
          </w:p>
        </w:tc>
        <w:tc>
          <w:tcPr>
            <w:tcW w:w="1717" w:type="dxa"/>
            <w:vAlign w:val="center"/>
          </w:tcPr>
          <w:p>
            <w:pPr>
              <w:spacing w:before="40" w:after="40"/>
              <w:jc w:val="right"/>
            </w:pPr>
            <w:r>
              <w:rPr>
                <w:rFonts w:asciiTheme="minorHAnsi" w:hAnsiTheme="minorHAnsi" w:cstheme="minorHAnsi"/>
                <w:sz w:val="20"/>
                <w:szCs w:val="20"/>
              </w:rPr>
              <w:t xml:space="preserve">201.61</w:t>
            </w:r>
          </w:p>
        </w:tc>
        <w:tc>
          <w:tcPr>
            <w:tcW w:w="1717" w:type="dxa"/>
            <w:vAlign w:val="center"/>
          </w:tcPr>
          <w:p>
            <w:pPr>
              <w:spacing w:before="40" w:after="40"/>
              <w:jc w:val="right"/>
            </w:pPr>
            <w:r>
              <w:rPr>
                <w:rFonts w:asciiTheme="minorHAnsi" w:hAnsiTheme="minorHAnsi" w:cstheme="minorHAnsi"/>
                <w:sz w:val="20"/>
                <w:szCs w:val="20"/>
              </w:rPr>
              <w:t xml:space="preserve">216.72</w:t>
            </w:r>
          </w:p>
        </w:tc>
        <w:tc>
          <w:tcPr>
            <w:tcW w:w="1716" w:type="dxa"/>
            <w:vAlign w:val="center"/>
          </w:tcPr>
          <w:p>
            <w:pPr>
              <w:spacing w:before="40" w:after="40"/>
              <w:jc w:val="right"/>
            </w:pPr>
            <w:r>
              <w:rPr>
                <w:rFonts w:asciiTheme="minorHAnsi" w:hAnsiTheme="minorHAnsi" w:cstheme="minorHAnsi"/>
                <w:sz w:val="20"/>
                <w:szCs w:val="20"/>
              </w:rPr>
              <w:t xml:space="preserve">231.84</w:t>
            </w:r>
          </w:p>
        </w:tc>
      </w:tr>
      <w:tr>
        <w:trPr>
          <w:cantSplit/>
        </w:trPr>
        <w:tc>
          <w:tcPr>
            <w:tcW w:w="5150" w:type="dxa"/>
            <w:vAlign w:val="center"/>
          </w:tcPr>
          <w:p>
            <w:pPr>
              <w:spacing w:before="40" w:after="40"/>
              <w:jc w:val="left"/>
            </w:pPr>
            <w:r>
              <w:rPr>
                <w:rFonts w:asciiTheme="minorHAnsi" w:hAnsiTheme="minorHAnsi" w:cstheme="minorHAnsi"/>
                <w:b/>
                <w:bCs/>
                <w:sz w:val="20"/>
                <w:szCs w:val="20"/>
              </w:rPr>
              <w:t xml:space="preserve">Paying accounts needed to break even</w:t>
            </w:r>
          </w:p>
        </w:tc>
        <w:tc>
          <w:tcPr>
            <w:tcW w:w="1717" w:type="dxa"/>
            <w:vAlign w:val="center"/>
          </w:tcPr>
          <w:p>
            <w:pPr>
              <w:spacing w:before="40" w:after="40"/>
              <w:jc w:val="right"/>
            </w:pPr>
            <w:r>
              <w:rPr>
                <w:rFonts w:asciiTheme="minorHAnsi" w:hAnsiTheme="minorHAnsi" w:cstheme="minorHAnsi"/>
                <w:b/>
                <w:bCs/>
                <w:sz w:val="20"/>
                <w:szCs w:val="20"/>
              </w:rPr>
              <w:t xml:space="preserve">199</w:t>
            </w:r>
          </w:p>
        </w:tc>
        <w:tc>
          <w:tcPr>
            <w:tcW w:w="1717" w:type="dxa"/>
            <w:vAlign w:val="center"/>
          </w:tcPr>
          <w:p>
            <w:pPr>
              <w:spacing w:before="40" w:after="40"/>
              <w:jc w:val="right"/>
            </w:pPr>
            <w:r>
              <w:rPr>
                <w:rFonts w:asciiTheme="minorHAnsi" w:hAnsiTheme="minorHAnsi" w:cstheme="minorHAnsi"/>
                <w:b/>
                <w:bCs/>
                <w:sz w:val="20"/>
                <w:szCs w:val="20"/>
              </w:rPr>
              <w:t xml:space="preserve">414</w:t>
            </w:r>
          </w:p>
        </w:tc>
        <w:tc>
          <w:tcPr>
            <w:tcW w:w="1716" w:type="dxa"/>
            <w:vAlign w:val="center"/>
          </w:tcPr>
          <w:p>
            <w:pPr>
              <w:spacing w:before="40" w:after="40"/>
              <w:jc w:val="right"/>
            </w:pPr>
            <w:r>
              <w:rPr>
                <w:rFonts w:asciiTheme="minorHAnsi" w:hAnsiTheme="minorHAnsi" w:cstheme="minorHAnsi"/>
                <w:b/>
                <w:bCs/>
                <w:sz w:val="20"/>
                <w:szCs w:val="20"/>
              </w:rPr>
              <w:t xml:space="preserve">614</w:t>
            </w:r>
          </w:p>
        </w:tc>
      </w:tr>
      <w:tr>
        <w:trPr>
          <w:cantSplit/>
        </w:trPr>
        <w:tc>
          <w:tcPr>
            <w:tcW w:w="5150" w:type="dxa"/>
            <w:vAlign w:val="center"/>
          </w:tcPr>
          <w:p>
            <w:pPr>
              <w:spacing w:before="40" w:after="40"/>
              <w:jc w:val="left"/>
            </w:pPr>
            <w:r>
              <w:rPr>
                <w:rFonts w:asciiTheme="minorHAnsi" w:hAnsiTheme="minorHAnsi" w:cstheme="minorHAnsi"/>
                <w:sz w:val="20"/>
                <w:szCs w:val="20"/>
              </w:rPr>
              <w:t xml:space="preserve">Average paying accounts in the year</w:t>
            </w:r>
          </w:p>
        </w:tc>
        <w:tc>
          <w:tcPr>
            <w:tcW w:w="1717" w:type="dxa"/>
            <w:vAlign w:val="center"/>
          </w:tcPr>
          <w:p>
            <w:pPr>
              <w:spacing w:before="40" w:after="40"/>
              <w:jc w:val="right"/>
            </w:pPr>
            <w:r>
              <w:rPr>
                <w:rFonts w:asciiTheme="minorHAnsi" w:hAnsiTheme="minorHAnsi" w:cstheme="minorHAnsi"/>
                <w:sz w:val="20"/>
                <w:szCs w:val="20"/>
              </w:rPr>
              <w:t xml:space="preserve">62</w:t>
            </w:r>
          </w:p>
        </w:tc>
        <w:tc>
          <w:tcPr>
            <w:tcW w:w="1717" w:type="dxa"/>
            <w:vAlign w:val="center"/>
          </w:tcPr>
          <w:p>
            <w:pPr>
              <w:spacing w:before="40" w:after="40"/>
              <w:jc w:val="right"/>
            </w:pPr>
            <w:r>
              <w:rPr>
                <w:rFonts w:asciiTheme="minorHAnsi" w:hAnsiTheme="minorHAnsi" w:cstheme="minorHAnsi"/>
                <w:sz w:val="20"/>
                <w:szCs w:val="20"/>
              </w:rPr>
              <w:t xml:space="preserve">288</w:t>
            </w:r>
          </w:p>
        </w:tc>
        <w:tc>
          <w:tcPr>
            <w:tcW w:w="1716" w:type="dxa"/>
            <w:vAlign w:val="center"/>
          </w:tcPr>
          <w:p>
            <w:pPr>
              <w:spacing w:before="40" w:after="40"/>
              <w:jc w:val="right"/>
            </w:pPr>
            <w:r>
              <w:rPr>
                <w:rFonts w:asciiTheme="minorHAnsi" w:hAnsiTheme="minorHAnsi" w:cstheme="minorHAnsi"/>
                <w:sz w:val="20"/>
                <w:szCs w:val="20"/>
              </w:rPr>
              <w:t xml:space="preserve">670</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On Year 3 costs, Tempo needs about 610 paying accounts to cover monthly costs. The plan passes that level during the second quarter of Year 3 (650 accounts at the end of Q2), so </w:t>
      </w:r>
      <w:r>
        <w:rPr>
          <w:rFonts w:asciiTheme="minorHAnsi" w:hAnsiTheme="minorHAnsi" w:cstheme="minorHAnsi"/>
          <w:b/>
          <w:bCs/>
          <w:sz w:val="24"/>
          <w:szCs w:val="24"/>
        </w:rPr>
        <w:t xml:space="preserve">monthly operating break-even is expected in mid-2029</w:t>
      </w:r>
      <w:r>
        <w:rPr>
          <w:rFonts w:asciiTheme="minorHAnsi" w:hAnsiTheme="minorHAnsi" w:cstheme="minorHAnsi"/>
          <w:sz w:val="24"/>
          <w:szCs w:val="24"/>
        </w:rPr>
        <w:t xml:space="preserve">, with a full-year profit in Year 3. Cumulative results are still negative at the end of Year 3 (retained deficit of SAR 601,990), so investors would recover their capital only after the three-year horizon. Contribution per account is high (about SAR 230), so the business model is sound if customer numbers are reached.</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Sensitivity</w:t>
      </w:r>
    </w:p>
    <w:p>
      <w:pPr>
        <w:pStyle w:val="ListParagraph"/>
        <w:spacing w:before="0" w:after="120"/>
        <w:contextualSpacing w:val="0"/>
        <w:jc w:val="both"/>
      </w:pPr>
      <w:r>
        <w:rPr>
          <w:rFonts w:asciiTheme="minorHAnsi" w:hAnsiTheme="minorHAnsi" w:cstheme="minorHAnsi"/>
          <w:sz w:val="24"/>
          <w:szCs w:val="24"/>
        </w:rPr>
        <w:t xml:space="preserve">If paying accounts reach only 70% of plan, revenue falls to SAR 123,637, 606,165 and 1,499,862 and results to SAR (374,454), (553,259) and (402,218) (net, before zakat). Cash is then exhausted around the end of Year 2 unless costs are reduced, so hiring in Years 2 and 3 must be tied to actual customer numbers (see the validation gates in Section 10). In a downside case the team can delay the AI/ML, support and Year 3 hires, which would reduce salary costs by about SAR 252,000 in Year 2 and SAR 510,000 in Year 3.</w:t>
      </w: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General Risk Factors</w:t>
      </w:r>
    </w:p>
    <w:p>
      <w:pPr>
        <w:pStyle w:val="ListParagraph"/>
        <w:spacing w:before="0" w:after="60"/>
        <w:contextualSpacing w:val="0"/>
        <w:jc w:val="both"/>
      </w:pPr>
      <w:r>
        <w:rPr>
          <w:rFonts w:asciiTheme="minorHAnsi" w:hAnsiTheme="minorHAnsi" w:cstheme="minorHAnsi"/>
          <w:sz w:val="24"/>
          <w:szCs w:val="24"/>
        </w:rPr>
        <w:t xml:space="preserve">The main risks are listed below with their likelihood and impact (H = high, M = medium, L = low) and the planned response.</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19. Risk register</w:t>
      </w:r>
    </w:p>
    <w:tbl>
      <w:tblPr>
        <w:tblStyle w:val="TableGrid"/>
        <w:tblW w:w="10300" w:type="dxa"/>
        <w:jc w:val="center"/>
        <w:tblLayout w:type="fixed"/>
        <w:tblLook w:val="04A0" w:firstRow="1" w:lastRow="0" w:firstColumn="1" w:lastColumn="0" w:noHBand="0" w:noVBand="1"/>
      </w:tblPr>
      <w:tblGrid>
        <w:gridCol w:w="3777"/>
        <w:gridCol w:w="458"/>
        <w:gridCol w:w="458"/>
        <w:gridCol w:w="5607"/>
      </w:tblGrid>
      <w:tr>
        <w:trPr>
          <w:cantSplit/>
          <w:tblHeader/>
        </w:trPr>
        <w:tc>
          <w:tcPr>
            <w:tcW w:w="3777" w:type="dxa"/>
            <w:vAlign w:val="center"/>
          </w:tcPr>
          <w:p>
            <w:pPr>
              <w:spacing w:before="40" w:after="40"/>
              <w:jc w:val="center"/>
            </w:pPr>
            <w:r>
              <w:rPr>
                <w:rFonts w:asciiTheme="minorHAnsi" w:hAnsiTheme="minorHAnsi" w:cstheme="minorHAnsi"/>
                <w:b/>
                <w:bCs/>
                <w:sz w:val="20"/>
                <w:szCs w:val="20"/>
              </w:rPr>
              <w:t xml:space="preserve">Risk</w:t>
            </w:r>
          </w:p>
        </w:tc>
        <w:tc>
          <w:tcPr>
            <w:tcW w:w="458" w:type="dxa"/>
            <w:vAlign w:val="center"/>
          </w:tcPr>
          <w:p>
            <w:pPr>
              <w:spacing w:before="40" w:after="40"/>
              <w:jc w:val="center"/>
            </w:pPr>
            <w:r>
              <w:rPr>
                <w:rFonts w:asciiTheme="minorHAnsi" w:hAnsiTheme="minorHAnsi" w:cstheme="minorHAnsi"/>
                <w:b/>
                <w:bCs/>
                <w:sz w:val="20"/>
                <w:szCs w:val="20"/>
              </w:rPr>
              <w:t xml:space="preserve">L</w:t>
            </w:r>
          </w:p>
        </w:tc>
        <w:tc>
          <w:tcPr>
            <w:tcW w:w="458" w:type="dxa"/>
            <w:vAlign w:val="center"/>
          </w:tcPr>
          <w:p>
            <w:pPr>
              <w:spacing w:before="40" w:after="40"/>
              <w:jc w:val="center"/>
            </w:pPr>
            <w:r>
              <w:rPr>
                <w:rFonts w:asciiTheme="minorHAnsi" w:hAnsiTheme="minorHAnsi" w:cstheme="minorHAnsi"/>
                <w:b/>
                <w:bCs/>
                <w:sz w:val="20"/>
                <w:szCs w:val="20"/>
              </w:rPr>
              <w:t xml:space="preserve">I</w:t>
            </w:r>
          </w:p>
        </w:tc>
        <w:tc>
          <w:tcPr>
            <w:tcW w:w="5607" w:type="dxa"/>
            <w:vAlign w:val="center"/>
          </w:tcPr>
          <w:p>
            <w:pPr>
              <w:spacing w:before="40" w:after="40"/>
              <w:jc w:val="center"/>
            </w:pPr>
            <w:r>
              <w:rPr>
                <w:rFonts w:asciiTheme="minorHAnsi" w:hAnsiTheme="minorHAnsi" w:cstheme="minorHAnsi"/>
                <w:b/>
                <w:bCs/>
                <w:sz w:val="20"/>
                <w:szCs w:val="20"/>
              </w:rPr>
              <w:t xml:space="preserve">Mitigation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Dependence on third-party APIs (Snapchat, X, Instagram): access denied, delayed or removed</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Start approvals in Sprint 0; launch X and Instagram first; build each integration behind an adapter; CSV import fallback; communicate limits to users</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Platform policy, pricing and rate-limit changes</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Monitor developer announcements; cache data; budget API fees; avoid features that depend on a single endpoint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Competition: global tools add Arabic AI or lower prices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Focus on Saudi dialect quality, local insights and agency workflow; keep SAR pricing and local support; release quickly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Slow customer acquisition and low free-to-paid conversion</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Stage-gated spending; early agency pilots; track conversion weekly; adjust pricing and onboarding using beta data</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output quality, errors or unsuitable content</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Human review before publishing; native-speaker evaluation set; content filters; user ratings and prompt improvement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Weak Saudi/Hijazi dialect quality</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Dialect-specific prompts and examples; test with users from each city; AI/ML engineer owns dialect quality</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Data privacy non-compliance (PDPL)</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Privacy-by-design, minimal data, clear consent and deletion, legal review before launch, Saudi-region hosting</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Cybersecurity incident or token theft</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Encryption, least-privilege scopes, MFA, audit logs, penetration test, incident response plan</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AI usage costs exceed assumptions</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Usage caps per plan, caching, lower-cost models for simple tasks, provider-independent layer</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Scalability and performance</w:t>
            </w:r>
          </w:p>
        </w:tc>
        <w:tc>
          <w:tcPr>
            <w:tcW w:w="458" w:type="dxa"/>
            <w:vAlign w:val="center"/>
          </w:tcPr>
          <w:p>
            <w:pPr>
              <w:spacing w:before="40" w:after="40"/>
              <w:jc w:val="center"/>
            </w:pPr>
            <w:r>
              <w:rPr>
                <w:rFonts w:asciiTheme="minorHAnsi" w:hAnsiTheme="minorHAnsi" w:cstheme="minorHAnsi"/>
                <w:sz w:val="20"/>
                <w:szCs w:val="20"/>
              </w:rPr>
              <w:t xml:space="preserve">L</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Stateless design, queued jobs, managed services, load tests before launch</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Schedule delay or founder overload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5607" w:type="dxa"/>
            <w:vAlign w:val="center"/>
          </w:tcPr>
          <w:p>
            <w:pPr>
              <w:spacing w:before="40" w:after="40"/>
              <w:jc w:val="left"/>
            </w:pPr>
            <w:r>
              <w:rPr>
                <w:rFonts w:asciiTheme="minorHAnsi" w:hAnsiTheme="minorHAnsi" w:cstheme="minorHAnsi"/>
                <w:sz w:val="20"/>
                <w:szCs w:val="20"/>
              </w:rPr>
              <w:t xml:space="preserve">Tight MVP scope, two-week sprints, reduce scope instead of moving date, hire when gates are met</w:t>
            </w:r>
          </w:p>
        </w:tc>
      </w:tr>
      <w:tr>
        <w:trPr>
          <w:cantSplit/>
        </w:trPr>
        <w:tc>
          <w:tcPr>
            <w:tcW w:w="3777" w:type="dxa"/>
            <w:vAlign w:val="center"/>
          </w:tcPr>
          <w:p>
            <w:pPr>
              <w:spacing w:before="40" w:after="40"/>
              <w:jc w:val="left"/>
            </w:pPr>
            <w:r>
              <w:rPr>
                <w:rFonts w:asciiTheme="minorHAnsi" w:hAnsiTheme="minorHAnsi" w:cstheme="minorHAnsi"/>
                <w:sz w:val="20"/>
                <w:szCs w:val="20"/>
              </w:rPr>
              <w:t xml:space="preserve">Financial uncertainty and funding not secured</w:t>
            </w:r>
          </w:p>
        </w:tc>
        <w:tc>
          <w:tcPr>
            <w:tcW w:w="458" w:type="dxa"/>
            <w:vAlign w:val="center"/>
          </w:tcPr>
          <w:p>
            <w:pPr>
              <w:spacing w:before="40" w:after="40"/>
              <w:jc w:val="center"/>
            </w:pPr>
            <w:r>
              <w:rPr>
                <w:rFonts w:asciiTheme="minorHAnsi" w:hAnsiTheme="minorHAnsi" w:cstheme="minorHAnsi"/>
                <w:sz w:val="20"/>
                <w:szCs w:val="20"/>
              </w:rPr>
              <w:t xml:space="preserve">M</w:t>
            </w:r>
          </w:p>
        </w:tc>
        <w:tc>
          <w:tcPr>
            <w:tcW w:w="458" w:type="dxa"/>
            <w:vAlign w:val="center"/>
          </w:tcPr>
          <w:p>
            <w:pPr>
              <w:spacing w:before="40" w:after="40"/>
              <w:jc w:val="center"/>
            </w:pPr>
            <w:r>
              <w:rPr>
                <w:rFonts w:asciiTheme="minorHAnsi" w:hAnsiTheme="minorHAnsi" w:cstheme="minorHAnsi"/>
                <w:sz w:val="20"/>
                <w:szCs w:val="20"/>
              </w:rPr>
              <w:t xml:space="preserve">H</w:t>
            </w:r>
          </w:p>
        </w:tc>
        <w:tc>
          <w:tcPr>
            <w:tcW w:w="5607" w:type="dxa"/>
            <w:vAlign w:val="center"/>
          </w:tcPr>
          <w:p>
            <w:pPr>
              <w:spacing w:before="40" w:after="40"/>
              <w:jc w:val="left"/>
            </w:pPr>
            <w:r>
              <w:rPr>
                <w:rFonts w:asciiTheme="minorHAnsi" w:hAnsiTheme="minorHAnsi" w:cstheme="minorHAnsi"/>
                <w:sz w:val="20"/>
                <w:szCs w:val="20"/>
              </w:rPr>
              <w:t xml:space="preserve">Spend only against gates; keep a cash reserve; prepare downside plan (Section 8); seek grants and incubator support</w:t>
            </w:r>
          </w:p>
        </w:tc>
      </w:tr>
    </w:tbl>
    <w:p>
      <w:pPr>
        <w:spacing w:after="0"/>
      </w:pPr>
    </w:p>
    <w:p>
      <w:pPr>
        <w:pStyle w:val="ListParagraph"/>
        <w:keepNext/>
        <w:numPr>
          <w:ilvl w:val="0"/>
          <w:numId w:val="33"/>
        </w:numPr>
        <w:spacing w:before="240" w:after="12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Findings and Recommendations</w:t>
      </w:r>
    </w:p>
    <w:p>
      <w:pPr>
        <w:pStyle w:val="ListParagraph"/>
        <w:spacing w:before="0" w:after="120"/>
        <w:contextualSpacing w:val="0"/>
        <w:jc w:val="both"/>
      </w:pPr>
      <w:r>
        <w:rPr>
          <w:rFonts w:asciiTheme="minorHAnsi" w:hAnsiTheme="minorHAnsi" w:cstheme="minorHAnsi"/>
          <w:sz w:val="24"/>
          <w:szCs w:val="24"/>
        </w:rPr>
        <w:t xml:space="preserve">Based on this study, we recommend that the project proceed, but only as an </w:t>
      </w:r>
      <w:r>
        <w:rPr>
          <w:rFonts w:asciiTheme="minorHAnsi" w:hAnsiTheme="minorHAnsi" w:cstheme="minorHAnsi"/>
          <w:b/>
          <w:bCs/>
          <w:sz w:val="24"/>
          <w:szCs w:val="24"/>
        </w:rPr>
        <w:t xml:space="preserve">MVP-first, stage-gated launch</w:t>
      </w:r>
      <w:r>
        <w:rPr>
          <w:rFonts w:asciiTheme="minorHAnsi" w:hAnsiTheme="minorHAnsi" w:cstheme="minorHAnsi"/>
          <w:sz w:val="24"/>
          <w:szCs w:val="24"/>
        </w:rPr>
        <w:t xml:space="preserve">. Tempo is feasible under the conditions below; it is not a low-risk project, and its financial return depends on reaching roughly 600 paying accounts.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20. Feasibility conclusions</w:t>
      </w:r>
    </w:p>
    <w:tbl>
      <w:tblPr>
        <w:tblStyle w:val="TableGrid"/>
        <w:tblW w:w="10300" w:type="dxa"/>
        <w:jc w:val="center"/>
        <w:tblLayout w:type="fixed"/>
        <w:tblLook w:val="04A0" w:firstRow="1" w:lastRow="0" w:firstColumn="1" w:lastColumn="0" w:noHBand="0" w:noVBand="1"/>
      </w:tblPr>
      <w:tblGrid>
        <w:gridCol w:w="1717"/>
        <w:gridCol w:w="2174"/>
        <w:gridCol w:w="6409"/>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Dimension</w:t>
            </w:r>
          </w:p>
        </w:tc>
        <w:tc>
          <w:tcPr>
            <w:tcW w:w="2174" w:type="dxa"/>
            <w:vAlign w:val="center"/>
          </w:tcPr>
          <w:p>
            <w:pPr>
              <w:spacing w:before="40" w:after="40"/>
              <w:jc w:val="center"/>
            </w:pPr>
            <w:r>
              <w:rPr>
                <w:rFonts w:asciiTheme="minorHAnsi" w:hAnsiTheme="minorHAnsi" w:cstheme="minorHAnsi"/>
                <w:b/>
                <w:bCs/>
                <w:sz w:val="20"/>
                <w:szCs w:val="20"/>
              </w:rPr>
              <w:t xml:space="preserve">Conclusion</w:t>
            </w:r>
          </w:p>
        </w:tc>
        <w:tc>
          <w:tcPr>
            <w:tcW w:w="6409" w:type="dxa"/>
            <w:vAlign w:val="center"/>
          </w:tcPr>
          <w:p>
            <w:pPr>
              <w:spacing w:before="40" w:after="40"/>
              <w:jc w:val="center"/>
            </w:pPr>
            <w:r>
              <w:rPr>
                <w:rFonts w:asciiTheme="minorHAnsi" w:hAnsiTheme="minorHAnsi" w:cstheme="minorHAnsi"/>
                <w:b/>
                <w:bCs/>
                <w:sz w:val="20"/>
                <w:szCs w:val="20"/>
              </w:rPr>
              <w:t xml:space="preserve">Feasible if</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Technical</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Core features use proven tools. Snapchat access is confirmed or replaced by a fallback, and AI dialect quality passes beta evaluation.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Operational</w:t>
            </w:r>
          </w:p>
        </w:tc>
        <w:tc>
          <w:tcPr>
            <w:tcW w:w="2174" w:type="dxa"/>
            <w:vAlign w:val="center"/>
          </w:tcPr>
          <w:p>
            <w:pPr>
              <w:spacing w:before="40" w:after="40"/>
              <w:jc w:val="left"/>
            </w:pPr>
            <w:r>
              <w:rPr>
                <w:rFonts w:asciiTheme="minorHAnsi" w:hAnsiTheme="minorHAnsi" w:cstheme="minorHAnsi"/>
                <w:sz w:val="20"/>
                <w:szCs w:val="20"/>
              </w:rPr>
              <w:t xml:space="preserve">Feasible with limits</w:t>
            </w:r>
          </w:p>
        </w:tc>
        <w:tc>
          <w:tcPr>
            <w:tcW w:w="6409" w:type="dxa"/>
            <w:vAlign w:val="center"/>
          </w:tcPr>
          <w:p>
            <w:pPr>
              <w:spacing w:before="40" w:after="40"/>
              <w:jc w:val="left"/>
            </w:pPr>
            <w:r>
              <w:rPr>
                <w:rFonts w:asciiTheme="minorHAnsi" w:hAnsiTheme="minorHAnsi" w:cstheme="minorHAnsi"/>
                <w:sz w:val="20"/>
                <w:szCs w:val="20"/>
              </w:rPr>
              <w:t xml:space="preserve">Three founders commit full time; hires are added only as revenue and gates allow; support and report quality hold as users grow.</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Market</w:t>
            </w:r>
          </w:p>
        </w:tc>
        <w:tc>
          <w:tcPr>
            <w:tcW w:w="2174" w:type="dxa"/>
            <w:vAlign w:val="center"/>
          </w:tcPr>
          <w:p>
            <w:pPr>
              <w:spacing w:before="40" w:after="40"/>
              <w:jc w:val="left"/>
            </w:pPr>
            <w:r>
              <w:rPr>
                <w:rFonts w:asciiTheme="minorHAnsi" w:hAnsiTheme="minorHAnsi" w:cstheme="minorHAnsi"/>
                <w:sz w:val="20"/>
                <w:szCs w:val="20"/>
              </w:rPr>
              <w:t xml:space="preserve">Feasible</w:t>
            </w:r>
          </w:p>
        </w:tc>
        <w:tc>
          <w:tcPr>
            <w:tcW w:w="6409" w:type="dxa"/>
            <w:vAlign w:val="center"/>
          </w:tcPr>
          <w:p>
            <w:pPr>
              <w:spacing w:before="40" w:after="40"/>
              <w:jc w:val="left"/>
            </w:pPr>
            <w:r>
              <w:rPr>
                <w:rFonts w:asciiTheme="minorHAnsi" w:hAnsiTheme="minorHAnsi" w:cstheme="minorHAnsi"/>
                <w:sz w:val="20"/>
                <w:szCs w:val="20"/>
              </w:rPr>
              <w:t xml:space="preserve">Beta users confirm the survey results and willingness to pay SAR 189; agencies adopt the Agency plan.</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Financial</w:t>
            </w:r>
          </w:p>
        </w:tc>
        <w:tc>
          <w:tcPr>
            <w:tcW w:w="2174" w:type="dxa"/>
            <w:vAlign w:val="center"/>
          </w:tcPr>
          <w:p>
            <w:pPr>
              <w:spacing w:before="40" w:after="40"/>
              <w:jc w:val="left"/>
            </w:pPr>
            <w:r>
              <w:rPr>
                <w:rFonts w:asciiTheme="minorHAnsi" w:hAnsiTheme="minorHAnsi" w:cstheme="minorHAnsi"/>
                <w:sz w:val="20"/>
                <w:szCs w:val="20"/>
              </w:rPr>
              <w:t xml:space="preserve">Conditionally feasible</w:t>
            </w:r>
          </w:p>
        </w:tc>
        <w:tc>
          <w:tcPr>
            <w:tcW w:w="6409" w:type="dxa"/>
            <w:vAlign w:val="center"/>
          </w:tcPr>
          <w:p>
            <w:pPr>
              <w:spacing w:before="40" w:after="40"/>
              <w:jc w:val="left"/>
            </w:pPr>
            <w:r>
              <w:rPr>
                <w:rFonts w:asciiTheme="minorHAnsi" w:hAnsiTheme="minorHAnsi" w:cstheme="minorHAnsi"/>
                <w:sz w:val="20"/>
                <w:szCs w:val="20"/>
              </w:rPr>
              <w:t xml:space="preserve">About SAR 1.0 million is raised in two stages; spending follows validation; accounts grow to roughly 600 or more within three years.</w:t>
            </w:r>
          </w:p>
        </w:tc>
      </w:tr>
    </w:tbl>
    <w:p>
      <w:pPr>
        <w:spacing w:after="0"/>
      </w:pPr>
    </w:p>
    <w:p>
      <w:pPr>
        <w:pStyle w:val="ListParagraph"/>
        <w:spacing w:before="0" w:after="60"/>
        <w:contextualSpacing w:val="0"/>
        <w:jc w:val="both"/>
      </w:pPr>
      <w:r>
        <w:rPr>
          <w:rFonts w:asciiTheme="minorHAnsi" w:hAnsiTheme="minorHAnsi" w:cstheme="minorHAnsi"/>
          <w:sz w:val="24"/>
          <w:szCs w:val="24"/>
        </w:rPr>
        <w:t xml:space="preserve">Key findings are as follows:</w:t>
      </w:r>
    </w:p>
    <w:p>
      <w:pPr>
        <w:pStyle w:val="ListParagraph"/>
        <w:keepNext/>
        <w:spacing w:before="0" w:after="40"/>
        <w:contextualSpacing w:val="0"/>
        <w:jc w:val="both"/>
      </w:pPr>
      <w:r>
        <w:rPr>
          <w:rFonts w:asciiTheme="minorHAnsi" w:hAnsiTheme="minorHAnsi" w:cstheme="minorHAnsi"/>
          <w:b/>
          <w:bCs/>
          <w:sz w:val="24"/>
          <w:szCs w:val="24"/>
        </w:rPr>
        <w:t xml:space="preserve">Technology:</w:t>
      </w:r>
    </w:p>
    <w:p>
      <w:pPr>
        <w:pStyle w:val="ListParagraph"/>
        <w:numPr>
          <w:ilvl w:val="0"/>
          <w:numId w:val="41"/>
        </w:numPr>
        <w:spacing w:after="60"/>
        <w:contextualSpacing w:val="0"/>
        <w:jc w:val="both"/>
      </w:pPr>
      <w:r>
        <w:rPr>
          <w:rFonts w:asciiTheme="minorHAnsi" w:hAnsiTheme="minorHAnsi" w:cstheme="minorHAnsi"/>
          <w:sz w:val="24"/>
          <w:szCs w:val="24"/>
        </w:rPr>
        <w:t xml:space="preserve">A modular web stack and a commercial LLM API keep build effort within the reach of a small team.</w:t>
      </w:r>
    </w:p>
    <w:p>
      <w:pPr>
        <w:pStyle w:val="ListParagraph"/>
        <w:numPr>
          <w:ilvl w:val="0"/>
          <w:numId w:val="41"/>
        </w:numPr>
        <w:spacing w:after="60"/>
        <w:contextualSpacing w:val="0"/>
        <w:jc w:val="both"/>
      </w:pPr>
      <w:r>
        <w:rPr>
          <w:rFonts w:asciiTheme="minorHAnsi" w:hAnsiTheme="minorHAnsi" w:cstheme="minorHAnsi"/>
          <w:sz w:val="24"/>
          <w:szCs w:val="24"/>
        </w:rPr>
        <w:t xml:space="preserve">Third-party API access, especially Snapchat, is the largest technical uncertainty and sets the release order.</w:t>
      </w:r>
    </w:p>
    <w:p>
      <w:pPr>
        <w:pStyle w:val="ListParagraph"/>
        <w:keepNext/>
        <w:spacing w:before="80" w:after="40"/>
        <w:contextualSpacing w:val="0"/>
        <w:jc w:val="both"/>
      </w:pPr>
      <w:r>
        <w:rPr>
          <w:rFonts w:asciiTheme="minorHAnsi" w:hAnsiTheme="minorHAnsi" w:cstheme="minorHAnsi"/>
          <w:b/>
          <w:bCs/>
          <w:sz w:val="24"/>
          <w:szCs w:val="24"/>
        </w:rPr>
        <w:t xml:space="preserve">Marketing:</w:t>
      </w:r>
    </w:p>
    <w:p>
      <w:pPr>
        <w:pStyle w:val="ListParagraph"/>
        <w:numPr>
          <w:ilvl w:val="0"/>
          <w:numId w:val="41"/>
        </w:numPr>
        <w:spacing w:after="60"/>
        <w:contextualSpacing w:val="0"/>
        <w:jc w:val="both"/>
      </w:pPr>
      <w:r>
        <w:rPr>
          <w:rFonts w:asciiTheme="minorHAnsi" w:hAnsiTheme="minorHAnsi" w:cstheme="minorHAnsi"/>
          <w:sz w:val="24"/>
          <w:szCs w:val="24"/>
        </w:rPr>
        <w:t xml:space="preserve">A real gap exists: no incumbent offers bilingual, Saudi-native, all-in-one marketing at an SME price.</w:t>
      </w:r>
    </w:p>
    <w:p>
      <w:pPr>
        <w:pStyle w:val="ListParagraph"/>
        <w:numPr>
          <w:ilvl w:val="0"/>
          <w:numId w:val="41"/>
        </w:numPr>
        <w:spacing w:after="60"/>
        <w:contextualSpacing w:val="0"/>
        <w:jc w:val="both"/>
      </w:pPr>
      <w:r>
        <w:rPr>
          <w:rFonts w:asciiTheme="minorHAnsi" w:hAnsiTheme="minorHAnsi" w:cstheme="minorHAnsi"/>
          <w:sz w:val="24"/>
          <w:szCs w:val="24"/>
        </w:rPr>
        <w:t xml:space="preserve">The survey sample (47 people in two cities) is small, so demand must be re-tested in the beta.</w:t>
      </w:r>
    </w:p>
    <w:p>
      <w:pPr>
        <w:pStyle w:val="ListParagraph"/>
        <w:keepNext/>
        <w:spacing w:before="80" w:after="40"/>
        <w:contextualSpacing w:val="0"/>
        <w:jc w:val="both"/>
      </w:pPr>
      <w:r>
        <w:rPr>
          <w:rFonts w:asciiTheme="minorHAnsi" w:hAnsiTheme="minorHAnsi" w:cstheme="minorHAnsi"/>
          <w:b/>
          <w:bCs/>
          <w:sz w:val="24"/>
          <w:szCs w:val="24"/>
        </w:rPr>
        <w:t xml:space="preserve">Organizational:</w:t>
      </w:r>
    </w:p>
    <w:p>
      <w:pPr>
        <w:pStyle w:val="ListParagraph"/>
        <w:numPr>
          <w:ilvl w:val="0"/>
          <w:numId w:val="41"/>
        </w:numPr>
        <w:spacing w:after="60"/>
        <w:contextualSpacing w:val="0"/>
        <w:jc w:val="both"/>
      </w:pPr>
      <w:r>
        <w:rPr>
          <w:rFonts w:asciiTheme="minorHAnsi" w:hAnsiTheme="minorHAnsi" w:cstheme="minorHAnsi"/>
          <w:sz w:val="24"/>
          <w:szCs w:val="24"/>
        </w:rPr>
        <w:t xml:space="preserve">A team of 3.5 FTE in Year 1 growing to 8 by Year 3 is realistic and avoids early fixed costs.</w:t>
      </w:r>
    </w:p>
    <w:p>
      <w:pPr>
        <w:pStyle w:val="ListParagraph"/>
        <w:keepNext/>
        <w:spacing w:before="80" w:after="40"/>
        <w:contextualSpacing w:val="0"/>
        <w:jc w:val="both"/>
      </w:pPr>
      <w:r>
        <w:rPr>
          <w:rFonts w:asciiTheme="minorHAnsi" w:hAnsiTheme="minorHAnsi" w:cstheme="minorHAnsi"/>
          <w:b/>
          <w:bCs/>
          <w:sz w:val="24"/>
          <w:szCs w:val="24"/>
        </w:rPr>
        <w:t xml:space="preserve">Financial:</w:t>
      </w:r>
    </w:p>
    <w:p>
      <w:pPr>
        <w:pStyle w:val="ListParagraph"/>
        <w:numPr>
          <w:ilvl w:val="0"/>
          <w:numId w:val="41"/>
        </w:numPr>
        <w:spacing w:after="60"/>
        <w:contextualSpacing w:val="0"/>
        <w:jc w:val="both"/>
      </w:pPr>
      <w:r>
        <w:rPr>
          <w:rFonts w:asciiTheme="minorHAnsi" w:hAnsiTheme="minorHAnsi" w:cstheme="minorHAnsi"/>
          <w:sz w:val="24"/>
          <w:szCs w:val="24"/>
        </w:rPr>
        <w:t xml:space="preserve">Gross margin is about 72–82% over the three years, so each additional account adds roughly SAR 200 to SAR 230 of monthly contribution.</w:t>
      </w:r>
    </w:p>
    <w:p>
      <w:pPr>
        <w:pStyle w:val="ListParagraph"/>
        <w:numPr>
          <w:ilvl w:val="0"/>
          <w:numId w:val="41"/>
        </w:numPr>
        <w:spacing w:after="120"/>
        <w:contextualSpacing w:val="0"/>
        <w:jc w:val="both"/>
      </w:pPr>
      <w:r>
        <w:rPr>
          <w:rFonts w:asciiTheme="minorHAnsi" w:hAnsiTheme="minorHAnsi" w:cstheme="minorHAnsi"/>
          <w:sz w:val="24"/>
          <w:szCs w:val="24"/>
        </w:rPr>
        <w:t xml:space="preserve">Net losses are expected in Years 1 and 2 (SAR 329,091 and SAR 328,949) and a small profit in Year 3 (SAR 153,050); capital is not recovered within three years.</w:t>
      </w:r>
    </w:p>
    <w:p>
      <w:pPr>
        <w:pStyle w:val="ListParagraph"/>
        <w:keepNext/>
        <w:numPr>
          <w:ilvl w:val="1"/>
          <w:numId w:val="33"/>
        </w:numPr>
        <w:spacing w:before="160" w:after="100"/>
        <w:contextualSpacing w:val="0"/>
        <w:jc w:val="both"/>
        <w:rPr>
          <w:rFonts w:asciiTheme="minorHAnsi" w:hAnsiTheme="minorHAnsi" w:cstheme="minorHAnsi"/>
          <w:b/>
          <w:bCs/>
          <w:color w:val="4E81BD"/>
          <w:sz w:val="24"/>
        </w:rPr>
      </w:pPr>
      <w:r>
        <w:rPr>
          <w:rFonts w:asciiTheme="minorHAnsi" w:hAnsiTheme="minorHAnsi" w:cstheme="minorHAnsi"/>
          <w:b/>
          <w:bCs/>
          <w:color w:val="4E81BD"/>
          <w:sz w:val="24"/>
        </w:rPr>
        <w:t xml:space="preserve">Recommended validation gates</w:t>
      </w:r>
    </w:p>
    <w:p>
      <w:pPr>
        <w:pStyle w:val="ListParagraph"/>
        <w:keepNext/>
        <w:spacing w:before="100" w:after="60"/>
        <w:contextualSpacing w:val="0"/>
        <w:jc w:val="left"/>
      </w:pPr>
      <w:r>
        <w:rPr>
          <w:rFonts w:asciiTheme="minorHAnsi" w:hAnsiTheme="minorHAnsi" w:cstheme="minorHAnsi"/>
          <w:i/>
          <w:iCs/>
          <w:color w:val="4E81BD"/>
          <w:sz w:val="20"/>
          <w:szCs w:val="20"/>
        </w:rPr>
        <w:t xml:space="preserve">Table 21. Stage gates for releasing spending</w:t>
      </w:r>
    </w:p>
    <w:tbl>
      <w:tblPr>
        <w:tblStyle w:val="TableGrid"/>
        <w:tblW w:w="10300" w:type="dxa"/>
        <w:jc w:val="center"/>
        <w:tblLayout w:type="fixed"/>
        <w:tblLook w:val="04A0" w:firstRow="1" w:lastRow="0" w:firstColumn="1" w:lastColumn="0" w:noHBand="0" w:noVBand="1"/>
      </w:tblPr>
      <w:tblGrid>
        <w:gridCol w:w="1717"/>
        <w:gridCol w:w="1144"/>
        <w:gridCol w:w="4578"/>
        <w:gridCol w:w="2861"/>
      </w:tblGrid>
      <w:tr>
        <w:trPr>
          <w:cantSplit/>
          <w:tblHeader/>
        </w:trPr>
        <w:tc>
          <w:tcPr>
            <w:tcW w:w="1717" w:type="dxa"/>
            <w:vAlign w:val="center"/>
          </w:tcPr>
          <w:p>
            <w:pPr>
              <w:spacing w:before="40" w:after="40"/>
              <w:jc w:val="center"/>
            </w:pPr>
            <w:r>
              <w:rPr>
                <w:rFonts w:asciiTheme="minorHAnsi" w:hAnsiTheme="minorHAnsi" w:cstheme="minorHAnsi"/>
                <w:b/>
                <w:bCs/>
                <w:sz w:val="20"/>
                <w:szCs w:val="20"/>
              </w:rPr>
              <w:t xml:space="preserve">Gate</w:t>
            </w:r>
          </w:p>
        </w:tc>
        <w:tc>
          <w:tcPr>
            <w:tcW w:w="1144" w:type="dxa"/>
            <w:vAlign w:val="center"/>
          </w:tcPr>
          <w:p>
            <w:pPr>
              <w:spacing w:before="40" w:after="40"/>
              <w:jc w:val="center"/>
            </w:pPr>
            <w:r>
              <w:rPr>
                <w:rFonts w:asciiTheme="minorHAnsi" w:hAnsiTheme="minorHAnsi" w:cstheme="minorHAnsi"/>
                <w:b/>
                <w:bCs/>
                <w:sz w:val="20"/>
                <w:szCs w:val="20"/>
              </w:rPr>
              <w:t xml:space="preserve">When</w:t>
            </w:r>
          </w:p>
        </w:tc>
        <w:tc>
          <w:tcPr>
            <w:tcW w:w="4578" w:type="dxa"/>
            <w:vAlign w:val="center"/>
          </w:tcPr>
          <w:p>
            <w:pPr>
              <w:spacing w:before="40" w:after="40"/>
              <w:jc w:val="center"/>
            </w:pPr>
            <w:r>
              <w:rPr>
                <w:rFonts w:asciiTheme="minorHAnsi" w:hAnsiTheme="minorHAnsi" w:cstheme="minorHAnsi"/>
                <w:b/>
                <w:bCs/>
                <w:sz w:val="20"/>
                <w:szCs w:val="20"/>
              </w:rPr>
              <w:t xml:space="preserve">Evidence required</w:t>
            </w:r>
          </w:p>
        </w:tc>
        <w:tc>
          <w:tcPr>
            <w:tcW w:w="2861" w:type="dxa"/>
            <w:vAlign w:val="center"/>
          </w:tcPr>
          <w:p>
            <w:pPr>
              <w:spacing w:before="40" w:after="40"/>
              <w:jc w:val="center"/>
            </w:pPr>
            <w:r>
              <w:rPr>
                <w:rFonts w:asciiTheme="minorHAnsi" w:hAnsiTheme="minorHAnsi" w:cstheme="minorHAnsi"/>
                <w:b/>
                <w:bCs/>
                <w:sz w:val="20"/>
                <w:szCs w:val="20"/>
              </w:rPr>
              <w:t xml:space="preserve">Decision if met</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1. Public launch</w:t>
            </w:r>
          </w:p>
        </w:tc>
        <w:tc>
          <w:tcPr>
            <w:tcW w:w="1144" w:type="dxa"/>
            <w:vAlign w:val="center"/>
          </w:tcPr>
          <w:p>
            <w:pPr>
              <w:spacing w:before="40" w:after="40"/>
              <w:jc w:val="left"/>
            </w:pPr>
            <w:r>
              <w:rPr>
                <w:rFonts w:asciiTheme="minorHAnsi" w:hAnsiTheme="minorHAnsi" w:cstheme="minorHAnsi"/>
                <w:sz w:val="20"/>
                <w:szCs w:val="20"/>
              </w:rPr>
              <w:t xml:space="preserve">Feb 2027</w:t>
            </w:r>
          </w:p>
        </w:tc>
        <w:tc>
          <w:tcPr>
            <w:tcW w:w="4578" w:type="dxa"/>
            <w:vAlign w:val="center"/>
          </w:tcPr>
          <w:p>
            <w:pPr>
              <w:spacing w:before="40" w:after="40"/>
              <w:jc w:val="left"/>
            </w:pPr>
            <w:r>
              <w:rPr>
                <w:rFonts w:asciiTheme="minorHAnsi" w:hAnsiTheme="minorHAnsi" w:cstheme="minorHAnsi"/>
                <w:sz w:val="20"/>
                <w:szCs w:val="20"/>
              </w:rPr>
              <w:t xml:space="preserve">About 40 beta users; most rate Arabic output as usable with light editing; X and Instagram publishing stable; security test passed</w:t>
            </w:r>
          </w:p>
        </w:tc>
        <w:tc>
          <w:tcPr>
            <w:tcW w:w="2861" w:type="dxa"/>
            <w:vAlign w:val="center"/>
          </w:tcPr>
          <w:p>
            <w:pPr>
              <w:spacing w:before="40" w:after="40"/>
              <w:jc w:val="left"/>
            </w:pPr>
            <w:r>
              <w:rPr>
                <w:rFonts w:asciiTheme="minorHAnsi" w:hAnsiTheme="minorHAnsi" w:cstheme="minorHAnsi"/>
                <w:sz w:val="20"/>
                <w:szCs w:val="20"/>
              </w:rPr>
              <w:t xml:space="preserve">Open paid access and start Starter marketing</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2. Agency and hiring</w:t>
            </w:r>
          </w:p>
        </w:tc>
        <w:tc>
          <w:tcPr>
            <w:tcW w:w="1144" w:type="dxa"/>
            <w:vAlign w:val="center"/>
          </w:tcPr>
          <w:p>
            <w:pPr>
              <w:spacing w:before="40" w:after="40"/>
              <w:jc w:val="left"/>
            </w:pPr>
            <w:r>
              <w:rPr>
                <w:rFonts w:asciiTheme="minorHAnsi" w:hAnsiTheme="minorHAnsi" w:cstheme="minorHAnsi"/>
                <w:sz w:val="20"/>
                <w:szCs w:val="20"/>
              </w:rPr>
              <w:t xml:space="preserve">Jun 2027</w:t>
            </w:r>
          </w:p>
        </w:tc>
        <w:tc>
          <w:tcPr>
            <w:tcW w:w="4578" w:type="dxa"/>
            <w:vAlign w:val="center"/>
          </w:tcPr>
          <w:p>
            <w:pPr>
              <w:spacing w:before="40" w:after="40"/>
              <w:jc w:val="left"/>
            </w:pPr>
            <w:r>
              <w:rPr>
                <w:rFonts w:asciiTheme="minorHAnsi" w:hAnsiTheme="minorHAnsi" w:cstheme="minorHAnsi"/>
                <w:sz w:val="20"/>
                <w:szCs w:val="20"/>
              </w:rPr>
              <w:t xml:space="preserve">At least 55 paying accounts; monthly churn at or below 5%; at least 5 agencies in pilot</w:t>
            </w:r>
          </w:p>
        </w:tc>
        <w:tc>
          <w:tcPr>
            <w:tcW w:w="2861" w:type="dxa"/>
            <w:vAlign w:val="center"/>
          </w:tcPr>
          <w:p>
            <w:pPr>
              <w:spacing w:before="40" w:after="40"/>
              <w:jc w:val="left"/>
            </w:pPr>
            <w:r>
              <w:rPr>
                <w:rFonts w:asciiTheme="minorHAnsi" w:hAnsiTheme="minorHAnsi" w:cstheme="minorHAnsi"/>
                <w:sz w:val="20"/>
                <w:szCs w:val="20"/>
              </w:rPr>
              <w:t xml:space="preserve">Release agency features; plan Year 2 hires</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3. GCC pilot</w:t>
            </w:r>
          </w:p>
        </w:tc>
        <w:tc>
          <w:tcPr>
            <w:tcW w:w="1144" w:type="dxa"/>
            <w:vAlign w:val="center"/>
          </w:tcPr>
          <w:p>
            <w:pPr>
              <w:spacing w:before="40" w:after="40"/>
              <w:jc w:val="left"/>
            </w:pPr>
            <w:r>
              <w:rPr>
                <w:rFonts w:asciiTheme="minorHAnsi" w:hAnsiTheme="minorHAnsi" w:cstheme="minorHAnsi"/>
                <w:sz w:val="20"/>
                <w:szCs w:val="20"/>
              </w:rPr>
              <w:t xml:space="preserve">Sep 2027</w:t>
            </w:r>
          </w:p>
        </w:tc>
        <w:tc>
          <w:tcPr>
            <w:tcW w:w="4578" w:type="dxa"/>
            <w:vAlign w:val="center"/>
          </w:tcPr>
          <w:p>
            <w:pPr>
              <w:spacing w:before="40" w:after="40"/>
              <w:jc w:val="left"/>
            </w:pPr>
            <w:r>
              <w:rPr>
                <w:rFonts w:asciiTheme="minorHAnsi" w:hAnsiTheme="minorHAnsi" w:cstheme="minorHAnsi"/>
                <w:sz w:val="20"/>
                <w:szCs w:val="20"/>
              </w:rPr>
              <w:t xml:space="preserve">At least 100 paying accounts; positive contribution per account; second funding round progressing</w:t>
            </w:r>
          </w:p>
        </w:tc>
        <w:tc>
          <w:tcPr>
            <w:tcW w:w="2861" w:type="dxa"/>
            <w:vAlign w:val="center"/>
          </w:tcPr>
          <w:p>
            <w:pPr>
              <w:spacing w:before="40" w:after="40"/>
              <w:jc w:val="left"/>
            </w:pPr>
            <w:r>
              <w:rPr>
                <w:rFonts w:asciiTheme="minorHAnsi" w:hAnsiTheme="minorHAnsi" w:cstheme="minorHAnsi"/>
                <w:sz w:val="20"/>
                <w:szCs w:val="20"/>
              </w:rPr>
              <w:t xml:space="preserve">Start a GCC pilot in one country</w:t>
            </w:r>
          </w:p>
        </w:tc>
      </w:tr>
      <w:tr>
        <w:trPr>
          <w:cantSplit/>
        </w:trPr>
        <w:tc>
          <w:tcPr>
            <w:tcW w:w="1717" w:type="dxa"/>
            <w:vAlign w:val="center"/>
          </w:tcPr>
          <w:p>
            <w:pPr>
              <w:spacing w:before="40" w:after="40"/>
              <w:jc w:val="left"/>
            </w:pPr>
            <w:r>
              <w:rPr>
                <w:rFonts w:asciiTheme="minorHAnsi" w:hAnsiTheme="minorHAnsi" w:cstheme="minorHAnsi"/>
                <w:sz w:val="20"/>
                <w:szCs w:val="20"/>
              </w:rPr>
              <w:t xml:space="preserve">4. Scale</w:t>
            </w:r>
          </w:p>
        </w:tc>
        <w:tc>
          <w:tcPr>
            <w:tcW w:w="1144" w:type="dxa"/>
            <w:vAlign w:val="center"/>
          </w:tcPr>
          <w:p>
            <w:pPr>
              <w:spacing w:before="40" w:after="40"/>
              <w:jc w:val="left"/>
            </w:pPr>
            <w:r>
              <w:rPr>
                <w:rFonts w:asciiTheme="minorHAnsi" w:hAnsiTheme="minorHAnsi" w:cstheme="minorHAnsi"/>
                <w:sz w:val="20"/>
                <w:szCs w:val="20"/>
              </w:rPr>
              <w:t xml:space="preserve">Jan 2028</w:t>
            </w:r>
          </w:p>
        </w:tc>
        <w:tc>
          <w:tcPr>
            <w:tcW w:w="4578" w:type="dxa"/>
            <w:vAlign w:val="center"/>
          </w:tcPr>
          <w:p>
            <w:pPr>
              <w:spacing w:before="40" w:after="40"/>
              <w:jc w:val="left"/>
            </w:pPr>
            <w:r>
              <w:rPr>
                <w:rFonts w:asciiTheme="minorHAnsi" w:hAnsiTheme="minorHAnsi" w:cstheme="minorHAnsi"/>
                <w:sz w:val="20"/>
                <w:szCs w:val="20"/>
              </w:rPr>
              <w:t xml:space="preserve">About 150 paying accounts and second round closed</w:t>
            </w:r>
          </w:p>
        </w:tc>
        <w:tc>
          <w:tcPr>
            <w:tcW w:w="2861" w:type="dxa"/>
            <w:vAlign w:val="center"/>
          </w:tcPr>
          <w:p>
            <w:pPr>
              <w:spacing w:before="40" w:after="40"/>
              <w:jc w:val="left"/>
            </w:pPr>
            <w:r>
              <w:rPr>
                <w:rFonts w:asciiTheme="minorHAnsi" w:hAnsiTheme="minorHAnsi" w:cstheme="minorHAnsi"/>
                <w:sz w:val="20"/>
                <w:szCs w:val="20"/>
              </w:rPr>
              <w:t xml:space="preserve">Hire AI/ML engineer, support and sales</w:t>
            </w:r>
          </w:p>
        </w:tc>
      </w:tr>
    </w:tbl>
    <w:p>
      <w:pPr>
        <w:spacing w:after="0"/>
      </w:pPr>
    </w:p>
    <w:p>
      <w:pPr>
        <w:pStyle w:val="ListParagraph"/>
        <w:spacing w:before="0" w:after="120"/>
        <w:contextualSpacing w:val="0"/>
        <w:jc w:val="both"/>
      </w:pPr>
      <w:r>
        <w:rPr>
          <w:rFonts w:asciiTheme="minorHAnsi" w:hAnsiTheme="minorHAnsi" w:cstheme="minorHAnsi"/>
          <w:sz w:val="24"/>
          <w:szCs w:val="24"/>
        </w:rPr>
        <w:t xml:space="preserve">If a gate is missed, the team should extend the previous phase, change pricing or positioning, or reduce costs before spending more. This approach limits the amount at risk before the idea is proven (about SAR 115,000 before launch and about SAR 440,000 in total by the end of Year 1).</w:t>
      </w:r>
    </w:p>
    <w:sectPr w:rsidR="00DF7EB6" w:rsidRPr="005F50EA" w:rsidSect="008317E0">
      <w:headerReference w:type="default" r:id="rId8"/>
      <w:footerReference w:type="even" r:id="rId9"/>
      <w:footerReference w:type="default" r:id="rId10"/>
      <w:type w:val="continuous"/>
      <w:pgSz w:w="11906" w:h="16838" w:code="9"/>
      <w:pgMar w:top="297" w:right="567" w:bottom="340" w:left="900" w:header="288" w:footer="144"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0FE1685" w14:textId="77777777" w:rsidR="00391B59" w:rsidRDefault="00391B59">
      <w:r>
        <w:separator/>
      </w:r>
    </w:p>
  </w:endnote>
  <w:endnote w:type="continuationSeparator" w:id="0">
    <w:p w14:paraId="16865677" w14:textId="77777777" w:rsidR="00391B59" w:rsidRDefault="00391B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Helvetica 55 Roman">
    <w:altName w:val="Arial"/>
    <w:panose1 w:val="00000000000000000000"/>
    <w:charset w:val="00"/>
    <w:family w:val="roman"/>
    <w:notTrueType/>
    <w:pitch w:val="default"/>
  </w:font>
  <w:font w:name="Akhbar MT">
    <w:altName w:val="Arial"/>
    <w:panose1 w:val="020B0604020202020204"/>
    <w:charset w:val="00"/>
    <w:family w:val="roman"/>
    <w:notTrueType/>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Helvetica 45 Light">
    <w:altName w:val="Arial"/>
    <w:panose1 w:val="020B0403020202020204"/>
    <w:charset w:val="00"/>
    <w:family w:val="swiss"/>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A7F4AD" w14:textId="77777777" w:rsidR="004E059D" w:rsidRDefault="00BB14F8" w:rsidP="00165008">
    <w:pPr>
      <w:pStyle w:val="Footer"/>
      <w:rPr>
        <w:rStyle w:val="PageNumber"/>
      </w:rPr>
    </w:pPr>
    <w:r>
      <w:rPr>
        <w:rStyle w:val="PageNumber"/>
      </w:rPr>
      <w:fldChar w:fldCharType="begin"/>
    </w:r>
    <w:r w:rsidR="004E059D">
      <w:rPr>
        <w:rStyle w:val="PageNumber"/>
      </w:rPr>
      <w:instrText xml:space="preserve">PAGE  </w:instrText>
    </w:r>
    <w:r>
      <w:rPr>
        <w:rStyle w:val="PageNumber"/>
      </w:rPr>
      <w:fldChar w:fldCharType="end"/>
    </w:r>
  </w:p>
  <w:p w14:paraId="54628E80" w14:textId="77777777" w:rsidR="004E059D" w:rsidRDefault="004E059D" w:rsidP="001650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A7F8CD" w14:textId="77777777" w:rsidR="004E059D" w:rsidRPr="00A5481B" w:rsidRDefault="004E059D" w:rsidP="00A77F7F">
    <w:pPr>
      <w:pStyle w:val="Footer"/>
    </w:pPr>
    <w:r w:rsidRPr="00A5481B">
      <w:t>___________________________</w:t>
    </w:r>
    <w:r>
      <w:t>___________________________________________________________________________________________________</w:t>
    </w:r>
    <w:r w:rsidRPr="00A5481B">
      <w:t>_</w:t>
    </w:r>
  </w:p>
  <w:p w14:paraId="370091F6" w14:textId="214542C7" w:rsidR="004E059D" w:rsidRPr="00165008" w:rsidRDefault="009A0475" w:rsidP="00CF2047">
    <w:pPr>
      <w:pStyle w:val="Footer"/>
    </w:pPr>
    <w:r w:rsidRPr="009A0475">
      <w:rPr>
        <w:b/>
        <w:bCs/>
      </w:rPr>
      <w:t>CS</w:t>
    </w:r>
    <w:r w:rsidR="008F6272">
      <w:rPr>
        <w:b/>
        <w:bCs/>
      </w:rPr>
      <w:t>3</w:t>
    </w:r>
    <w:r w:rsidRPr="009A0475">
      <w:rPr>
        <w:b/>
        <w:bCs/>
      </w:rPr>
      <w:t>1</w:t>
    </w:r>
    <w:r w:rsidR="00A84F5B">
      <w:rPr>
        <w:b/>
        <w:bCs/>
      </w:rPr>
      <w:t>5</w:t>
    </w:r>
    <w:r w:rsidRPr="009A0475">
      <w:rPr>
        <w:b/>
        <w:bCs/>
      </w:rPr>
      <w:t>1</w:t>
    </w:r>
    <w:r w:rsidR="003F7D54">
      <w:rPr>
        <w:b/>
        <w:bCs/>
      </w:rPr>
      <w:t>-1</w:t>
    </w:r>
    <w:r>
      <w:rPr>
        <w:b/>
        <w:bCs/>
      </w:rPr>
      <w:t>/</w:t>
    </w:r>
    <w:r w:rsidR="003F7D54">
      <w:rPr>
        <w:b/>
        <w:bCs/>
      </w:rPr>
      <w:t>F</w:t>
    </w:r>
    <w:r>
      <w:rPr>
        <w:b/>
        <w:bCs/>
      </w:rPr>
      <w:t>202</w:t>
    </w:r>
    <w:r w:rsidR="005169A6">
      <w:rPr>
        <w:b/>
        <w:bCs/>
      </w:rPr>
      <w:t>6</w:t>
    </w:r>
    <w:r w:rsidR="004E059D">
      <w:rPr>
        <w:b/>
        <w:bCs/>
        <w:lang w:val="en-US"/>
      </w:rPr>
      <w:t xml:space="preserve">                                                                                    Dr </w:t>
    </w:r>
    <w:r w:rsidR="006C5A99">
      <w:rPr>
        <w:b/>
        <w:bCs/>
        <w:szCs w:val="26"/>
        <w:lang w:val="en-US"/>
      </w:rPr>
      <w:t>Passent Elkafrawy</w:t>
    </w:r>
    <w:r w:rsidR="004E059D" w:rsidRPr="00912C2F">
      <w:t xml:space="preserve">  </w:t>
    </w:r>
    <w:r w:rsidR="004E059D">
      <w:t xml:space="preserve">                                                                                    </w:t>
    </w:r>
    <w:r w:rsidR="004E059D" w:rsidRPr="00165008">
      <w:t xml:space="preserve">Page </w:t>
    </w:r>
    <w:r w:rsidR="00BB14F8">
      <w:rPr>
        <w:noProof/>
      </w:rPr>
      <w:fldChar w:fldCharType="begin"/>
    </w:r>
    <w:r w:rsidR="004E059D">
      <w:rPr>
        <w:noProof/>
      </w:rPr>
      <w:instrText xml:space="preserve"> PAGE </w:instrText>
    </w:r>
    <w:r w:rsidR="00BB14F8">
      <w:rPr>
        <w:noProof/>
      </w:rPr>
      <w:fldChar w:fldCharType="separate"/>
    </w:r>
    <w:r w:rsidR="00DA40D0">
      <w:rPr>
        <w:noProof/>
      </w:rPr>
      <w:t>3</w:t>
    </w:r>
    <w:r w:rsidR="00BB14F8">
      <w:rPr>
        <w:noProof/>
      </w:rPr>
      <w:fldChar w:fldCharType="end"/>
    </w:r>
    <w:r w:rsidR="004E059D" w:rsidRPr="00165008">
      <w:t xml:space="preserve"> of </w:t>
    </w:r>
    <w:r w:rsidR="00BB14F8">
      <w:rPr>
        <w:noProof/>
      </w:rPr>
      <w:fldChar w:fldCharType="begin"/>
    </w:r>
    <w:r w:rsidR="004E059D">
      <w:rPr>
        <w:noProof/>
      </w:rPr>
      <w:instrText xml:space="preserve"> NUMPAGES  </w:instrText>
    </w:r>
    <w:r w:rsidR="00BB14F8">
      <w:rPr>
        <w:noProof/>
      </w:rPr>
      <w:fldChar w:fldCharType="separate"/>
    </w:r>
    <w:r w:rsidR="00DA40D0">
      <w:rPr>
        <w:noProof/>
      </w:rPr>
      <w:t>4</w:t>
    </w:r>
    <w:r w:rsidR="00BB14F8">
      <w:rPr>
        <w:noProof/>
      </w:rPr>
      <w:fldChar w:fldCharType="end"/>
    </w:r>
  </w:p>
  <w:p w14:paraId="2BEC5AC4" w14:textId="709F27AB" w:rsidR="004E059D" w:rsidRPr="00165008" w:rsidRDefault="004E059D" w:rsidP="003D0E48">
    <w:pPr>
      <w:pStyle w:val="Footer"/>
      <w:rPr>
        <w:sz w:val="12"/>
        <w:szCs w:val="12"/>
      </w:rPr>
    </w:pPr>
    <w:r>
      <w:t xml:space="preserve">  </w:t>
    </w:r>
  </w:p>
  <w:p w14:paraId="2562E739" w14:textId="77777777" w:rsidR="004E059D" w:rsidRPr="00A42036" w:rsidRDefault="004E059D" w:rsidP="00F23636">
    <w:pPr>
      <w:pStyle w:val="Footer"/>
      <w:rPr>
        <w:sz w:val="12"/>
        <w:szCs w:val="12"/>
      </w:rPr>
    </w:pPr>
    <w:r>
      <w:rPr>
        <w:rFonts w:asciiTheme="minorHAnsi" w:hAnsiTheme="minorHAnsi"/>
        <w:color w:val="FF0000"/>
      </w:rPr>
      <w:tab/>
    </w:r>
    <w:r>
      <w:rPr>
        <w:rFonts w:asciiTheme="minorHAnsi" w:hAnsiTheme="minorHAnsi"/>
        <w:color w:val="FF0000"/>
      </w:rPr>
      <w:tab/>
    </w:r>
    <w:r>
      <w:rPr>
        <w:rFonts w:asciiTheme="minorHAnsi" w:hAnsiTheme="minorHAnsi"/>
        <w:color w:val="FF0000"/>
      </w:rPr>
      <w:tab/>
    </w:r>
  </w:p>
  <w:p w14:paraId="5E4D3D43" w14:textId="77777777" w:rsidR="004E059D" w:rsidRPr="00AA611C" w:rsidRDefault="004E059D" w:rsidP="00165008">
    <w:pPr>
      <w:pStyle w:val="Footer"/>
    </w:pPr>
    <w:r>
      <w:tab/>
    </w:r>
  </w:p>
  <w:p w14:paraId="54341F16" w14:textId="77777777" w:rsidR="004E059D" w:rsidRPr="00AA611C" w:rsidRDefault="004E059D" w:rsidP="001650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CB0128C" w14:textId="77777777" w:rsidR="00391B59" w:rsidRDefault="00391B59">
      <w:r>
        <w:separator/>
      </w:r>
    </w:p>
  </w:footnote>
  <w:footnote w:type="continuationSeparator" w:id="0">
    <w:p w14:paraId="426571AB" w14:textId="77777777" w:rsidR="00391B59" w:rsidRDefault="00391B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8D3B28" w14:textId="77777777" w:rsidR="004E059D" w:rsidRDefault="004E059D" w:rsidP="00101CC1">
    <w:pPr>
      <w:pStyle w:val="Title"/>
      <w:spacing w:line="520" w:lineRule="exact"/>
      <w:rPr>
        <w:rFonts w:asciiTheme="majorBidi" w:hAnsiTheme="majorBidi" w:cstheme="majorBidi"/>
        <w:b/>
        <w:bCs/>
      </w:rPr>
    </w:pPr>
    <w:r w:rsidRPr="006327CA">
      <w:rPr>
        <w:rFonts w:asciiTheme="majorBidi" w:hAnsiTheme="majorBidi" w:cstheme="majorBidi"/>
        <w:b/>
        <w:bCs/>
        <w:noProof/>
        <w:lang w:val="en-US"/>
      </w:rPr>
      <w:drawing>
        <wp:anchor distT="0" distB="0" distL="114300" distR="114300" simplePos="0" relativeHeight="251655168" behindDoc="1" locked="0" layoutInCell="1" allowOverlap="1" wp14:anchorId="23BB0371" wp14:editId="587FBF85">
          <wp:simplePos x="0" y="0"/>
          <wp:positionH relativeFrom="margin">
            <wp:posOffset>5715000</wp:posOffset>
          </wp:positionH>
          <wp:positionV relativeFrom="page">
            <wp:posOffset>417195</wp:posOffset>
          </wp:positionV>
          <wp:extent cx="571500" cy="590550"/>
          <wp:effectExtent l="19050" t="0" r="0" b="0"/>
          <wp:wrapNone/>
          <wp:docPr id="17" name="Picture 17" descr="EFFAT_logo_for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FFAT_logo_forms"/>
                  <pic:cNvPicPr>
                    <a:picLocks noChangeAspect="1" noChangeArrowheads="1"/>
                  </pic:cNvPicPr>
                </pic:nvPicPr>
                <pic:blipFill>
                  <a:blip r:embed="rId1"/>
                  <a:srcRect/>
                  <a:stretch>
                    <a:fillRect/>
                  </a:stretch>
                </pic:blipFill>
                <pic:spPr bwMode="auto">
                  <a:xfrm>
                    <a:off x="0" y="0"/>
                    <a:ext cx="571500" cy="590550"/>
                  </a:xfrm>
                  <a:prstGeom prst="rect">
                    <a:avLst/>
                  </a:prstGeom>
                  <a:noFill/>
                  <a:ln w="9525">
                    <a:noFill/>
                    <a:miter lim="800000"/>
                    <a:headEnd/>
                    <a:tailEnd/>
                  </a:ln>
                </pic:spPr>
              </pic:pic>
            </a:graphicData>
          </a:graphic>
        </wp:anchor>
      </w:drawing>
    </w:r>
    <w:r w:rsidRPr="006327CA">
      <w:rPr>
        <w:rFonts w:asciiTheme="majorBidi" w:hAnsiTheme="majorBidi" w:cstheme="majorBidi"/>
        <w:b/>
        <w:bCs/>
      </w:rPr>
      <w:t>Effat University</w:t>
    </w:r>
  </w:p>
  <w:p w14:paraId="78FB943A" w14:textId="77777777" w:rsidR="00DF7EB6" w:rsidRPr="006327CA" w:rsidRDefault="00DF7EB6" w:rsidP="00101CC1">
    <w:pPr>
      <w:pStyle w:val="Title"/>
      <w:spacing w:line="520" w:lineRule="exact"/>
      <w:rPr>
        <w:rFonts w:asciiTheme="majorBidi" w:hAnsiTheme="majorBidi" w:cstheme="majorBidi"/>
        <w:b/>
        <w:bCs/>
      </w:rPr>
    </w:pPr>
  </w:p>
  <w:p w14:paraId="0B97D541" w14:textId="4DB97D24" w:rsidR="004E059D" w:rsidRPr="006327CA" w:rsidRDefault="005D31CA" w:rsidP="00D94CE6">
    <w:pPr>
      <w:pStyle w:val="Date"/>
      <w:spacing w:before="0" w:line="520" w:lineRule="exact"/>
      <w:rPr>
        <w:rFonts w:asciiTheme="majorBidi" w:hAnsiTheme="majorBidi" w:cstheme="majorBidi"/>
      </w:rPr>
    </w:pPr>
    <w:r>
      <w:rPr>
        <w:rFonts w:asciiTheme="majorBidi" w:hAnsiTheme="majorBidi" w:cstheme="majorBidi"/>
        <w:noProof/>
        <w:lang w:val="en-US"/>
      </w:rPr>
      <mc:AlternateContent>
        <mc:Choice Requires="wps">
          <w:drawing>
            <wp:anchor distT="0" distB="0" distL="114300" distR="114300" simplePos="0" relativeHeight="251662336" behindDoc="0" locked="0" layoutInCell="1" allowOverlap="1" wp14:anchorId="37E3375F" wp14:editId="22CFFA20">
              <wp:simplePos x="0" y="0"/>
              <wp:positionH relativeFrom="page">
                <wp:posOffset>215900</wp:posOffset>
              </wp:positionH>
              <wp:positionV relativeFrom="page">
                <wp:posOffset>1800225</wp:posOffset>
              </wp:positionV>
              <wp:extent cx="215900" cy="8891905"/>
              <wp:effectExtent l="0" t="0" r="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8891905"/>
                      </a:xfrm>
                      <a:prstGeom prst="rect">
                        <a:avLst/>
                      </a:prstGeom>
                      <a:solidFill>
                        <a:srgbClr val="35C3D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0208D64" id="Rectangle 2" o:spid="_x0000_s1026" style="position:absolute;margin-left:17pt;margin-top:141.75pt;width:17pt;height:700.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" fillcolor="#35c3de" stroked="f">
              <w10:wrap anchorx="page" anchory="page"/>
            </v:rect>
          </w:pict>
        </mc:Fallback>
      </mc:AlternateContent>
    </w:r>
    <w:r>
      <w:rPr>
        <w:rFonts w:asciiTheme="majorBidi" w:hAnsiTheme="majorBidi" w:cstheme="majorBidi"/>
        <w:noProof/>
        <w:lang w:val="en-US"/>
      </w:rPr>
      <mc:AlternateContent>
        <mc:Choice Requires="wps">
          <w:drawing>
            <wp:anchor distT="0" distB="0" distL="114300" distR="114300" simplePos="0" relativeHeight="251659264" behindDoc="0" locked="0" layoutInCell="1" allowOverlap="1" wp14:anchorId="1FBB6376" wp14:editId="72E3646E">
              <wp:simplePos x="0" y="0"/>
              <wp:positionH relativeFrom="page">
                <wp:posOffset>215900</wp:posOffset>
              </wp:positionH>
              <wp:positionV relativeFrom="page">
                <wp:posOffset>0</wp:posOffset>
              </wp:positionV>
              <wp:extent cx="215900" cy="1800225"/>
              <wp:effectExtent l="0" t="0" r="0" b="0"/>
              <wp:wrapNone/>
              <wp:docPr id="2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5900" cy="1800225"/>
                      </a:xfrm>
                      <a:prstGeom prst="rect">
                        <a:avLst/>
                      </a:prstGeom>
                      <a:solidFill>
                        <a:srgbClr val="25358E"/>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B12F27A" id="Rectangle 1" o:spid="_x0000_s1026" style="position:absolute;margin-left:17pt;margin-top:0;width:17pt;height:141.7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" fillcolor="#25358e" stroked="f">
              <w10:wrap anchorx="page" anchory="page"/>
            </v:rect>
          </w:pict>
        </mc:Fallback>
      </mc:AlternateContent>
    </w:r>
    <w:r w:rsidR="001137CC">
      <w:rPr>
        <w:rFonts w:asciiTheme="majorBidi" w:hAnsiTheme="majorBidi" w:cstheme="majorBidi"/>
        <w:noProof/>
        <w:lang w:val="en-US"/>
      </w:rPr>
      <w:t>Fall</w:t>
    </w:r>
    <w:r w:rsidR="00437422">
      <w:rPr>
        <w:rFonts w:asciiTheme="majorBidi" w:hAnsiTheme="majorBidi" w:cstheme="majorBidi"/>
        <w:noProof/>
        <w:lang w:val="en-US"/>
      </w:rPr>
      <w:t xml:space="preserve"> </w:t>
    </w:r>
    <w:r w:rsidR="009368BB">
      <w:rPr>
        <w:rFonts w:asciiTheme="majorBidi" w:hAnsiTheme="majorBidi" w:cstheme="majorBidi"/>
        <w:noProof/>
        <w:lang w:val="en-US"/>
      </w:rPr>
      <w:t>202</w:t>
    </w:r>
    <w:r w:rsidR="005169A6">
      <w:rPr>
        <w:rFonts w:asciiTheme="majorBidi" w:hAnsiTheme="majorBidi" w:cstheme="majorBidi"/>
        <w:noProof/>
        <w:lang w:val="en-US"/>
      </w:rPr>
      <w:t>6</w:t>
    </w:r>
    <w:r w:rsidR="00A1061B">
      <w:rPr>
        <w:rFonts w:asciiTheme="majorBidi" w:hAnsiTheme="majorBidi" w:cstheme="majorBidi"/>
      </w:rPr>
      <w:t xml:space="preserve"> – </w:t>
    </w:r>
    <w:r w:rsidR="009368BB">
      <w:rPr>
        <w:rFonts w:asciiTheme="majorBidi" w:hAnsiTheme="majorBidi" w:cstheme="majorBidi"/>
      </w:rPr>
      <w:t>CS</w:t>
    </w:r>
    <w:r w:rsidR="008F6272">
      <w:rPr>
        <w:rFonts w:asciiTheme="majorBidi" w:hAnsiTheme="majorBidi" w:cstheme="majorBidi"/>
      </w:rPr>
      <w:t>31</w:t>
    </w:r>
    <w:r w:rsidR="00A84F5B">
      <w:rPr>
        <w:rFonts w:asciiTheme="majorBidi" w:hAnsiTheme="majorBidi" w:cstheme="majorBidi"/>
      </w:rPr>
      <w:t>5</w:t>
    </w:r>
    <w:r w:rsidR="008F6272">
      <w:rPr>
        <w:rFonts w:asciiTheme="majorBidi" w:hAnsiTheme="majorBidi" w:cstheme="majorBidi"/>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03.75pt;height:303.75pt" o:bullet="t">
        <v:imagedata r:id="rId1" o:title="211015 BTS TAEKOOK ‘PERMISSION TO DANCE ON STAGE OFFICIAL TEASER WE’RE JUST GETTING STARTED’"/>
      </v:shape>
    </w:pict>
  </w:numPicBullet>
  <w:abstractNum w:abstractNumId="0" w15:restartNumberingAfterBreak="0">
    <w:nsid w:val="FFFFFF7C"/>
    <w:multiLevelType w:val="singleLevel"/>
    <w:tmpl w:val="89A4FF7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820610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976CB48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2296562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C08C6EC"/>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BA25CC6"/>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BBACF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658318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468050A"/>
    <w:lvl w:ilvl="0">
      <w:start w:val="1"/>
      <w:numFmt w:val="decimal"/>
      <w:pStyle w:val="ListNumberBold"/>
      <w:lvlText w:val="%1"/>
      <w:lvlJc w:val="left"/>
      <w:pPr>
        <w:tabs>
          <w:tab w:val="num" w:pos="340"/>
        </w:tabs>
        <w:ind w:left="340" w:hanging="340"/>
      </w:pPr>
      <w:rPr>
        <w:rFonts w:ascii="Helvetica 55 Roman" w:hAnsi="Helvetica 55 Roman" w:cs="Akhbar MT" w:hint="default"/>
        <w:b/>
        <w:bCs/>
        <w:i w:val="0"/>
        <w:iCs w:val="0"/>
        <w:color w:val="auto"/>
        <w:sz w:val="17"/>
        <w:szCs w:val="22"/>
      </w:rPr>
    </w:lvl>
  </w:abstractNum>
  <w:abstractNum w:abstractNumId="9" w15:restartNumberingAfterBreak="0">
    <w:nsid w:val="FFFFFF89"/>
    <w:multiLevelType w:val="singleLevel"/>
    <w:tmpl w:val="80720C0C"/>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1FA7435"/>
    <w:multiLevelType w:val="multilevel"/>
    <w:tmpl w:val="DAA47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8A4114"/>
    <w:multiLevelType w:val="multilevel"/>
    <w:tmpl w:val="CC6266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BD472B"/>
    <w:multiLevelType w:val="hybridMultilevel"/>
    <w:tmpl w:val="0F629F78"/>
    <w:lvl w:ilvl="0" w:tplc="537AC542">
      <w:start w:val="1"/>
      <w:numFmt w:val="decimal"/>
      <w:lvlText w:val="%1."/>
      <w:lvlJc w:val="left"/>
      <w:pPr>
        <w:tabs>
          <w:tab w:val="num" w:pos="720"/>
        </w:tabs>
        <w:ind w:left="720" w:hanging="360"/>
      </w:pPr>
    </w:lvl>
    <w:lvl w:ilvl="1" w:tplc="310E629C" w:tentative="1">
      <w:start w:val="1"/>
      <w:numFmt w:val="decimal"/>
      <w:lvlText w:val="%2."/>
      <w:lvlJc w:val="left"/>
      <w:pPr>
        <w:tabs>
          <w:tab w:val="num" w:pos="1440"/>
        </w:tabs>
        <w:ind w:left="1440" w:hanging="360"/>
      </w:pPr>
    </w:lvl>
    <w:lvl w:ilvl="2" w:tplc="9544BFD6" w:tentative="1">
      <w:start w:val="1"/>
      <w:numFmt w:val="decimal"/>
      <w:lvlText w:val="%3."/>
      <w:lvlJc w:val="left"/>
      <w:pPr>
        <w:tabs>
          <w:tab w:val="num" w:pos="2160"/>
        </w:tabs>
        <w:ind w:left="2160" w:hanging="360"/>
      </w:pPr>
    </w:lvl>
    <w:lvl w:ilvl="3" w:tplc="F7866978" w:tentative="1">
      <w:start w:val="1"/>
      <w:numFmt w:val="decimal"/>
      <w:lvlText w:val="%4."/>
      <w:lvlJc w:val="left"/>
      <w:pPr>
        <w:tabs>
          <w:tab w:val="num" w:pos="2880"/>
        </w:tabs>
        <w:ind w:left="2880" w:hanging="360"/>
      </w:pPr>
    </w:lvl>
    <w:lvl w:ilvl="4" w:tplc="84D2E588" w:tentative="1">
      <w:start w:val="1"/>
      <w:numFmt w:val="decimal"/>
      <w:lvlText w:val="%5."/>
      <w:lvlJc w:val="left"/>
      <w:pPr>
        <w:tabs>
          <w:tab w:val="num" w:pos="3600"/>
        </w:tabs>
        <w:ind w:left="3600" w:hanging="360"/>
      </w:pPr>
    </w:lvl>
    <w:lvl w:ilvl="5" w:tplc="2E3E4976" w:tentative="1">
      <w:start w:val="1"/>
      <w:numFmt w:val="decimal"/>
      <w:lvlText w:val="%6."/>
      <w:lvlJc w:val="left"/>
      <w:pPr>
        <w:tabs>
          <w:tab w:val="num" w:pos="4320"/>
        </w:tabs>
        <w:ind w:left="4320" w:hanging="360"/>
      </w:pPr>
    </w:lvl>
    <w:lvl w:ilvl="6" w:tplc="9280C12A" w:tentative="1">
      <w:start w:val="1"/>
      <w:numFmt w:val="decimal"/>
      <w:lvlText w:val="%7."/>
      <w:lvlJc w:val="left"/>
      <w:pPr>
        <w:tabs>
          <w:tab w:val="num" w:pos="5040"/>
        </w:tabs>
        <w:ind w:left="5040" w:hanging="360"/>
      </w:pPr>
    </w:lvl>
    <w:lvl w:ilvl="7" w:tplc="1E3A1396" w:tentative="1">
      <w:start w:val="1"/>
      <w:numFmt w:val="decimal"/>
      <w:lvlText w:val="%8."/>
      <w:lvlJc w:val="left"/>
      <w:pPr>
        <w:tabs>
          <w:tab w:val="num" w:pos="5760"/>
        </w:tabs>
        <w:ind w:left="5760" w:hanging="360"/>
      </w:pPr>
    </w:lvl>
    <w:lvl w:ilvl="8" w:tplc="D4148E3E" w:tentative="1">
      <w:start w:val="1"/>
      <w:numFmt w:val="decimal"/>
      <w:lvlText w:val="%9."/>
      <w:lvlJc w:val="left"/>
      <w:pPr>
        <w:tabs>
          <w:tab w:val="num" w:pos="6480"/>
        </w:tabs>
        <w:ind w:left="6480" w:hanging="360"/>
      </w:pPr>
    </w:lvl>
  </w:abstractNum>
  <w:abstractNum w:abstractNumId="13" w15:restartNumberingAfterBreak="0">
    <w:nsid w:val="152A1244"/>
    <w:multiLevelType w:val="multilevel"/>
    <w:tmpl w:val="F06E6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E23505"/>
    <w:multiLevelType w:val="hybridMultilevel"/>
    <w:tmpl w:val="6D001316"/>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FFF1FCE"/>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3DA0DE3"/>
    <w:multiLevelType w:val="multilevel"/>
    <w:tmpl w:val="9FCAA8A2"/>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23DB4CB8"/>
    <w:multiLevelType w:val="hybridMultilevel"/>
    <w:tmpl w:val="E4423EDA"/>
    <w:lvl w:ilvl="0" w:tplc="A4340C10">
      <w:start w:val="1"/>
      <w:numFmt w:val="decimal"/>
      <w:lvlText w:val="%1."/>
      <w:lvlJc w:val="left"/>
      <w:pPr>
        <w:tabs>
          <w:tab w:val="num" w:pos="720"/>
        </w:tabs>
        <w:ind w:left="720" w:hanging="360"/>
      </w:pPr>
    </w:lvl>
    <w:lvl w:ilvl="1" w:tplc="2402D822" w:tentative="1">
      <w:start w:val="1"/>
      <w:numFmt w:val="decimal"/>
      <w:lvlText w:val="%2."/>
      <w:lvlJc w:val="left"/>
      <w:pPr>
        <w:tabs>
          <w:tab w:val="num" w:pos="1440"/>
        </w:tabs>
        <w:ind w:left="1440" w:hanging="360"/>
      </w:pPr>
    </w:lvl>
    <w:lvl w:ilvl="2" w:tplc="09AC5ECE" w:tentative="1">
      <w:start w:val="1"/>
      <w:numFmt w:val="decimal"/>
      <w:lvlText w:val="%3."/>
      <w:lvlJc w:val="left"/>
      <w:pPr>
        <w:tabs>
          <w:tab w:val="num" w:pos="2160"/>
        </w:tabs>
        <w:ind w:left="2160" w:hanging="360"/>
      </w:pPr>
    </w:lvl>
    <w:lvl w:ilvl="3" w:tplc="60B0C5E8" w:tentative="1">
      <w:start w:val="1"/>
      <w:numFmt w:val="decimal"/>
      <w:lvlText w:val="%4."/>
      <w:lvlJc w:val="left"/>
      <w:pPr>
        <w:tabs>
          <w:tab w:val="num" w:pos="2880"/>
        </w:tabs>
        <w:ind w:left="2880" w:hanging="360"/>
      </w:pPr>
    </w:lvl>
    <w:lvl w:ilvl="4" w:tplc="D2DCE3CA" w:tentative="1">
      <w:start w:val="1"/>
      <w:numFmt w:val="decimal"/>
      <w:lvlText w:val="%5."/>
      <w:lvlJc w:val="left"/>
      <w:pPr>
        <w:tabs>
          <w:tab w:val="num" w:pos="3600"/>
        </w:tabs>
        <w:ind w:left="3600" w:hanging="360"/>
      </w:pPr>
    </w:lvl>
    <w:lvl w:ilvl="5" w:tplc="3A041172" w:tentative="1">
      <w:start w:val="1"/>
      <w:numFmt w:val="decimal"/>
      <w:lvlText w:val="%6."/>
      <w:lvlJc w:val="left"/>
      <w:pPr>
        <w:tabs>
          <w:tab w:val="num" w:pos="4320"/>
        </w:tabs>
        <w:ind w:left="4320" w:hanging="360"/>
      </w:pPr>
    </w:lvl>
    <w:lvl w:ilvl="6" w:tplc="C13CA740" w:tentative="1">
      <w:start w:val="1"/>
      <w:numFmt w:val="decimal"/>
      <w:lvlText w:val="%7."/>
      <w:lvlJc w:val="left"/>
      <w:pPr>
        <w:tabs>
          <w:tab w:val="num" w:pos="5040"/>
        </w:tabs>
        <w:ind w:left="5040" w:hanging="360"/>
      </w:pPr>
    </w:lvl>
    <w:lvl w:ilvl="7" w:tplc="D6C604B8" w:tentative="1">
      <w:start w:val="1"/>
      <w:numFmt w:val="decimal"/>
      <w:lvlText w:val="%8."/>
      <w:lvlJc w:val="left"/>
      <w:pPr>
        <w:tabs>
          <w:tab w:val="num" w:pos="5760"/>
        </w:tabs>
        <w:ind w:left="5760" w:hanging="360"/>
      </w:pPr>
    </w:lvl>
    <w:lvl w:ilvl="8" w:tplc="7DA6A80E" w:tentative="1">
      <w:start w:val="1"/>
      <w:numFmt w:val="decimal"/>
      <w:lvlText w:val="%9."/>
      <w:lvlJc w:val="left"/>
      <w:pPr>
        <w:tabs>
          <w:tab w:val="num" w:pos="6480"/>
        </w:tabs>
        <w:ind w:left="6480" w:hanging="360"/>
      </w:pPr>
    </w:lvl>
  </w:abstractNum>
  <w:abstractNum w:abstractNumId="18" w15:restartNumberingAfterBreak="0">
    <w:nsid w:val="25FC7F4A"/>
    <w:multiLevelType w:val="hybridMultilevel"/>
    <w:tmpl w:val="1E4EE4BA"/>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6B52340"/>
    <w:multiLevelType w:val="hybridMultilevel"/>
    <w:tmpl w:val="94E80B56"/>
    <w:lvl w:ilvl="0" w:tplc="F8B83B8C">
      <w:start w:val="1"/>
      <w:numFmt w:val="upperLetter"/>
      <w:pStyle w:val="Heading3"/>
      <w:lvlText w:val="%1."/>
      <w:lvlJc w:val="left"/>
      <w:pPr>
        <w:ind w:left="360" w:hanging="360"/>
      </w:pPr>
      <w:rPr>
        <w:rFonts w:hint="default"/>
        <w:b/>
        <w:bCs/>
      </w:rPr>
    </w:lvl>
    <w:lvl w:ilvl="1" w:tplc="CA0CB4E8" w:tentative="1">
      <w:start w:val="1"/>
      <w:numFmt w:val="lowerLetter"/>
      <w:lvlText w:val="%2."/>
      <w:lvlJc w:val="left"/>
      <w:pPr>
        <w:ind w:left="1080" w:hanging="360"/>
      </w:pPr>
    </w:lvl>
    <w:lvl w:ilvl="2" w:tplc="B406CC08" w:tentative="1">
      <w:start w:val="1"/>
      <w:numFmt w:val="lowerRoman"/>
      <w:lvlText w:val="%3."/>
      <w:lvlJc w:val="right"/>
      <w:pPr>
        <w:ind w:left="1800" w:hanging="180"/>
      </w:pPr>
    </w:lvl>
    <w:lvl w:ilvl="3" w:tplc="FBC4293E" w:tentative="1">
      <w:start w:val="1"/>
      <w:numFmt w:val="decimal"/>
      <w:lvlText w:val="%4."/>
      <w:lvlJc w:val="left"/>
      <w:pPr>
        <w:ind w:left="2520" w:hanging="360"/>
      </w:pPr>
    </w:lvl>
    <w:lvl w:ilvl="4" w:tplc="77D6B9F8" w:tentative="1">
      <w:start w:val="1"/>
      <w:numFmt w:val="lowerLetter"/>
      <w:lvlText w:val="%5."/>
      <w:lvlJc w:val="left"/>
      <w:pPr>
        <w:ind w:left="3240" w:hanging="360"/>
      </w:pPr>
    </w:lvl>
    <w:lvl w:ilvl="5" w:tplc="0E3A1B42" w:tentative="1">
      <w:start w:val="1"/>
      <w:numFmt w:val="lowerRoman"/>
      <w:lvlText w:val="%6."/>
      <w:lvlJc w:val="right"/>
      <w:pPr>
        <w:ind w:left="3960" w:hanging="180"/>
      </w:pPr>
    </w:lvl>
    <w:lvl w:ilvl="6" w:tplc="3AE6000A" w:tentative="1">
      <w:start w:val="1"/>
      <w:numFmt w:val="decimal"/>
      <w:lvlText w:val="%7."/>
      <w:lvlJc w:val="left"/>
      <w:pPr>
        <w:ind w:left="4680" w:hanging="360"/>
      </w:pPr>
    </w:lvl>
    <w:lvl w:ilvl="7" w:tplc="F44A82FC" w:tentative="1">
      <w:start w:val="1"/>
      <w:numFmt w:val="lowerLetter"/>
      <w:lvlText w:val="%8."/>
      <w:lvlJc w:val="left"/>
      <w:pPr>
        <w:ind w:left="5400" w:hanging="360"/>
      </w:pPr>
    </w:lvl>
    <w:lvl w:ilvl="8" w:tplc="82F8DBF8" w:tentative="1">
      <w:start w:val="1"/>
      <w:numFmt w:val="lowerRoman"/>
      <w:lvlText w:val="%9."/>
      <w:lvlJc w:val="right"/>
      <w:pPr>
        <w:ind w:left="6120" w:hanging="180"/>
      </w:pPr>
    </w:lvl>
  </w:abstractNum>
  <w:abstractNum w:abstractNumId="20" w15:restartNumberingAfterBreak="0">
    <w:nsid w:val="2BF05561"/>
    <w:multiLevelType w:val="hybridMultilevel"/>
    <w:tmpl w:val="7AF47FD2"/>
    <w:lvl w:ilvl="0" w:tplc="2214DBF2">
      <w:start w:val="1"/>
      <w:numFmt w:val="bullet"/>
      <w:lvlText w:val="-"/>
      <w:lvlJc w:val="left"/>
      <w:pPr>
        <w:ind w:left="1440" w:hanging="360"/>
      </w:pPr>
      <w:rPr>
        <w:rFonts w:ascii="Calibri" w:eastAsia="Times New Roman" w:hAnsi="Calibri" w:cs="Calibri"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0D92A41"/>
    <w:multiLevelType w:val="hybridMultilevel"/>
    <w:tmpl w:val="6F243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7237A02"/>
    <w:multiLevelType w:val="hybridMultilevel"/>
    <w:tmpl w:val="DAF68A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D8262C4"/>
    <w:multiLevelType w:val="hybridMultilevel"/>
    <w:tmpl w:val="AB88F810"/>
    <w:lvl w:ilvl="0" w:tplc="ABCC573A">
      <w:start w:val="1"/>
      <w:numFmt w:val="decimal"/>
      <w:pStyle w:val="Notes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24" w15:restartNumberingAfterBreak="0">
    <w:nsid w:val="451047CF"/>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56A3205"/>
    <w:multiLevelType w:val="multilevel"/>
    <w:tmpl w:val="659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6022B1"/>
    <w:multiLevelType w:val="multilevel"/>
    <w:tmpl w:val="26D07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2D5782"/>
    <w:multiLevelType w:val="multilevel"/>
    <w:tmpl w:val="45FC27F8"/>
    <w:lvl w:ilvl="0">
      <w:start w:val="1"/>
      <w:numFmt w:val="decimal"/>
      <w:lvlText w:val="%1."/>
      <w:lvlJc w:val="left"/>
      <w:pPr>
        <w:ind w:left="720" w:hanging="360"/>
      </w:pPr>
      <w:rPr>
        <w:rFonts w:hint="default"/>
        <w:b/>
        <w:bCs/>
      </w:rPr>
    </w:lvl>
    <w:lvl w:ilvl="1">
      <w:start w:val="1"/>
      <w:numFmt w:val="decimal"/>
      <w:isLgl/>
      <w:lvlText w:val="%1.%2"/>
      <w:lvlJc w:val="left"/>
      <w:pPr>
        <w:ind w:left="1080" w:hanging="36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4CA92AC3"/>
    <w:multiLevelType w:val="multilevel"/>
    <w:tmpl w:val="2A3A76F2"/>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50B02342"/>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53F760C6"/>
    <w:multiLevelType w:val="hybridMultilevel"/>
    <w:tmpl w:val="A608F61C"/>
    <w:lvl w:ilvl="0" w:tplc="BCF6BE78">
      <w:start w:val="1"/>
      <w:numFmt w:val="decimal"/>
      <w:pStyle w:val="ListNumber"/>
      <w:lvlText w:val="%1"/>
      <w:lvlJc w:val="left"/>
      <w:pPr>
        <w:tabs>
          <w:tab w:val="num" w:pos="340"/>
        </w:tabs>
        <w:ind w:left="340" w:hanging="340"/>
      </w:pPr>
      <w:rPr>
        <w:rFonts w:ascii="Helvetica 45 Light" w:hAnsi="Helvetica 45 Light" w:cs="Akhbar MT" w:hint="default"/>
        <w:b w:val="0"/>
        <w:bCs w:val="0"/>
        <w:i w:val="0"/>
        <w:iCs w:val="0"/>
        <w:color w:val="auto"/>
        <w:sz w:val="17"/>
        <w:szCs w:val="22"/>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4EF2CBC"/>
    <w:multiLevelType w:val="hybridMultilevel"/>
    <w:tmpl w:val="DAF68A4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5D4148DC"/>
    <w:multiLevelType w:val="hybridMultilevel"/>
    <w:tmpl w:val="EBDAA5D2"/>
    <w:lvl w:ilvl="0" w:tplc="599C11D4">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A1453AD"/>
    <w:multiLevelType w:val="hybridMultilevel"/>
    <w:tmpl w:val="C8C855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026935"/>
    <w:multiLevelType w:val="hybridMultilevel"/>
    <w:tmpl w:val="EBDAA5D2"/>
    <w:lvl w:ilvl="0" w:tplc="FFFFFFFF">
      <w:start w:val="1"/>
      <w:numFmt w:val="decimal"/>
      <w:lvlText w:val="%1."/>
      <w:lvlJc w:val="righ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6B044E58"/>
    <w:multiLevelType w:val="multilevel"/>
    <w:tmpl w:val="B10A79D6"/>
    <w:lvl w:ilvl="0">
      <w:start w:val="1"/>
      <w:numFmt w:val="none"/>
      <w:lvlText w:val=""/>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6" w15:restartNumberingAfterBreak="0">
    <w:nsid w:val="6EE941EE"/>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743310FB"/>
    <w:multiLevelType w:val="hybridMultilevel"/>
    <w:tmpl w:val="6CEAAC68"/>
    <w:lvl w:ilvl="0" w:tplc="4916352C">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D976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ADD3C34"/>
    <w:multiLevelType w:val="multilevel"/>
    <w:tmpl w:val="28CA173C"/>
    <w:lvl w:ilvl="0">
      <w:start w:val="1"/>
      <w:numFmt w:val="decimal"/>
      <w:lvlText w:val="%1."/>
      <w:lvlJc w:val="left"/>
      <w:pPr>
        <w:ind w:left="360" w:hanging="360"/>
      </w:pPr>
      <w:rPr>
        <w:rFonts w:hint="default"/>
      </w:rPr>
    </w:lvl>
    <w:lvl w:ilvl="1">
      <w:start w:val="1"/>
      <w:numFmt w:val="none"/>
      <w:lvlText w:val="2.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0" w15:restartNumberingAfterBreak="0">
    <w:nsid w:val="7ECB025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361788565">
    <w:abstractNumId w:val="8"/>
  </w:num>
  <w:num w:numId="2" w16cid:durableId="823544869">
    <w:abstractNumId w:val="30"/>
  </w:num>
  <w:num w:numId="3" w16cid:durableId="178005933">
    <w:abstractNumId w:val="23"/>
  </w:num>
  <w:num w:numId="4" w16cid:durableId="1646933568">
    <w:abstractNumId w:val="19"/>
  </w:num>
  <w:num w:numId="5" w16cid:durableId="1884755206">
    <w:abstractNumId w:val="9"/>
  </w:num>
  <w:num w:numId="6" w16cid:durableId="1732382524">
    <w:abstractNumId w:val="7"/>
  </w:num>
  <w:num w:numId="7" w16cid:durableId="1548880933">
    <w:abstractNumId w:val="6"/>
  </w:num>
  <w:num w:numId="8" w16cid:durableId="589895241">
    <w:abstractNumId w:val="5"/>
  </w:num>
  <w:num w:numId="9" w16cid:durableId="1651326287">
    <w:abstractNumId w:val="4"/>
  </w:num>
  <w:num w:numId="10" w16cid:durableId="1935363045">
    <w:abstractNumId w:val="3"/>
  </w:num>
  <w:num w:numId="11" w16cid:durableId="1278490593">
    <w:abstractNumId w:val="2"/>
  </w:num>
  <w:num w:numId="12" w16cid:durableId="509220627">
    <w:abstractNumId w:val="1"/>
  </w:num>
  <w:num w:numId="13" w16cid:durableId="1054892567">
    <w:abstractNumId w:val="0"/>
  </w:num>
  <w:num w:numId="14" w16cid:durableId="1529565928">
    <w:abstractNumId w:val="18"/>
  </w:num>
  <w:num w:numId="15" w16cid:durableId="186070491">
    <w:abstractNumId w:val="22"/>
  </w:num>
  <w:num w:numId="16" w16cid:durableId="1991133037">
    <w:abstractNumId w:val="14"/>
  </w:num>
  <w:num w:numId="17" w16cid:durableId="1890149233">
    <w:abstractNumId w:val="24"/>
  </w:num>
  <w:num w:numId="18" w16cid:durableId="501967153">
    <w:abstractNumId w:val="37"/>
  </w:num>
  <w:num w:numId="19" w16cid:durableId="1024671442">
    <w:abstractNumId w:val="15"/>
  </w:num>
  <w:num w:numId="20" w16cid:durableId="636111429">
    <w:abstractNumId w:val="29"/>
  </w:num>
  <w:num w:numId="21" w16cid:durableId="1262909059">
    <w:abstractNumId w:val="31"/>
  </w:num>
  <w:num w:numId="22" w16cid:durableId="1522426634">
    <w:abstractNumId w:val="21"/>
  </w:num>
  <w:num w:numId="23" w16cid:durableId="1168060047">
    <w:abstractNumId w:val="32"/>
  </w:num>
  <w:num w:numId="24" w16cid:durableId="1300571345">
    <w:abstractNumId w:val="34"/>
  </w:num>
  <w:num w:numId="25" w16cid:durableId="1438595053">
    <w:abstractNumId w:val="33"/>
  </w:num>
  <w:num w:numId="26" w16cid:durableId="781728954">
    <w:abstractNumId w:val="17"/>
  </w:num>
  <w:num w:numId="27" w16cid:durableId="2081705503">
    <w:abstractNumId w:val="12"/>
  </w:num>
  <w:num w:numId="28" w16cid:durableId="1290428429">
    <w:abstractNumId w:val="11"/>
  </w:num>
  <w:num w:numId="29" w16cid:durableId="805244613">
    <w:abstractNumId w:val="10"/>
  </w:num>
  <w:num w:numId="30" w16cid:durableId="288557396">
    <w:abstractNumId w:val="25"/>
  </w:num>
  <w:num w:numId="31" w16cid:durableId="1172797449">
    <w:abstractNumId w:val="13"/>
  </w:num>
  <w:num w:numId="32" w16cid:durableId="1532109883">
    <w:abstractNumId w:val="26"/>
  </w:num>
  <w:num w:numId="33" w16cid:durableId="1929340924">
    <w:abstractNumId w:val="27"/>
  </w:num>
  <w:num w:numId="34" w16cid:durableId="986010468">
    <w:abstractNumId w:val="38"/>
  </w:num>
  <w:num w:numId="35" w16cid:durableId="739791923">
    <w:abstractNumId w:val="40"/>
  </w:num>
  <w:num w:numId="36" w16cid:durableId="1326394703">
    <w:abstractNumId w:val="36"/>
  </w:num>
  <w:num w:numId="37" w16cid:durableId="1133015594">
    <w:abstractNumId w:val="39"/>
  </w:num>
  <w:num w:numId="38" w16cid:durableId="1754738935">
    <w:abstractNumId w:val="16"/>
  </w:num>
  <w:num w:numId="39" w16cid:durableId="1136796072">
    <w:abstractNumId w:val="35"/>
  </w:num>
  <w:num w:numId="40" w16cid:durableId="1537426631">
    <w:abstractNumId w:val="28"/>
  </w:num>
  <w:num w:numId="41" w16cid:durableId="59137163">
    <w:abstractNumId w:val="20"/>
  </w:num>
  <w:numIdMacAtCleanup w:val="21"/>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3"/>
  <w:hideSpellingErrors/>
  <w:hideGrammaticalErrors/>
  <w:proofState w:spelling="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rawingGridHorizontalSpacing w:val="100"/>
  <w:displayHorizont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MDWxsDAwMzI1tzAyN7BU0lEKTi0uzszPAykwtawFAACFoZEtAAAA"/>
  </w:docVars>
  <w:rsids>
    <w:rsidRoot w:val="00E671D3"/>
    <w:rsid w:val="00000712"/>
    <w:rsid w:val="00004DF3"/>
    <w:rsid w:val="00006307"/>
    <w:rsid w:val="0000761B"/>
    <w:rsid w:val="000133C5"/>
    <w:rsid w:val="00014091"/>
    <w:rsid w:val="00015246"/>
    <w:rsid w:val="00015713"/>
    <w:rsid w:val="00016ADE"/>
    <w:rsid w:val="00016EDE"/>
    <w:rsid w:val="0001757C"/>
    <w:rsid w:val="00017652"/>
    <w:rsid w:val="000202AC"/>
    <w:rsid w:val="00021BC4"/>
    <w:rsid w:val="000223CA"/>
    <w:rsid w:val="000224F0"/>
    <w:rsid w:val="00022714"/>
    <w:rsid w:val="000229E8"/>
    <w:rsid w:val="0002553A"/>
    <w:rsid w:val="000272D4"/>
    <w:rsid w:val="00030208"/>
    <w:rsid w:val="00030305"/>
    <w:rsid w:val="000310F8"/>
    <w:rsid w:val="00031B18"/>
    <w:rsid w:val="00032E59"/>
    <w:rsid w:val="00032E8D"/>
    <w:rsid w:val="00032F85"/>
    <w:rsid w:val="0003386F"/>
    <w:rsid w:val="000344FD"/>
    <w:rsid w:val="00037C12"/>
    <w:rsid w:val="000400C0"/>
    <w:rsid w:val="000405B5"/>
    <w:rsid w:val="00040711"/>
    <w:rsid w:val="00040F5C"/>
    <w:rsid w:val="00041C32"/>
    <w:rsid w:val="0004230A"/>
    <w:rsid w:val="000440B6"/>
    <w:rsid w:val="00044F55"/>
    <w:rsid w:val="00045427"/>
    <w:rsid w:val="00045854"/>
    <w:rsid w:val="00045EC6"/>
    <w:rsid w:val="00045F87"/>
    <w:rsid w:val="000471D3"/>
    <w:rsid w:val="00047520"/>
    <w:rsid w:val="00053494"/>
    <w:rsid w:val="0005595A"/>
    <w:rsid w:val="00056870"/>
    <w:rsid w:val="00057378"/>
    <w:rsid w:val="0005757B"/>
    <w:rsid w:val="00061A5E"/>
    <w:rsid w:val="00062ACD"/>
    <w:rsid w:val="00063514"/>
    <w:rsid w:val="0006416D"/>
    <w:rsid w:val="00064B74"/>
    <w:rsid w:val="000661BA"/>
    <w:rsid w:val="00066527"/>
    <w:rsid w:val="00067FD8"/>
    <w:rsid w:val="00071235"/>
    <w:rsid w:val="00073EC1"/>
    <w:rsid w:val="0007426C"/>
    <w:rsid w:val="000752E5"/>
    <w:rsid w:val="000767A8"/>
    <w:rsid w:val="00080331"/>
    <w:rsid w:val="000811B1"/>
    <w:rsid w:val="00081766"/>
    <w:rsid w:val="0008255C"/>
    <w:rsid w:val="0008297A"/>
    <w:rsid w:val="000838B2"/>
    <w:rsid w:val="0008390C"/>
    <w:rsid w:val="00084511"/>
    <w:rsid w:val="00085389"/>
    <w:rsid w:val="000862A2"/>
    <w:rsid w:val="00086799"/>
    <w:rsid w:val="00086B09"/>
    <w:rsid w:val="00086C2D"/>
    <w:rsid w:val="00087084"/>
    <w:rsid w:val="00087921"/>
    <w:rsid w:val="000903D9"/>
    <w:rsid w:val="00090B04"/>
    <w:rsid w:val="00093850"/>
    <w:rsid w:val="00094B43"/>
    <w:rsid w:val="00094CD8"/>
    <w:rsid w:val="000956DE"/>
    <w:rsid w:val="00096493"/>
    <w:rsid w:val="000A01A3"/>
    <w:rsid w:val="000A049E"/>
    <w:rsid w:val="000A3FD2"/>
    <w:rsid w:val="000A51EC"/>
    <w:rsid w:val="000A5AD6"/>
    <w:rsid w:val="000B079D"/>
    <w:rsid w:val="000B2B9B"/>
    <w:rsid w:val="000B3583"/>
    <w:rsid w:val="000B3921"/>
    <w:rsid w:val="000B5142"/>
    <w:rsid w:val="000B53B0"/>
    <w:rsid w:val="000C2338"/>
    <w:rsid w:val="000C34FB"/>
    <w:rsid w:val="000C49EB"/>
    <w:rsid w:val="000C4E65"/>
    <w:rsid w:val="000C5484"/>
    <w:rsid w:val="000C557E"/>
    <w:rsid w:val="000C60D4"/>
    <w:rsid w:val="000C6FEC"/>
    <w:rsid w:val="000D0C64"/>
    <w:rsid w:val="000D0E19"/>
    <w:rsid w:val="000D10E3"/>
    <w:rsid w:val="000D267F"/>
    <w:rsid w:val="000D31AD"/>
    <w:rsid w:val="000D3890"/>
    <w:rsid w:val="000D3B30"/>
    <w:rsid w:val="000D4220"/>
    <w:rsid w:val="000D477B"/>
    <w:rsid w:val="000D491C"/>
    <w:rsid w:val="000D511F"/>
    <w:rsid w:val="000E0F38"/>
    <w:rsid w:val="000E1168"/>
    <w:rsid w:val="000E28DC"/>
    <w:rsid w:val="000E3027"/>
    <w:rsid w:val="000E3502"/>
    <w:rsid w:val="000E44F5"/>
    <w:rsid w:val="000E5307"/>
    <w:rsid w:val="000E5AE1"/>
    <w:rsid w:val="000E6207"/>
    <w:rsid w:val="000F034E"/>
    <w:rsid w:val="000F0713"/>
    <w:rsid w:val="000F2D1D"/>
    <w:rsid w:val="000F37A8"/>
    <w:rsid w:val="000F38C4"/>
    <w:rsid w:val="000F4A6E"/>
    <w:rsid w:val="000F4C4A"/>
    <w:rsid w:val="000F7CCA"/>
    <w:rsid w:val="00100098"/>
    <w:rsid w:val="00101412"/>
    <w:rsid w:val="00101CC1"/>
    <w:rsid w:val="00103098"/>
    <w:rsid w:val="00103472"/>
    <w:rsid w:val="00103BEF"/>
    <w:rsid w:val="001051DA"/>
    <w:rsid w:val="00106393"/>
    <w:rsid w:val="00107F56"/>
    <w:rsid w:val="00110A44"/>
    <w:rsid w:val="00110F88"/>
    <w:rsid w:val="0011121C"/>
    <w:rsid w:val="00111CE4"/>
    <w:rsid w:val="00112A77"/>
    <w:rsid w:val="0011378A"/>
    <w:rsid w:val="001137CC"/>
    <w:rsid w:val="001137EC"/>
    <w:rsid w:val="00114034"/>
    <w:rsid w:val="001152CA"/>
    <w:rsid w:val="00115F47"/>
    <w:rsid w:val="001175BE"/>
    <w:rsid w:val="00117907"/>
    <w:rsid w:val="001211D3"/>
    <w:rsid w:val="00121C81"/>
    <w:rsid w:val="001233CA"/>
    <w:rsid w:val="0012439C"/>
    <w:rsid w:val="00124751"/>
    <w:rsid w:val="001250BF"/>
    <w:rsid w:val="00125891"/>
    <w:rsid w:val="00125D29"/>
    <w:rsid w:val="001271B2"/>
    <w:rsid w:val="00130FF3"/>
    <w:rsid w:val="0013159A"/>
    <w:rsid w:val="00132F91"/>
    <w:rsid w:val="0013394F"/>
    <w:rsid w:val="001349AD"/>
    <w:rsid w:val="00134B3C"/>
    <w:rsid w:val="00137A84"/>
    <w:rsid w:val="00137AA7"/>
    <w:rsid w:val="00141E02"/>
    <w:rsid w:val="00142195"/>
    <w:rsid w:val="00143D26"/>
    <w:rsid w:val="001441F6"/>
    <w:rsid w:val="00144944"/>
    <w:rsid w:val="001453A6"/>
    <w:rsid w:val="001455C2"/>
    <w:rsid w:val="00146937"/>
    <w:rsid w:val="00147661"/>
    <w:rsid w:val="0015035A"/>
    <w:rsid w:val="00152245"/>
    <w:rsid w:val="001527C1"/>
    <w:rsid w:val="00153EAD"/>
    <w:rsid w:val="0015756E"/>
    <w:rsid w:val="00157A82"/>
    <w:rsid w:val="00161319"/>
    <w:rsid w:val="00162D7B"/>
    <w:rsid w:val="00162F7D"/>
    <w:rsid w:val="00164805"/>
    <w:rsid w:val="00165008"/>
    <w:rsid w:val="00170616"/>
    <w:rsid w:val="001708D5"/>
    <w:rsid w:val="001710D0"/>
    <w:rsid w:val="00171DBA"/>
    <w:rsid w:val="00172124"/>
    <w:rsid w:val="00172288"/>
    <w:rsid w:val="00172F94"/>
    <w:rsid w:val="00173D20"/>
    <w:rsid w:val="00174F55"/>
    <w:rsid w:val="00175841"/>
    <w:rsid w:val="001772FF"/>
    <w:rsid w:val="00177526"/>
    <w:rsid w:val="00177C9D"/>
    <w:rsid w:val="00180193"/>
    <w:rsid w:val="001810E8"/>
    <w:rsid w:val="0018180C"/>
    <w:rsid w:val="00181A65"/>
    <w:rsid w:val="0018248B"/>
    <w:rsid w:val="00182C57"/>
    <w:rsid w:val="00183236"/>
    <w:rsid w:val="00183E91"/>
    <w:rsid w:val="00185990"/>
    <w:rsid w:val="001869B7"/>
    <w:rsid w:val="00186F32"/>
    <w:rsid w:val="00187447"/>
    <w:rsid w:val="00187B3F"/>
    <w:rsid w:val="0019009E"/>
    <w:rsid w:val="00190560"/>
    <w:rsid w:val="00190602"/>
    <w:rsid w:val="001915A4"/>
    <w:rsid w:val="001960A7"/>
    <w:rsid w:val="00196C30"/>
    <w:rsid w:val="001A053D"/>
    <w:rsid w:val="001A1893"/>
    <w:rsid w:val="001A2362"/>
    <w:rsid w:val="001A296F"/>
    <w:rsid w:val="001A408C"/>
    <w:rsid w:val="001A4F06"/>
    <w:rsid w:val="001B0CC2"/>
    <w:rsid w:val="001B147E"/>
    <w:rsid w:val="001B149E"/>
    <w:rsid w:val="001B14B5"/>
    <w:rsid w:val="001B1A5C"/>
    <w:rsid w:val="001B1CCB"/>
    <w:rsid w:val="001B4A48"/>
    <w:rsid w:val="001B695E"/>
    <w:rsid w:val="001B742B"/>
    <w:rsid w:val="001C11F1"/>
    <w:rsid w:val="001C4212"/>
    <w:rsid w:val="001C52AF"/>
    <w:rsid w:val="001C54A1"/>
    <w:rsid w:val="001C58B7"/>
    <w:rsid w:val="001D0471"/>
    <w:rsid w:val="001D0EB1"/>
    <w:rsid w:val="001D3BB4"/>
    <w:rsid w:val="001D4482"/>
    <w:rsid w:val="001D5196"/>
    <w:rsid w:val="001D5EE3"/>
    <w:rsid w:val="001D6101"/>
    <w:rsid w:val="001D7568"/>
    <w:rsid w:val="001E01C1"/>
    <w:rsid w:val="001E2551"/>
    <w:rsid w:val="001E3D29"/>
    <w:rsid w:val="001E4EB3"/>
    <w:rsid w:val="001E5C94"/>
    <w:rsid w:val="001E60B0"/>
    <w:rsid w:val="001E7AA9"/>
    <w:rsid w:val="001F0013"/>
    <w:rsid w:val="001F0071"/>
    <w:rsid w:val="001F1158"/>
    <w:rsid w:val="001F1C8E"/>
    <w:rsid w:val="001F2BBA"/>
    <w:rsid w:val="001F2DA4"/>
    <w:rsid w:val="001F3E90"/>
    <w:rsid w:val="001F5F3E"/>
    <w:rsid w:val="001F5F8C"/>
    <w:rsid w:val="001F7874"/>
    <w:rsid w:val="002018DE"/>
    <w:rsid w:val="00201987"/>
    <w:rsid w:val="00202F50"/>
    <w:rsid w:val="002038FA"/>
    <w:rsid w:val="00204168"/>
    <w:rsid w:val="002042A7"/>
    <w:rsid w:val="00204EB1"/>
    <w:rsid w:val="00205AD7"/>
    <w:rsid w:val="0020600F"/>
    <w:rsid w:val="00207A13"/>
    <w:rsid w:val="00207C05"/>
    <w:rsid w:val="00210CB3"/>
    <w:rsid w:val="00211DE0"/>
    <w:rsid w:val="002124DD"/>
    <w:rsid w:val="00213047"/>
    <w:rsid w:val="00214612"/>
    <w:rsid w:val="00215244"/>
    <w:rsid w:val="00215D85"/>
    <w:rsid w:val="00215E54"/>
    <w:rsid w:val="00216523"/>
    <w:rsid w:val="00217EF0"/>
    <w:rsid w:val="002204EA"/>
    <w:rsid w:val="002212FE"/>
    <w:rsid w:val="0022267D"/>
    <w:rsid w:val="00224414"/>
    <w:rsid w:val="002254CB"/>
    <w:rsid w:val="00225B75"/>
    <w:rsid w:val="00226AC4"/>
    <w:rsid w:val="00226EDF"/>
    <w:rsid w:val="002276DA"/>
    <w:rsid w:val="00227735"/>
    <w:rsid w:val="00230F18"/>
    <w:rsid w:val="00233854"/>
    <w:rsid w:val="00234C38"/>
    <w:rsid w:val="00234EED"/>
    <w:rsid w:val="00236D81"/>
    <w:rsid w:val="00236FF9"/>
    <w:rsid w:val="002375CE"/>
    <w:rsid w:val="00237624"/>
    <w:rsid w:val="00242D9F"/>
    <w:rsid w:val="00243D97"/>
    <w:rsid w:val="00245A2C"/>
    <w:rsid w:val="0024643F"/>
    <w:rsid w:val="00246757"/>
    <w:rsid w:val="002472D9"/>
    <w:rsid w:val="0024756A"/>
    <w:rsid w:val="00250950"/>
    <w:rsid w:val="00251949"/>
    <w:rsid w:val="002519D8"/>
    <w:rsid w:val="002522C6"/>
    <w:rsid w:val="002522CB"/>
    <w:rsid w:val="00253061"/>
    <w:rsid w:val="0025341F"/>
    <w:rsid w:val="0025444C"/>
    <w:rsid w:val="00254A62"/>
    <w:rsid w:val="00255701"/>
    <w:rsid w:val="0025594A"/>
    <w:rsid w:val="00255B68"/>
    <w:rsid w:val="002600D9"/>
    <w:rsid w:val="002603A3"/>
    <w:rsid w:val="0026102D"/>
    <w:rsid w:val="002625A7"/>
    <w:rsid w:val="00262863"/>
    <w:rsid w:val="00263AC3"/>
    <w:rsid w:val="0026400A"/>
    <w:rsid w:val="00265B61"/>
    <w:rsid w:val="00266BCA"/>
    <w:rsid w:val="00266C2B"/>
    <w:rsid w:val="00267A43"/>
    <w:rsid w:val="00270AD7"/>
    <w:rsid w:val="00271248"/>
    <w:rsid w:val="00271DE5"/>
    <w:rsid w:val="002731BF"/>
    <w:rsid w:val="00274371"/>
    <w:rsid w:val="0027525F"/>
    <w:rsid w:val="002755BA"/>
    <w:rsid w:val="00276F37"/>
    <w:rsid w:val="00277744"/>
    <w:rsid w:val="00277DCF"/>
    <w:rsid w:val="00280B8F"/>
    <w:rsid w:val="002814BD"/>
    <w:rsid w:val="00282AF7"/>
    <w:rsid w:val="00282D1A"/>
    <w:rsid w:val="00283814"/>
    <w:rsid w:val="00284135"/>
    <w:rsid w:val="002854E3"/>
    <w:rsid w:val="00286293"/>
    <w:rsid w:val="002879E0"/>
    <w:rsid w:val="00290223"/>
    <w:rsid w:val="0029123D"/>
    <w:rsid w:val="00292097"/>
    <w:rsid w:val="0029280A"/>
    <w:rsid w:val="00292D34"/>
    <w:rsid w:val="00295584"/>
    <w:rsid w:val="00295787"/>
    <w:rsid w:val="00297378"/>
    <w:rsid w:val="002A083C"/>
    <w:rsid w:val="002A15EB"/>
    <w:rsid w:val="002A384C"/>
    <w:rsid w:val="002A3BED"/>
    <w:rsid w:val="002A5D59"/>
    <w:rsid w:val="002A6592"/>
    <w:rsid w:val="002A66DC"/>
    <w:rsid w:val="002A66E6"/>
    <w:rsid w:val="002A6750"/>
    <w:rsid w:val="002A7C00"/>
    <w:rsid w:val="002B027F"/>
    <w:rsid w:val="002B13E8"/>
    <w:rsid w:val="002B2F69"/>
    <w:rsid w:val="002B34E1"/>
    <w:rsid w:val="002B5615"/>
    <w:rsid w:val="002B5EC4"/>
    <w:rsid w:val="002B7C28"/>
    <w:rsid w:val="002C1CF0"/>
    <w:rsid w:val="002C1F5E"/>
    <w:rsid w:val="002C36A9"/>
    <w:rsid w:val="002C3752"/>
    <w:rsid w:val="002C465A"/>
    <w:rsid w:val="002C78CF"/>
    <w:rsid w:val="002C7BAB"/>
    <w:rsid w:val="002C7C7D"/>
    <w:rsid w:val="002C7CE4"/>
    <w:rsid w:val="002D01C2"/>
    <w:rsid w:val="002D024B"/>
    <w:rsid w:val="002D6335"/>
    <w:rsid w:val="002D79A8"/>
    <w:rsid w:val="002D7DD0"/>
    <w:rsid w:val="002E0CC4"/>
    <w:rsid w:val="002E0D54"/>
    <w:rsid w:val="002E0E98"/>
    <w:rsid w:val="002E2B7A"/>
    <w:rsid w:val="002E2BF6"/>
    <w:rsid w:val="002E324C"/>
    <w:rsid w:val="002E33AD"/>
    <w:rsid w:val="002E3ED8"/>
    <w:rsid w:val="002E4106"/>
    <w:rsid w:val="002E45C9"/>
    <w:rsid w:val="002E4FFF"/>
    <w:rsid w:val="002E5A6E"/>
    <w:rsid w:val="002E6034"/>
    <w:rsid w:val="002E6575"/>
    <w:rsid w:val="002F038C"/>
    <w:rsid w:val="002F04A7"/>
    <w:rsid w:val="002F0AFD"/>
    <w:rsid w:val="002F1384"/>
    <w:rsid w:val="002F2849"/>
    <w:rsid w:val="002F2D71"/>
    <w:rsid w:val="002F3B69"/>
    <w:rsid w:val="002F3F96"/>
    <w:rsid w:val="002F48AE"/>
    <w:rsid w:val="002F5332"/>
    <w:rsid w:val="002F6A35"/>
    <w:rsid w:val="002F7A2D"/>
    <w:rsid w:val="003003E0"/>
    <w:rsid w:val="00300598"/>
    <w:rsid w:val="00300C39"/>
    <w:rsid w:val="00300D06"/>
    <w:rsid w:val="00301DA9"/>
    <w:rsid w:val="003040FB"/>
    <w:rsid w:val="00305A35"/>
    <w:rsid w:val="00306208"/>
    <w:rsid w:val="0030620B"/>
    <w:rsid w:val="00306D2A"/>
    <w:rsid w:val="00307050"/>
    <w:rsid w:val="003078FB"/>
    <w:rsid w:val="003130FD"/>
    <w:rsid w:val="00313D3E"/>
    <w:rsid w:val="00314BB5"/>
    <w:rsid w:val="003152DF"/>
    <w:rsid w:val="00315AB6"/>
    <w:rsid w:val="00316432"/>
    <w:rsid w:val="00320E2C"/>
    <w:rsid w:val="00321D82"/>
    <w:rsid w:val="00321E58"/>
    <w:rsid w:val="00322AAC"/>
    <w:rsid w:val="00322FC1"/>
    <w:rsid w:val="0032390A"/>
    <w:rsid w:val="00323BF5"/>
    <w:rsid w:val="00324FDA"/>
    <w:rsid w:val="0032693C"/>
    <w:rsid w:val="0032753C"/>
    <w:rsid w:val="003328ED"/>
    <w:rsid w:val="003330F2"/>
    <w:rsid w:val="003333F8"/>
    <w:rsid w:val="00333962"/>
    <w:rsid w:val="003339BF"/>
    <w:rsid w:val="00333AC1"/>
    <w:rsid w:val="003373D4"/>
    <w:rsid w:val="003407A2"/>
    <w:rsid w:val="00340BF6"/>
    <w:rsid w:val="00341560"/>
    <w:rsid w:val="00341A8A"/>
    <w:rsid w:val="00344187"/>
    <w:rsid w:val="00345182"/>
    <w:rsid w:val="00345CEE"/>
    <w:rsid w:val="003463EA"/>
    <w:rsid w:val="00346A03"/>
    <w:rsid w:val="00347969"/>
    <w:rsid w:val="003479E4"/>
    <w:rsid w:val="00351CCC"/>
    <w:rsid w:val="00351FF2"/>
    <w:rsid w:val="00352DEA"/>
    <w:rsid w:val="003534C3"/>
    <w:rsid w:val="00354C0F"/>
    <w:rsid w:val="00356174"/>
    <w:rsid w:val="00356491"/>
    <w:rsid w:val="00356B6E"/>
    <w:rsid w:val="003575F2"/>
    <w:rsid w:val="00360168"/>
    <w:rsid w:val="00360F4B"/>
    <w:rsid w:val="003628F0"/>
    <w:rsid w:val="00362A5F"/>
    <w:rsid w:val="00363E5A"/>
    <w:rsid w:val="003642FE"/>
    <w:rsid w:val="00365E07"/>
    <w:rsid w:val="00366A86"/>
    <w:rsid w:val="00371562"/>
    <w:rsid w:val="00371C8E"/>
    <w:rsid w:val="003731DD"/>
    <w:rsid w:val="00373525"/>
    <w:rsid w:val="003745D0"/>
    <w:rsid w:val="003767CD"/>
    <w:rsid w:val="00377508"/>
    <w:rsid w:val="00380089"/>
    <w:rsid w:val="003802FF"/>
    <w:rsid w:val="0038032B"/>
    <w:rsid w:val="0038122B"/>
    <w:rsid w:val="003812A7"/>
    <w:rsid w:val="00382A35"/>
    <w:rsid w:val="0038470D"/>
    <w:rsid w:val="00386CF5"/>
    <w:rsid w:val="00391A45"/>
    <w:rsid w:val="00391B59"/>
    <w:rsid w:val="003923F6"/>
    <w:rsid w:val="00393BD9"/>
    <w:rsid w:val="0039572E"/>
    <w:rsid w:val="003962B4"/>
    <w:rsid w:val="00396B69"/>
    <w:rsid w:val="00397025"/>
    <w:rsid w:val="003976C4"/>
    <w:rsid w:val="00397D63"/>
    <w:rsid w:val="003A0F6E"/>
    <w:rsid w:val="003A0FB1"/>
    <w:rsid w:val="003A2BE5"/>
    <w:rsid w:val="003A301D"/>
    <w:rsid w:val="003A3900"/>
    <w:rsid w:val="003A409B"/>
    <w:rsid w:val="003A41B8"/>
    <w:rsid w:val="003A4E47"/>
    <w:rsid w:val="003A541A"/>
    <w:rsid w:val="003A67B2"/>
    <w:rsid w:val="003B0718"/>
    <w:rsid w:val="003B089D"/>
    <w:rsid w:val="003B2018"/>
    <w:rsid w:val="003B2F60"/>
    <w:rsid w:val="003B55D9"/>
    <w:rsid w:val="003B6E49"/>
    <w:rsid w:val="003B79D5"/>
    <w:rsid w:val="003C0AA2"/>
    <w:rsid w:val="003C0C10"/>
    <w:rsid w:val="003C1A08"/>
    <w:rsid w:val="003C1DA0"/>
    <w:rsid w:val="003C209D"/>
    <w:rsid w:val="003C22B6"/>
    <w:rsid w:val="003C3BD8"/>
    <w:rsid w:val="003C536E"/>
    <w:rsid w:val="003C6A8D"/>
    <w:rsid w:val="003C6B1A"/>
    <w:rsid w:val="003C6C24"/>
    <w:rsid w:val="003C7457"/>
    <w:rsid w:val="003D068D"/>
    <w:rsid w:val="003D0D46"/>
    <w:rsid w:val="003D0E48"/>
    <w:rsid w:val="003D1206"/>
    <w:rsid w:val="003D156F"/>
    <w:rsid w:val="003D1836"/>
    <w:rsid w:val="003D1AE4"/>
    <w:rsid w:val="003D4B01"/>
    <w:rsid w:val="003D6A3A"/>
    <w:rsid w:val="003D6F3A"/>
    <w:rsid w:val="003E03EE"/>
    <w:rsid w:val="003E2265"/>
    <w:rsid w:val="003E2340"/>
    <w:rsid w:val="003E3CC9"/>
    <w:rsid w:val="003E3EC6"/>
    <w:rsid w:val="003E4CE3"/>
    <w:rsid w:val="003E6841"/>
    <w:rsid w:val="003E6D43"/>
    <w:rsid w:val="003E6E1E"/>
    <w:rsid w:val="003E7F59"/>
    <w:rsid w:val="003F1014"/>
    <w:rsid w:val="003F3CAB"/>
    <w:rsid w:val="003F3D7E"/>
    <w:rsid w:val="003F4B98"/>
    <w:rsid w:val="003F4E69"/>
    <w:rsid w:val="003F5872"/>
    <w:rsid w:val="003F61EE"/>
    <w:rsid w:val="003F6C1D"/>
    <w:rsid w:val="003F6C98"/>
    <w:rsid w:val="003F73E4"/>
    <w:rsid w:val="003F7D54"/>
    <w:rsid w:val="004004B4"/>
    <w:rsid w:val="004005C1"/>
    <w:rsid w:val="004009BB"/>
    <w:rsid w:val="004011DF"/>
    <w:rsid w:val="004025F6"/>
    <w:rsid w:val="0040451B"/>
    <w:rsid w:val="004079B5"/>
    <w:rsid w:val="004113AE"/>
    <w:rsid w:val="0041162E"/>
    <w:rsid w:val="004117FF"/>
    <w:rsid w:val="00411BEF"/>
    <w:rsid w:val="00413B5C"/>
    <w:rsid w:val="004155DC"/>
    <w:rsid w:val="00415D6B"/>
    <w:rsid w:val="004177AF"/>
    <w:rsid w:val="00417E33"/>
    <w:rsid w:val="00421A90"/>
    <w:rsid w:val="00421BA8"/>
    <w:rsid w:val="00421E51"/>
    <w:rsid w:val="00422115"/>
    <w:rsid w:val="00422C39"/>
    <w:rsid w:val="00424748"/>
    <w:rsid w:val="004248A9"/>
    <w:rsid w:val="004254FA"/>
    <w:rsid w:val="00426139"/>
    <w:rsid w:val="004268A8"/>
    <w:rsid w:val="00426CEB"/>
    <w:rsid w:val="00430E60"/>
    <w:rsid w:val="00432D3A"/>
    <w:rsid w:val="00433832"/>
    <w:rsid w:val="004343B3"/>
    <w:rsid w:val="00434450"/>
    <w:rsid w:val="0043559B"/>
    <w:rsid w:val="00437422"/>
    <w:rsid w:val="004379A0"/>
    <w:rsid w:val="00437EF3"/>
    <w:rsid w:val="004401D3"/>
    <w:rsid w:val="00441CF8"/>
    <w:rsid w:val="00442BA8"/>
    <w:rsid w:val="00444658"/>
    <w:rsid w:val="00444745"/>
    <w:rsid w:val="00446607"/>
    <w:rsid w:val="00450845"/>
    <w:rsid w:val="00450A9B"/>
    <w:rsid w:val="00451C50"/>
    <w:rsid w:val="004532F8"/>
    <w:rsid w:val="00453854"/>
    <w:rsid w:val="00454F9B"/>
    <w:rsid w:val="0045547B"/>
    <w:rsid w:val="0045644E"/>
    <w:rsid w:val="004567CE"/>
    <w:rsid w:val="004567E0"/>
    <w:rsid w:val="0045738A"/>
    <w:rsid w:val="0046030F"/>
    <w:rsid w:val="00460E98"/>
    <w:rsid w:val="00462FF8"/>
    <w:rsid w:val="0046327E"/>
    <w:rsid w:val="004639EC"/>
    <w:rsid w:val="00464D4C"/>
    <w:rsid w:val="0046508F"/>
    <w:rsid w:val="00465765"/>
    <w:rsid w:val="00465941"/>
    <w:rsid w:val="004714FA"/>
    <w:rsid w:val="00473749"/>
    <w:rsid w:val="00475285"/>
    <w:rsid w:val="004778FE"/>
    <w:rsid w:val="00482446"/>
    <w:rsid w:val="00483537"/>
    <w:rsid w:val="00483827"/>
    <w:rsid w:val="004851DB"/>
    <w:rsid w:val="0048544A"/>
    <w:rsid w:val="0048581D"/>
    <w:rsid w:val="004859BA"/>
    <w:rsid w:val="00485B57"/>
    <w:rsid w:val="00485FE0"/>
    <w:rsid w:val="004867C4"/>
    <w:rsid w:val="00486DF1"/>
    <w:rsid w:val="00487AE7"/>
    <w:rsid w:val="004914DA"/>
    <w:rsid w:val="00492309"/>
    <w:rsid w:val="00493219"/>
    <w:rsid w:val="004934BB"/>
    <w:rsid w:val="0049363A"/>
    <w:rsid w:val="0049379E"/>
    <w:rsid w:val="00495677"/>
    <w:rsid w:val="00496238"/>
    <w:rsid w:val="0049742A"/>
    <w:rsid w:val="004A150E"/>
    <w:rsid w:val="004A1679"/>
    <w:rsid w:val="004A29CE"/>
    <w:rsid w:val="004B0305"/>
    <w:rsid w:val="004B07A0"/>
    <w:rsid w:val="004B2314"/>
    <w:rsid w:val="004B4423"/>
    <w:rsid w:val="004B5247"/>
    <w:rsid w:val="004B7C73"/>
    <w:rsid w:val="004C3BD4"/>
    <w:rsid w:val="004C4C7E"/>
    <w:rsid w:val="004C6CE2"/>
    <w:rsid w:val="004C73AC"/>
    <w:rsid w:val="004C7722"/>
    <w:rsid w:val="004C7DA1"/>
    <w:rsid w:val="004D0CBE"/>
    <w:rsid w:val="004D13F2"/>
    <w:rsid w:val="004D201D"/>
    <w:rsid w:val="004D3FE2"/>
    <w:rsid w:val="004D53DB"/>
    <w:rsid w:val="004D75A6"/>
    <w:rsid w:val="004D7F2E"/>
    <w:rsid w:val="004E059D"/>
    <w:rsid w:val="004E1D38"/>
    <w:rsid w:val="004E246B"/>
    <w:rsid w:val="004E3330"/>
    <w:rsid w:val="004E4277"/>
    <w:rsid w:val="004E5526"/>
    <w:rsid w:val="004E5E01"/>
    <w:rsid w:val="004E5F08"/>
    <w:rsid w:val="004F070E"/>
    <w:rsid w:val="004F177B"/>
    <w:rsid w:val="004F17C0"/>
    <w:rsid w:val="004F1D23"/>
    <w:rsid w:val="004F23C5"/>
    <w:rsid w:val="004F2B01"/>
    <w:rsid w:val="004F357F"/>
    <w:rsid w:val="004F42B6"/>
    <w:rsid w:val="004F5A50"/>
    <w:rsid w:val="004F5ED5"/>
    <w:rsid w:val="004F6CF4"/>
    <w:rsid w:val="004F6F49"/>
    <w:rsid w:val="004F75DD"/>
    <w:rsid w:val="00501A91"/>
    <w:rsid w:val="00501D63"/>
    <w:rsid w:val="0050458E"/>
    <w:rsid w:val="0050485C"/>
    <w:rsid w:val="0050507A"/>
    <w:rsid w:val="00505D26"/>
    <w:rsid w:val="005079A1"/>
    <w:rsid w:val="0051127B"/>
    <w:rsid w:val="00511461"/>
    <w:rsid w:val="0051191D"/>
    <w:rsid w:val="005148BF"/>
    <w:rsid w:val="005169A6"/>
    <w:rsid w:val="00517651"/>
    <w:rsid w:val="0052034B"/>
    <w:rsid w:val="00520979"/>
    <w:rsid w:val="00522191"/>
    <w:rsid w:val="00522A63"/>
    <w:rsid w:val="005234AD"/>
    <w:rsid w:val="00534717"/>
    <w:rsid w:val="00536A65"/>
    <w:rsid w:val="005408B2"/>
    <w:rsid w:val="00541EB3"/>
    <w:rsid w:val="0054284F"/>
    <w:rsid w:val="00542A46"/>
    <w:rsid w:val="005434F3"/>
    <w:rsid w:val="00543AB6"/>
    <w:rsid w:val="00544895"/>
    <w:rsid w:val="00544B72"/>
    <w:rsid w:val="00544D54"/>
    <w:rsid w:val="0054590C"/>
    <w:rsid w:val="00545AAE"/>
    <w:rsid w:val="00545C80"/>
    <w:rsid w:val="005460A4"/>
    <w:rsid w:val="00550E96"/>
    <w:rsid w:val="0055321F"/>
    <w:rsid w:val="00555B8A"/>
    <w:rsid w:val="0055762A"/>
    <w:rsid w:val="00557B3E"/>
    <w:rsid w:val="00560728"/>
    <w:rsid w:val="00562C62"/>
    <w:rsid w:val="00563596"/>
    <w:rsid w:val="005644BA"/>
    <w:rsid w:val="0056458D"/>
    <w:rsid w:val="00565201"/>
    <w:rsid w:val="005652F8"/>
    <w:rsid w:val="005659EF"/>
    <w:rsid w:val="00565B3C"/>
    <w:rsid w:val="00565F83"/>
    <w:rsid w:val="00565FE4"/>
    <w:rsid w:val="0056609D"/>
    <w:rsid w:val="0056625F"/>
    <w:rsid w:val="00570F53"/>
    <w:rsid w:val="0057214B"/>
    <w:rsid w:val="00572A56"/>
    <w:rsid w:val="00572C64"/>
    <w:rsid w:val="0057373F"/>
    <w:rsid w:val="00573E83"/>
    <w:rsid w:val="00574222"/>
    <w:rsid w:val="00574774"/>
    <w:rsid w:val="0057545F"/>
    <w:rsid w:val="00577831"/>
    <w:rsid w:val="00580320"/>
    <w:rsid w:val="005814D0"/>
    <w:rsid w:val="005833D2"/>
    <w:rsid w:val="00583CE6"/>
    <w:rsid w:val="00585152"/>
    <w:rsid w:val="00586986"/>
    <w:rsid w:val="00587F88"/>
    <w:rsid w:val="00590102"/>
    <w:rsid w:val="005908CB"/>
    <w:rsid w:val="00593DEC"/>
    <w:rsid w:val="00593F14"/>
    <w:rsid w:val="005943C6"/>
    <w:rsid w:val="00596FC1"/>
    <w:rsid w:val="00597988"/>
    <w:rsid w:val="005A0CC9"/>
    <w:rsid w:val="005A1FB3"/>
    <w:rsid w:val="005A2600"/>
    <w:rsid w:val="005A3661"/>
    <w:rsid w:val="005A508C"/>
    <w:rsid w:val="005B0538"/>
    <w:rsid w:val="005B0C7D"/>
    <w:rsid w:val="005B0CE9"/>
    <w:rsid w:val="005B2849"/>
    <w:rsid w:val="005B2EA6"/>
    <w:rsid w:val="005B6219"/>
    <w:rsid w:val="005C0149"/>
    <w:rsid w:val="005C2DDA"/>
    <w:rsid w:val="005C3022"/>
    <w:rsid w:val="005C4D9B"/>
    <w:rsid w:val="005C633C"/>
    <w:rsid w:val="005C7CC9"/>
    <w:rsid w:val="005C7EAE"/>
    <w:rsid w:val="005D06AA"/>
    <w:rsid w:val="005D0EAC"/>
    <w:rsid w:val="005D129B"/>
    <w:rsid w:val="005D26AB"/>
    <w:rsid w:val="005D31CA"/>
    <w:rsid w:val="005D31D6"/>
    <w:rsid w:val="005D3E46"/>
    <w:rsid w:val="005D459F"/>
    <w:rsid w:val="005D45E5"/>
    <w:rsid w:val="005D4B14"/>
    <w:rsid w:val="005D666B"/>
    <w:rsid w:val="005E0508"/>
    <w:rsid w:val="005E0D15"/>
    <w:rsid w:val="005E2BB0"/>
    <w:rsid w:val="005E2D34"/>
    <w:rsid w:val="005E32CA"/>
    <w:rsid w:val="005E4A0A"/>
    <w:rsid w:val="005E4C17"/>
    <w:rsid w:val="005E4F2C"/>
    <w:rsid w:val="005E4F57"/>
    <w:rsid w:val="005E7584"/>
    <w:rsid w:val="005E7A1E"/>
    <w:rsid w:val="005E7A79"/>
    <w:rsid w:val="005E7DE0"/>
    <w:rsid w:val="005E7F3E"/>
    <w:rsid w:val="005F01F9"/>
    <w:rsid w:val="005F0332"/>
    <w:rsid w:val="005F16C1"/>
    <w:rsid w:val="005F1B50"/>
    <w:rsid w:val="005F1CA4"/>
    <w:rsid w:val="005F28BD"/>
    <w:rsid w:val="005F3D36"/>
    <w:rsid w:val="005F4AC9"/>
    <w:rsid w:val="005F50EA"/>
    <w:rsid w:val="005F5A2C"/>
    <w:rsid w:val="005F601E"/>
    <w:rsid w:val="005F68EE"/>
    <w:rsid w:val="005F6AC6"/>
    <w:rsid w:val="005F770F"/>
    <w:rsid w:val="005F790F"/>
    <w:rsid w:val="00600226"/>
    <w:rsid w:val="00600A35"/>
    <w:rsid w:val="0060170B"/>
    <w:rsid w:val="00602261"/>
    <w:rsid w:val="006033B4"/>
    <w:rsid w:val="00603AB5"/>
    <w:rsid w:val="00603E94"/>
    <w:rsid w:val="00604A04"/>
    <w:rsid w:val="00605657"/>
    <w:rsid w:val="00605993"/>
    <w:rsid w:val="006103F4"/>
    <w:rsid w:val="00610A03"/>
    <w:rsid w:val="006131DF"/>
    <w:rsid w:val="00613835"/>
    <w:rsid w:val="00617165"/>
    <w:rsid w:val="0061783A"/>
    <w:rsid w:val="00620E3E"/>
    <w:rsid w:val="0062119C"/>
    <w:rsid w:val="00621734"/>
    <w:rsid w:val="00621CB9"/>
    <w:rsid w:val="00621F13"/>
    <w:rsid w:val="00622D75"/>
    <w:rsid w:val="006240DD"/>
    <w:rsid w:val="00624514"/>
    <w:rsid w:val="006264C2"/>
    <w:rsid w:val="006267BE"/>
    <w:rsid w:val="00627796"/>
    <w:rsid w:val="00627E40"/>
    <w:rsid w:val="006305EB"/>
    <w:rsid w:val="00630CEA"/>
    <w:rsid w:val="00631D6D"/>
    <w:rsid w:val="00631D9A"/>
    <w:rsid w:val="006325C5"/>
    <w:rsid w:val="006327CA"/>
    <w:rsid w:val="00633526"/>
    <w:rsid w:val="006341DD"/>
    <w:rsid w:val="006364FF"/>
    <w:rsid w:val="006375AD"/>
    <w:rsid w:val="006401AA"/>
    <w:rsid w:val="006435B5"/>
    <w:rsid w:val="00643FCD"/>
    <w:rsid w:val="0064536D"/>
    <w:rsid w:val="00645E59"/>
    <w:rsid w:val="0064649F"/>
    <w:rsid w:val="00647FEA"/>
    <w:rsid w:val="00650560"/>
    <w:rsid w:val="00651DBF"/>
    <w:rsid w:val="00653829"/>
    <w:rsid w:val="00653A2E"/>
    <w:rsid w:val="00653D5F"/>
    <w:rsid w:val="00653ED6"/>
    <w:rsid w:val="00653F56"/>
    <w:rsid w:val="0065461F"/>
    <w:rsid w:val="00654ACB"/>
    <w:rsid w:val="00656065"/>
    <w:rsid w:val="006560E0"/>
    <w:rsid w:val="0065716A"/>
    <w:rsid w:val="006573F8"/>
    <w:rsid w:val="006642D9"/>
    <w:rsid w:val="006643A1"/>
    <w:rsid w:val="00665AEF"/>
    <w:rsid w:val="00665BA7"/>
    <w:rsid w:val="006700C0"/>
    <w:rsid w:val="0067077C"/>
    <w:rsid w:val="00672B11"/>
    <w:rsid w:val="00673521"/>
    <w:rsid w:val="00673B9B"/>
    <w:rsid w:val="00675F4A"/>
    <w:rsid w:val="00677F23"/>
    <w:rsid w:val="00680383"/>
    <w:rsid w:val="00680E76"/>
    <w:rsid w:val="0068158E"/>
    <w:rsid w:val="00681BAF"/>
    <w:rsid w:val="00681DA2"/>
    <w:rsid w:val="00682376"/>
    <w:rsid w:val="00682B9D"/>
    <w:rsid w:val="00686539"/>
    <w:rsid w:val="00686D1D"/>
    <w:rsid w:val="00686F12"/>
    <w:rsid w:val="006911B3"/>
    <w:rsid w:val="00692244"/>
    <w:rsid w:val="00692AE6"/>
    <w:rsid w:val="006933C1"/>
    <w:rsid w:val="00693BA4"/>
    <w:rsid w:val="006946B7"/>
    <w:rsid w:val="00695356"/>
    <w:rsid w:val="00695828"/>
    <w:rsid w:val="006975B8"/>
    <w:rsid w:val="006977A9"/>
    <w:rsid w:val="006A2227"/>
    <w:rsid w:val="006A2290"/>
    <w:rsid w:val="006A24E2"/>
    <w:rsid w:val="006A2677"/>
    <w:rsid w:val="006A28BC"/>
    <w:rsid w:val="006A2E4B"/>
    <w:rsid w:val="006A4468"/>
    <w:rsid w:val="006A4695"/>
    <w:rsid w:val="006A4F14"/>
    <w:rsid w:val="006A5294"/>
    <w:rsid w:val="006A652F"/>
    <w:rsid w:val="006A6F98"/>
    <w:rsid w:val="006A72E7"/>
    <w:rsid w:val="006A7B07"/>
    <w:rsid w:val="006B216E"/>
    <w:rsid w:val="006B2395"/>
    <w:rsid w:val="006B448E"/>
    <w:rsid w:val="006B5FC6"/>
    <w:rsid w:val="006B6895"/>
    <w:rsid w:val="006B6F63"/>
    <w:rsid w:val="006B724F"/>
    <w:rsid w:val="006C0A30"/>
    <w:rsid w:val="006C0D16"/>
    <w:rsid w:val="006C135C"/>
    <w:rsid w:val="006C249C"/>
    <w:rsid w:val="006C31FE"/>
    <w:rsid w:val="006C3367"/>
    <w:rsid w:val="006C560F"/>
    <w:rsid w:val="006C58CF"/>
    <w:rsid w:val="006C5A99"/>
    <w:rsid w:val="006C60E6"/>
    <w:rsid w:val="006C6786"/>
    <w:rsid w:val="006C6BE3"/>
    <w:rsid w:val="006D1367"/>
    <w:rsid w:val="006D1E4C"/>
    <w:rsid w:val="006D35A8"/>
    <w:rsid w:val="006D3ABA"/>
    <w:rsid w:val="006D53B4"/>
    <w:rsid w:val="006D71FE"/>
    <w:rsid w:val="006E08FD"/>
    <w:rsid w:val="006E0E71"/>
    <w:rsid w:val="006E20D8"/>
    <w:rsid w:val="006E2B8E"/>
    <w:rsid w:val="006E2EEA"/>
    <w:rsid w:val="006E45C3"/>
    <w:rsid w:val="006F0132"/>
    <w:rsid w:val="006F55C5"/>
    <w:rsid w:val="006F5B12"/>
    <w:rsid w:val="006F768C"/>
    <w:rsid w:val="006F7BA7"/>
    <w:rsid w:val="007021BD"/>
    <w:rsid w:val="00703335"/>
    <w:rsid w:val="00703BD3"/>
    <w:rsid w:val="00704669"/>
    <w:rsid w:val="00704B43"/>
    <w:rsid w:val="00704D97"/>
    <w:rsid w:val="007059F9"/>
    <w:rsid w:val="00705EF4"/>
    <w:rsid w:val="007063A2"/>
    <w:rsid w:val="00706DF1"/>
    <w:rsid w:val="0070776E"/>
    <w:rsid w:val="00710189"/>
    <w:rsid w:val="0071263F"/>
    <w:rsid w:val="00712A31"/>
    <w:rsid w:val="00713D88"/>
    <w:rsid w:val="00714EA3"/>
    <w:rsid w:val="00715714"/>
    <w:rsid w:val="00717063"/>
    <w:rsid w:val="007174EA"/>
    <w:rsid w:val="00717B5C"/>
    <w:rsid w:val="0072255C"/>
    <w:rsid w:val="007226ED"/>
    <w:rsid w:val="0072365A"/>
    <w:rsid w:val="00724D80"/>
    <w:rsid w:val="007254FD"/>
    <w:rsid w:val="00725856"/>
    <w:rsid w:val="0072698E"/>
    <w:rsid w:val="00727847"/>
    <w:rsid w:val="00727FC7"/>
    <w:rsid w:val="00727FF0"/>
    <w:rsid w:val="0073406B"/>
    <w:rsid w:val="00734E0A"/>
    <w:rsid w:val="007353AE"/>
    <w:rsid w:val="00735887"/>
    <w:rsid w:val="007367FA"/>
    <w:rsid w:val="00736E99"/>
    <w:rsid w:val="00737767"/>
    <w:rsid w:val="00740537"/>
    <w:rsid w:val="00742AE7"/>
    <w:rsid w:val="00742FDE"/>
    <w:rsid w:val="00743055"/>
    <w:rsid w:val="0074490F"/>
    <w:rsid w:val="007453A2"/>
    <w:rsid w:val="00745EAE"/>
    <w:rsid w:val="00746554"/>
    <w:rsid w:val="0074770A"/>
    <w:rsid w:val="00751300"/>
    <w:rsid w:val="007513AF"/>
    <w:rsid w:val="007515D5"/>
    <w:rsid w:val="0075203B"/>
    <w:rsid w:val="00752B2D"/>
    <w:rsid w:val="00752E11"/>
    <w:rsid w:val="00752E77"/>
    <w:rsid w:val="00753289"/>
    <w:rsid w:val="007536FC"/>
    <w:rsid w:val="007537C2"/>
    <w:rsid w:val="00753C59"/>
    <w:rsid w:val="007551FA"/>
    <w:rsid w:val="00755268"/>
    <w:rsid w:val="00756A9F"/>
    <w:rsid w:val="00756F93"/>
    <w:rsid w:val="007575C6"/>
    <w:rsid w:val="007605D0"/>
    <w:rsid w:val="007609A6"/>
    <w:rsid w:val="00760EE6"/>
    <w:rsid w:val="00761982"/>
    <w:rsid w:val="007644C6"/>
    <w:rsid w:val="00764638"/>
    <w:rsid w:val="00764927"/>
    <w:rsid w:val="00764D50"/>
    <w:rsid w:val="00765C2D"/>
    <w:rsid w:val="007714DC"/>
    <w:rsid w:val="00772953"/>
    <w:rsid w:val="00772A3B"/>
    <w:rsid w:val="0077397A"/>
    <w:rsid w:val="00774D0A"/>
    <w:rsid w:val="007754AD"/>
    <w:rsid w:val="00776003"/>
    <w:rsid w:val="00780424"/>
    <w:rsid w:val="007807A5"/>
    <w:rsid w:val="00781CD5"/>
    <w:rsid w:val="007836D4"/>
    <w:rsid w:val="00783E29"/>
    <w:rsid w:val="007845C9"/>
    <w:rsid w:val="007853F2"/>
    <w:rsid w:val="00785762"/>
    <w:rsid w:val="00786C01"/>
    <w:rsid w:val="00787185"/>
    <w:rsid w:val="00790546"/>
    <w:rsid w:val="00790AA2"/>
    <w:rsid w:val="00792AA7"/>
    <w:rsid w:val="00792D13"/>
    <w:rsid w:val="007932A9"/>
    <w:rsid w:val="00793835"/>
    <w:rsid w:val="007940C2"/>
    <w:rsid w:val="00795069"/>
    <w:rsid w:val="007956D8"/>
    <w:rsid w:val="007959DE"/>
    <w:rsid w:val="00796596"/>
    <w:rsid w:val="00797348"/>
    <w:rsid w:val="007A03F3"/>
    <w:rsid w:val="007A06EF"/>
    <w:rsid w:val="007A1434"/>
    <w:rsid w:val="007A1F73"/>
    <w:rsid w:val="007A28BD"/>
    <w:rsid w:val="007A3601"/>
    <w:rsid w:val="007A3625"/>
    <w:rsid w:val="007A3E02"/>
    <w:rsid w:val="007A4564"/>
    <w:rsid w:val="007A4D4B"/>
    <w:rsid w:val="007A5990"/>
    <w:rsid w:val="007A5A79"/>
    <w:rsid w:val="007A6534"/>
    <w:rsid w:val="007A6B94"/>
    <w:rsid w:val="007A6CDE"/>
    <w:rsid w:val="007A72B2"/>
    <w:rsid w:val="007A741B"/>
    <w:rsid w:val="007B0794"/>
    <w:rsid w:val="007B0B30"/>
    <w:rsid w:val="007B11CF"/>
    <w:rsid w:val="007B2D99"/>
    <w:rsid w:val="007B302D"/>
    <w:rsid w:val="007B3D57"/>
    <w:rsid w:val="007B4CA9"/>
    <w:rsid w:val="007B6534"/>
    <w:rsid w:val="007B65CB"/>
    <w:rsid w:val="007B7C6E"/>
    <w:rsid w:val="007C0567"/>
    <w:rsid w:val="007C1AEF"/>
    <w:rsid w:val="007C1B54"/>
    <w:rsid w:val="007C2402"/>
    <w:rsid w:val="007C327F"/>
    <w:rsid w:val="007C442A"/>
    <w:rsid w:val="007C4DCF"/>
    <w:rsid w:val="007C7AFA"/>
    <w:rsid w:val="007D1063"/>
    <w:rsid w:val="007D156C"/>
    <w:rsid w:val="007D1E44"/>
    <w:rsid w:val="007D22F5"/>
    <w:rsid w:val="007D277C"/>
    <w:rsid w:val="007D2D2F"/>
    <w:rsid w:val="007D623E"/>
    <w:rsid w:val="007E2C7C"/>
    <w:rsid w:val="007E3994"/>
    <w:rsid w:val="007E43B2"/>
    <w:rsid w:val="007E7283"/>
    <w:rsid w:val="007E780E"/>
    <w:rsid w:val="007F42FB"/>
    <w:rsid w:val="007F5626"/>
    <w:rsid w:val="007F5D1D"/>
    <w:rsid w:val="007F6B82"/>
    <w:rsid w:val="007F7AA3"/>
    <w:rsid w:val="0080087F"/>
    <w:rsid w:val="00802614"/>
    <w:rsid w:val="00803847"/>
    <w:rsid w:val="00803DB8"/>
    <w:rsid w:val="008040FD"/>
    <w:rsid w:val="008058D5"/>
    <w:rsid w:val="00805985"/>
    <w:rsid w:val="00810547"/>
    <w:rsid w:val="00811EF4"/>
    <w:rsid w:val="00812AE4"/>
    <w:rsid w:val="00812DF1"/>
    <w:rsid w:val="00813FCC"/>
    <w:rsid w:val="00814BE0"/>
    <w:rsid w:val="00814D6F"/>
    <w:rsid w:val="00815A7C"/>
    <w:rsid w:val="008177A0"/>
    <w:rsid w:val="00820EB2"/>
    <w:rsid w:val="008223D5"/>
    <w:rsid w:val="008227E7"/>
    <w:rsid w:val="00823201"/>
    <w:rsid w:val="00823206"/>
    <w:rsid w:val="00825865"/>
    <w:rsid w:val="00825AEF"/>
    <w:rsid w:val="008273CF"/>
    <w:rsid w:val="00827741"/>
    <w:rsid w:val="008277E1"/>
    <w:rsid w:val="00827CEC"/>
    <w:rsid w:val="008317E0"/>
    <w:rsid w:val="0083288F"/>
    <w:rsid w:val="008328C9"/>
    <w:rsid w:val="008339F8"/>
    <w:rsid w:val="00834558"/>
    <w:rsid w:val="00834AB1"/>
    <w:rsid w:val="00835DC5"/>
    <w:rsid w:val="00835FD9"/>
    <w:rsid w:val="00837145"/>
    <w:rsid w:val="00837D1E"/>
    <w:rsid w:val="00840C12"/>
    <w:rsid w:val="0084338B"/>
    <w:rsid w:val="00843E8F"/>
    <w:rsid w:val="008446BD"/>
    <w:rsid w:val="00847476"/>
    <w:rsid w:val="00847712"/>
    <w:rsid w:val="0084771A"/>
    <w:rsid w:val="00850602"/>
    <w:rsid w:val="008509DA"/>
    <w:rsid w:val="00851FF8"/>
    <w:rsid w:val="0085254D"/>
    <w:rsid w:val="008526A4"/>
    <w:rsid w:val="008536E6"/>
    <w:rsid w:val="008552DD"/>
    <w:rsid w:val="008553C8"/>
    <w:rsid w:val="008573B8"/>
    <w:rsid w:val="00857FDF"/>
    <w:rsid w:val="0086150F"/>
    <w:rsid w:val="008623D7"/>
    <w:rsid w:val="008634D5"/>
    <w:rsid w:val="00864C74"/>
    <w:rsid w:val="00864F4A"/>
    <w:rsid w:val="008654D2"/>
    <w:rsid w:val="00865671"/>
    <w:rsid w:val="00865703"/>
    <w:rsid w:val="00866E84"/>
    <w:rsid w:val="008673E0"/>
    <w:rsid w:val="0087038B"/>
    <w:rsid w:val="0087063E"/>
    <w:rsid w:val="008737F8"/>
    <w:rsid w:val="00873CE7"/>
    <w:rsid w:val="0087453F"/>
    <w:rsid w:val="00874C75"/>
    <w:rsid w:val="00880932"/>
    <w:rsid w:val="0088245A"/>
    <w:rsid w:val="00883849"/>
    <w:rsid w:val="00884340"/>
    <w:rsid w:val="008843B0"/>
    <w:rsid w:val="00886A17"/>
    <w:rsid w:val="00886C1A"/>
    <w:rsid w:val="00890AE1"/>
    <w:rsid w:val="008917A1"/>
    <w:rsid w:val="008924F8"/>
    <w:rsid w:val="008929F0"/>
    <w:rsid w:val="0089347F"/>
    <w:rsid w:val="0089390F"/>
    <w:rsid w:val="00895F98"/>
    <w:rsid w:val="008961CA"/>
    <w:rsid w:val="00896B64"/>
    <w:rsid w:val="008A047B"/>
    <w:rsid w:val="008A2B30"/>
    <w:rsid w:val="008A3CF3"/>
    <w:rsid w:val="008A4CDD"/>
    <w:rsid w:val="008A6330"/>
    <w:rsid w:val="008A63CD"/>
    <w:rsid w:val="008A68E9"/>
    <w:rsid w:val="008A6F87"/>
    <w:rsid w:val="008B0861"/>
    <w:rsid w:val="008B0CE7"/>
    <w:rsid w:val="008B2A3D"/>
    <w:rsid w:val="008B381C"/>
    <w:rsid w:val="008B3C4A"/>
    <w:rsid w:val="008B4A42"/>
    <w:rsid w:val="008B582A"/>
    <w:rsid w:val="008B69CD"/>
    <w:rsid w:val="008B7865"/>
    <w:rsid w:val="008B7E81"/>
    <w:rsid w:val="008C0FD8"/>
    <w:rsid w:val="008C1631"/>
    <w:rsid w:val="008C1CBD"/>
    <w:rsid w:val="008C20E6"/>
    <w:rsid w:val="008C2BF8"/>
    <w:rsid w:val="008C494F"/>
    <w:rsid w:val="008C5159"/>
    <w:rsid w:val="008C71E6"/>
    <w:rsid w:val="008D1CDA"/>
    <w:rsid w:val="008D201A"/>
    <w:rsid w:val="008D2BDE"/>
    <w:rsid w:val="008D3ED2"/>
    <w:rsid w:val="008D4672"/>
    <w:rsid w:val="008D5E84"/>
    <w:rsid w:val="008D610A"/>
    <w:rsid w:val="008D6601"/>
    <w:rsid w:val="008D7434"/>
    <w:rsid w:val="008E0570"/>
    <w:rsid w:val="008E0A28"/>
    <w:rsid w:val="008E16D3"/>
    <w:rsid w:val="008E1C6E"/>
    <w:rsid w:val="008E2077"/>
    <w:rsid w:val="008E26C1"/>
    <w:rsid w:val="008E2800"/>
    <w:rsid w:val="008E3700"/>
    <w:rsid w:val="008E4E11"/>
    <w:rsid w:val="008E55D8"/>
    <w:rsid w:val="008E5C73"/>
    <w:rsid w:val="008E68AB"/>
    <w:rsid w:val="008E703C"/>
    <w:rsid w:val="008F0C7F"/>
    <w:rsid w:val="008F1966"/>
    <w:rsid w:val="008F1BFE"/>
    <w:rsid w:val="008F37DD"/>
    <w:rsid w:val="008F49FC"/>
    <w:rsid w:val="008F4E0F"/>
    <w:rsid w:val="008F6272"/>
    <w:rsid w:val="008F6B6E"/>
    <w:rsid w:val="008F6D06"/>
    <w:rsid w:val="0090186D"/>
    <w:rsid w:val="00902B3E"/>
    <w:rsid w:val="00904514"/>
    <w:rsid w:val="00904DA8"/>
    <w:rsid w:val="00905393"/>
    <w:rsid w:val="00905579"/>
    <w:rsid w:val="009056C3"/>
    <w:rsid w:val="0090704C"/>
    <w:rsid w:val="00907AFD"/>
    <w:rsid w:val="00910E09"/>
    <w:rsid w:val="00911950"/>
    <w:rsid w:val="009121C6"/>
    <w:rsid w:val="00912C2F"/>
    <w:rsid w:val="00912E71"/>
    <w:rsid w:val="0091371E"/>
    <w:rsid w:val="00913B7E"/>
    <w:rsid w:val="00914673"/>
    <w:rsid w:val="00916013"/>
    <w:rsid w:val="00916DB5"/>
    <w:rsid w:val="00920E3A"/>
    <w:rsid w:val="00921625"/>
    <w:rsid w:val="00922055"/>
    <w:rsid w:val="009226D2"/>
    <w:rsid w:val="00922907"/>
    <w:rsid w:val="00922F8C"/>
    <w:rsid w:val="00923E19"/>
    <w:rsid w:val="00925B39"/>
    <w:rsid w:val="00925D53"/>
    <w:rsid w:val="00925E77"/>
    <w:rsid w:val="00930909"/>
    <w:rsid w:val="00930A09"/>
    <w:rsid w:val="00931590"/>
    <w:rsid w:val="00932BE3"/>
    <w:rsid w:val="00934DF6"/>
    <w:rsid w:val="009368BB"/>
    <w:rsid w:val="009368E8"/>
    <w:rsid w:val="00937876"/>
    <w:rsid w:val="00940C4B"/>
    <w:rsid w:val="00941004"/>
    <w:rsid w:val="0094146C"/>
    <w:rsid w:val="009417C0"/>
    <w:rsid w:val="0094295A"/>
    <w:rsid w:val="0094360C"/>
    <w:rsid w:val="0094477F"/>
    <w:rsid w:val="009469E4"/>
    <w:rsid w:val="00952461"/>
    <w:rsid w:val="009529B4"/>
    <w:rsid w:val="00952AD6"/>
    <w:rsid w:val="00954999"/>
    <w:rsid w:val="009561F2"/>
    <w:rsid w:val="009608FA"/>
    <w:rsid w:val="00960F6C"/>
    <w:rsid w:val="00960FE9"/>
    <w:rsid w:val="00970D73"/>
    <w:rsid w:val="0097184B"/>
    <w:rsid w:val="00971FC8"/>
    <w:rsid w:val="00972107"/>
    <w:rsid w:val="0097221B"/>
    <w:rsid w:val="0097234F"/>
    <w:rsid w:val="009737E7"/>
    <w:rsid w:val="00973A91"/>
    <w:rsid w:val="00973BE4"/>
    <w:rsid w:val="00975EE5"/>
    <w:rsid w:val="00976072"/>
    <w:rsid w:val="00976827"/>
    <w:rsid w:val="009776C0"/>
    <w:rsid w:val="00977982"/>
    <w:rsid w:val="00980F82"/>
    <w:rsid w:val="009821D9"/>
    <w:rsid w:val="00982B34"/>
    <w:rsid w:val="00985CA4"/>
    <w:rsid w:val="00986CEB"/>
    <w:rsid w:val="00986E0C"/>
    <w:rsid w:val="00990D2D"/>
    <w:rsid w:val="009917B8"/>
    <w:rsid w:val="00991A5F"/>
    <w:rsid w:val="00991AB6"/>
    <w:rsid w:val="0099219E"/>
    <w:rsid w:val="009949FB"/>
    <w:rsid w:val="00995D0F"/>
    <w:rsid w:val="00997182"/>
    <w:rsid w:val="00997327"/>
    <w:rsid w:val="009973AD"/>
    <w:rsid w:val="00997772"/>
    <w:rsid w:val="00997E3F"/>
    <w:rsid w:val="00997F72"/>
    <w:rsid w:val="009A0475"/>
    <w:rsid w:val="009A1AF8"/>
    <w:rsid w:val="009A2338"/>
    <w:rsid w:val="009A438A"/>
    <w:rsid w:val="009A5E58"/>
    <w:rsid w:val="009A6002"/>
    <w:rsid w:val="009A70EE"/>
    <w:rsid w:val="009A7227"/>
    <w:rsid w:val="009B0BE1"/>
    <w:rsid w:val="009B15E6"/>
    <w:rsid w:val="009B17BA"/>
    <w:rsid w:val="009B19D9"/>
    <w:rsid w:val="009B254A"/>
    <w:rsid w:val="009B2928"/>
    <w:rsid w:val="009B36F1"/>
    <w:rsid w:val="009B418B"/>
    <w:rsid w:val="009B4257"/>
    <w:rsid w:val="009B43FC"/>
    <w:rsid w:val="009B530E"/>
    <w:rsid w:val="009B5734"/>
    <w:rsid w:val="009B660C"/>
    <w:rsid w:val="009B6D97"/>
    <w:rsid w:val="009B734F"/>
    <w:rsid w:val="009C22FD"/>
    <w:rsid w:val="009C2378"/>
    <w:rsid w:val="009C2EE5"/>
    <w:rsid w:val="009C338F"/>
    <w:rsid w:val="009C6565"/>
    <w:rsid w:val="009C697F"/>
    <w:rsid w:val="009C7235"/>
    <w:rsid w:val="009C7A68"/>
    <w:rsid w:val="009D0F1C"/>
    <w:rsid w:val="009D17A8"/>
    <w:rsid w:val="009D1897"/>
    <w:rsid w:val="009D2336"/>
    <w:rsid w:val="009D4A51"/>
    <w:rsid w:val="009D61D2"/>
    <w:rsid w:val="009D67E0"/>
    <w:rsid w:val="009D7174"/>
    <w:rsid w:val="009E038C"/>
    <w:rsid w:val="009E14E8"/>
    <w:rsid w:val="009E16E7"/>
    <w:rsid w:val="009E181B"/>
    <w:rsid w:val="009E19A5"/>
    <w:rsid w:val="009E1AEF"/>
    <w:rsid w:val="009E1E1C"/>
    <w:rsid w:val="009E4CBB"/>
    <w:rsid w:val="009E678C"/>
    <w:rsid w:val="009E67FD"/>
    <w:rsid w:val="009E6C24"/>
    <w:rsid w:val="009F15BD"/>
    <w:rsid w:val="009F25CC"/>
    <w:rsid w:val="009F270E"/>
    <w:rsid w:val="009F2C6E"/>
    <w:rsid w:val="009F2FD3"/>
    <w:rsid w:val="009F33AA"/>
    <w:rsid w:val="009F5641"/>
    <w:rsid w:val="009F6E97"/>
    <w:rsid w:val="00A01F82"/>
    <w:rsid w:val="00A028E3"/>
    <w:rsid w:val="00A04972"/>
    <w:rsid w:val="00A053D7"/>
    <w:rsid w:val="00A05A24"/>
    <w:rsid w:val="00A05BBB"/>
    <w:rsid w:val="00A05EA8"/>
    <w:rsid w:val="00A07122"/>
    <w:rsid w:val="00A07393"/>
    <w:rsid w:val="00A1061B"/>
    <w:rsid w:val="00A116A2"/>
    <w:rsid w:val="00A121ED"/>
    <w:rsid w:val="00A12A63"/>
    <w:rsid w:val="00A131EE"/>
    <w:rsid w:val="00A13F46"/>
    <w:rsid w:val="00A144A2"/>
    <w:rsid w:val="00A14B62"/>
    <w:rsid w:val="00A14F39"/>
    <w:rsid w:val="00A1545E"/>
    <w:rsid w:val="00A165D2"/>
    <w:rsid w:val="00A20FE5"/>
    <w:rsid w:val="00A213D2"/>
    <w:rsid w:val="00A216CA"/>
    <w:rsid w:val="00A2210E"/>
    <w:rsid w:val="00A22F96"/>
    <w:rsid w:val="00A240E1"/>
    <w:rsid w:val="00A24EA7"/>
    <w:rsid w:val="00A27955"/>
    <w:rsid w:val="00A30A27"/>
    <w:rsid w:val="00A30B9B"/>
    <w:rsid w:val="00A34459"/>
    <w:rsid w:val="00A36771"/>
    <w:rsid w:val="00A4027D"/>
    <w:rsid w:val="00A403B8"/>
    <w:rsid w:val="00A404F6"/>
    <w:rsid w:val="00A416FB"/>
    <w:rsid w:val="00A41EFD"/>
    <w:rsid w:val="00A42036"/>
    <w:rsid w:val="00A42FF3"/>
    <w:rsid w:val="00A437A5"/>
    <w:rsid w:val="00A438BE"/>
    <w:rsid w:val="00A43FE4"/>
    <w:rsid w:val="00A44AB9"/>
    <w:rsid w:val="00A450F6"/>
    <w:rsid w:val="00A451BA"/>
    <w:rsid w:val="00A4550E"/>
    <w:rsid w:val="00A479B2"/>
    <w:rsid w:val="00A506FE"/>
    <w:rsid w:val="00A52454"/>
    <w:rsid w:val="00A52489"/>
    <w:rsid w:val="00A525FB"/>
    <w:rsid w:val="00A52E9F"/>
    <w:rsid w:val="00A5481B"/>
    <w:rsid w:val="00A54BA2"/>
    <w:rsid w:val="00A57306"/>
    <w:rsid w:val="00A6079E"/>
    <w:rsid w:val="00A60D5B"/>
    <w:rsid w:val="00A60F16"/>
    <w:rsid w:val="00A63B5C"/>
    <w:rsid w:val="00A65264"/>
    <w:rsid w:val="00A6530C"/>
    <w:rsid w:val="00A67288"/>
    <w:rsid w:val="00A700FA"/>
    <w:rsid w:val="00A71A39"/>
    <w:rsid w:val="00A7229A"/>
    <w:rsid w:val="00A723F2"/>
    <w:rsid w:val="00A7258D"/>
    <w:rsid w:val="00A72BA6"/>
    <w:rsid w:val="00A74C91"/>
    <w:rsid w:val="00A77F7F"/>
    <w:rsid w:val="00A82E5A"/>
    <w:rsid w:val="00A846DC"/>
    <w:rsid w:val="00A84F5B"/>
    <w:rsid w:val="00A8580C"/>
    <w:rsid w:val="00A91088"/>
    <w:rsid w:val="00A9171C"/>
    <w:rsid w:val="00A9219E"/>
    <w:rsid w:val="00A94574"/>
    <w:rsid w:val="00A9462E"/>
    <w:rsid w:val="00A94B80"/>
    <w:rsid w:val="00A95664"/>
    <w:rsid w:val="00A966D6"/>
    <w:rsid w:val="00A969EB"/>
    <w:rsid w:val="00A969F7"/>
    <w:rsid w:val="00A96CA0"/>
    <w:rsid w:val="00A9718E"/>
    <w:rsid w:val="00A97B05"/>
    <w:rsid w:val="00AA06B5"/>
    <w:rsid w:val="00AA1225"/>
    <w:rsid w:val="00AA38FB"/>
    <w:rsid w:val="00AA44CF"/>
    <w:rsid w:val="00AA49F1"/>
    <w:rsid w:val="00AA5FC8"/>
    <w:rsid w:val="00AA60FD"/>
    <w:rsid w:val="00AA611C"/>
    <w:rsid w:val="00AA6B65"/>
    <w:rsid w:val="00AA6EAB"/>
    <w:rsid w:val="00AA725F"/>
    <w:rsid w:val="00AB0008"/>
    <w:rsid w:val="00AB12DF"/>
    <w:rsid w:val="00AB1B44"/>
    <w:rsid w:val="00AB2756"/>
    <w:rsid w:val="00AB2DEF"/>
    <w:rsid w:val="00AB4BE5"/>
    <w:rsid w:val="00AB4F42"/>
    <w:rsid w:val="00AB5596"/>
    <w:rsid w:val="00AB799C"/>
    <w:rsid w:val="00AB7D60"/>
    <w:rsid w:val="00AB7F53"/>
    <w:rsid w:val="00AC084A"/>
    <w:rsid w:val="00AC48CF"/>
    <w:rsid w:val="00AC56BA"/>
    <w:rsid w:val="00AC6200"/>
    <w:rsid w:val="00AC772A"/>
    <w:rsid w:val="00AD0A6B"/>
    <w:rsid w:val="00AD0C51"/>
    <w:rsid w:val="00AD1EC8"/>
    <w:rsid w:val="00AD2BE2"/>
    <w:rsid w:val="00AD2CEC"/>
    <w:rsid w:val="00AD36AE"/>
    <w:rsid w:val="00AD3B1F"/>
    <w:rsid w:val="00AD4618"/>
    <w:rsid w:val="00AD4932"/>
    <w:rsid w:val="00AD5400"/>
    <w:rsid w:val="00AD577B"/>
    <w:rsid w:val="00AD5FB7"/>
    <w:rsid w:val="00AE0D9C"/>
    <w:rsid w:val="00AE50B8"/>
    <w:rsid w:val="00AE50D3"/>
    <w:rsid w:val="00AE68E9"/>
    <w:rsid w:val="00AF3A1A"/>
    <w:rsid w:val="00AF53D6"/>
    <w:rsid w:val="00AF7556"/>
    <w:rsid w:val="00B01427"/>
    <w:rsid w:val="00B02574"/>
    <w:rsid w:val="00B04058"/>
    <w:rsid w:val="00B0503E"/>
    <w:rsid w:val="00B05F2C"/>
    <w:rsid w:val="00B06937"/>
    <w:rsid w:val="00B10638"/>
    <w:rsid w:val="00B10B8B"/>
    <w:rsid w:val="00B1108E"/>
    <w:rsid w:val="00B118D2"/>
    <w:rsid w:val="00B12FF8"/>
    <w:rsid w:val="00B130D5"/>
    <w:rsid w:val="00B15143"/>
    <w:rsid w:val="00B15F41"/>
    <w:rsid w:val="00B15FBA"/>
    <w:rsid w:val="00B17687"/>
    <w:rsid w:val="00B20C4A"/>
    <w:rsid w:val="00B2191B"/>
    <w:rsid w:val="00B219CC"/>
    <w:rsid w:val="00B223DB"/>
    <w:rsid w:val="00B22905"/>
    <w:rsid w:val="00B2432F"/>
    <w:rsid w:val="00B24D3E"/>
    <w:rsid w:val="00B2555C"/>
    <w:rsid w:val="00B25672"/>
    <w:rsid w:val="00B26713"/>
    <w:rsid w:val="00B2725D"/>
    <w:rsid w:val="00B275F5"/>
    <w:rsid w:val="00B278B9"/>
    <w:rsid w:val="00B27FB2"/>
    <w:rsid w:val="00B30026"/>
    <w:rsid w:val="00B32035"/>
    <w:rsid w:val="00B32A24"/>
    <w:rsid w:val="00B32E8A"/>
    <w:rsid w:val="00B33FD9"/>
    <w:rsid w:val="00B350CC"/>
    <w:rsid w:val="00B35B04"/>
    <w:rsid w:val="00B37AE4"/>
    <w:rsid w:val="00B37C33"/>
    <w:rsid w:val="00B37F2D"/>
    <w:rsid w:val="00B46612"/>
    <w:rsid w:val="00B513CD"/>
    <w:rsid w:val="00B5172D"/>
    <w:rsid w:val="00B5206D"/>
    <w:rsid w:val="00B52F9B"/>
    <w:rsid w:val="00B536DF"/>
    <w:rsid w:val="00B53A0A"/>
    <w:rsid w:val="00B54EB7"/>
    <w:rsid w:val="00B57D3E"/>
    <w:rsid w:val="00B615D7"/>
    <w:rsid w:val="00B6188C"/>
    <w:rsid w:val="00B6241B"/>
    <w:rsid w:val="00B641A8"/>
    <w:rsid w:val="00B64264"/>
    <w:rsid w:val="00B64A3D"/>
    <w:rsid w:val="00B665F4"/>
    <w:rsid w:val="00B66B6C"/>
    <w:rsid w:val="00B67FBD"/>
    <w:rsid w:val="00B7017D"/>
    <w:rsid w:val="00B70186"/>
    <w:rsid w:val="00B706FA"/>
    <w:rsid w:val="00B71155"/>
    <w:rsid w:val="00B71638"/>
    <w:rsid w:val="00B717B1"/>
    <w:rsid w:val="00B71DC1"/>
    <w:rsid w:val="00B73D34"/>
    <w:rsid w:val="00B759EF"/>
    <w:rsid w:val="00B761AA"/>
    <w:rsid w:val="00B7662A"/>
    <w:rsid w:val="00B77C0E"/>
    <w:rsid w:val="00B83697"/>
    <w:rsid w:val="00B85959"/>
    <w:rsid w:val="00B86C4D"/>
    <w:rsid w:val="00B873EF"/>
    <w:rsid w:val="00B87749"/>
    <w:rsid w:val="00B8778D"/>
    <w:rsid w:val="00B907C7"/>
    <w:rsid w:val="00B93EFC"/>
    <w:rsid w:val="00B9440E"/>
    <w:rsid w:val="00B94CC7"/>
    <w:rsid w:val="00B95FFB"/>
    <w:rsid w:val="00B96D0C"/>
    <w:rsid w:val="00B971D0"/>
    <w:rsid w:val="00B979E0"/>
    <w:rsid w:val="00B97B92"/>
    <w:rsid w:val="00B97C0D"/>
    <w:rsid w:val="00BA15C2"/>
    <w:rsid w:val="00BA15C8"/>
    <w:rsid w:val="00BA1691"/>
    <w:rsid w:val="00BA212C"/>
    <w:rsid w:val="00BA5108"/>
    <w:rsid w:val="00BA5A8E"/>
    <w:rsid w:val="00BA5ADB"/>
    <w:rsid w:val="00BA62DA"/>
    <w:rsid w:val="00BA6DD3"/>
    <w:rsid w:val="00BA738C"/>
    <w:rsid w:val="00BA777C"/>
    <w:rsid w:val="00BB14F8"/>
    <w:rsid w:val="00BB243B"/>
    <w:rsid w:val="00BB301D"/>
    <w:rsid w:val="00BB3324"/>
    <w:rsid w:val="00BB4020"/>
    <w:rsid w:val="00BB53CD"/>
    <w:rsid w:val="00BB5CFC"/>
    <w:rsid w:val="00BC3E71"/>
    <w:rsid w:val="00BC3EDD"/>
    <w:rsid w:val="00BC4399"/>
    <w:rsid w:val="00BC4750"/>
    <w:rsid w:val="00BC49E9"/>
    <w:rsid w:val="00BC68BE"/>
    <w:rsid w:val="00BC77F3"/>
    <w:rsid w:val="00BC7D57"/>
    <w:rsid w:val="00BD0A85"/>
    <w:rsid w:val="00BD0D64"/>
    <w:rsid w:val="00BD1270"/>
    <w:rsid w:val="00BD3F51"/>
    <w:rsid w:val="00BD408D"/>
    <w:rsid w:val="00BD42D0"/>
    <w:rsid w:val="00BD42D8"/>
    <w:rsid w:val="00BD4E98"/>
    <w:rsid w:val="00BD591C"/>
    <w:rsid w:val="00BD645E"/>
    <w:rsid w:val="00BD677A"/>
    <w:rsid w:val="00BD6B51"/>
    <w:rsid w:val="00BD6B7E"/>
    <w:rsid w:val="00BD6EA8"/>
    <w:rsid w:val="00BD73D6"/>
    <w:rsid w:val="00BD7528"/>
    <w:rsid w:val="00BD76B7"/>
    <w:rsid w:val="00BD7CBA"/>
    <w:rsid w:val="00BE05C9"/>
    <w:rsid w:val="00BE204B"/>
    <w:rsid w:val="00BE2268"/>
    <w:rsid w:val="00BE32B8"/>
    <w:rsid w:val="00BE3897"/>
    <w:rsid w:val="00BE3CDF"/>
    <w:rsid w:val="00BE6A28"/>
    <w:rsid w:val="00BE6FAB"/>
    <w:rsid w:val="00BE6FBA"/>
    <w:rsid w:val="00BE750C"/>
    <w:rsid w:val="00BF0EAB"/>
    <w:rsid w:val="00BF1001"/>
    <w:rsid w:val="00BF26DB"/>
    <w:rsid w:val="00BF43AD"/>
    <w:rsid w:val="00BF4646"/>
    <w:rsid w:val="00BF72FC"/>
    <w:rsid w:val="00BF7AB0"/>
    <w:rsid w:val="00BF7EFB"/>
    <w:rsid w:val="00C0194B"/>
    <w:rsid w:val="00C01DD1"/>
    <w:rsid w:val="00C02496"/>
    <w:rsid w:val="00C02F78"/>
    <w:rsid w:val="00C03510"/>
    <w:rsid w:val="00C042AE"/>
    <w:rsid w:val="00C04E2A"/>
    <w:rsid w:val="00C05AD4"/>
    <w:rsid w:val="00C073E8"/>
    <w:rsid w:val="00C1124B"/>
    <w:rsid w:val="00C1139F"/>
    <w:rsid w:val="00C11BD0"/>
    <w:rsid w:val="00C1449A"/>
    <w:rsid w:val="00C14BB8"/>
    <w:rsid w:val="00C14D82"/>
    <w:rsid w:val="00C157FC"/>
    <w:rsid w:val="00C1594D"/>
    <w:rsid w:val="00C160F2"/>
    <w:rsid w:val="00C16532"/>
    <w:rsid w:val="00C171FC"/>
    <w:rsid w:val="00C1729F"/>
    <w:rsid w:val="00C172A2"/>
    <w:rsid w:val="00C1772A"/>
    <w:rsid w:val="00C20008"/>
    <w:rsid w:val="00C222A2"/>
    <w:rsid w:val="00C24C96"/>
    <w:rsid w:val="00C25598"/>
    <w:rsid w:val="00C2583B"/>
    <w:rsid w:val="00C25C18"/>
    <w:rsid w:val="00C266BF"/>
    <w:rsid w:val="00C26C81"/>
    <w:rsid w:val="00C30C62"/>
    <w:rsid w:val="00C3145B"/>
    <w:rsid w:val="00C31B62"/>
    <w:rsid w:val="00C32498"/>
    <w:rsid w:val="00C32AD4"/>
    <w:rsid w:val="00C32D95"/>
    <w:rsid w:val="00C33A13"/>
    <w:rsid w:val="00C35131"/>
    <w:rsid w:val="00C354A8"/>
    <w:rsid w:val="00C35AA8"/>
    <w:rsid w:val="00C35F01"/>
    <w:rsid w:val="00C36B37"/>
    <w:rsid w:val="00C36FB1"/>
    <w:rsid w:val="00C37C11"/>
    <w:rsid w:val="00C405CA"/>
    <w:rsid w:val="00C42C06"/>
    <w:rsid w:val="00C44DDD"/>
    <w:rsid w:val="00C46280"/>
    <w:rsid w:val="00C471D1"/>
    <w:rsid w:val="00C47B43"/>
    <w:rsid w:val="00C50D75"/>
    <w:rsid w:val="00C511B3"/>
    <w:rsid w:val="00C52040"/>
    <w:rsid w:val="00C52770"/>
    <w:rsid w:val="00C54CD4"/>
    <w:rsid w:val="00C55AAF"/>
    <w:rsid w:val="00C55C41"/>
    <w:rsid w:val="00C572A4"/>
    <w:rsid w:val="00C57DA2"/>
    <w:rsid w:val="00C61333"/>
    <w:rsid w:val="00C627C5"/>
    <w:rsid w:val="00C62952"/>
    <w:rsid w:val="00C63028"/>
    <w:rsid w:val="00C63C33"/>
    <w:rsid w:val="00C6506D"/>
    <w:rsid w:val="00C650D6"/>
    <w:rsid w:val="00C6671E"/>
    <w:rsid w:val="00C6673B"/>
    <w:rsid w:val="00C7026E"/>
    <w:rsid w:val="00C70CBF"/>
    <w:rsid w:val="00C7102A"/>
    <w:rsid w:val="00C71D32"/>
    <w:rsid w:val="00C71F9B"/>
    <w:rsid w:val="00C74170"/>
    <w:rsid w:val="00C76872"/>
    <w:rsid w:val="00C770E3"/>
    <w:rsid w:val="00C8019D"/>
    <w:rsid w:val="00C808E7"/>
    <w:rsid w:val="00C80A4E"/>
    <w:rsid w:val="00C80D3F"/>
    <w:rsid w:val="00C81E8F"/>
    <w:rsid w:val="00C82336"/>
    <w:rsid w:val="00C828DB"/>
    <w:rsid w:val="00C8375A"/>
    <w:rsid w:val="00C840B4"/>
    <w:rsid w:val="00C9052E"/>
    <w:rsid w:val="00C909D7"/>
    <w:rsid w:val="00C9113D"/>
    <w:rsid w:val="00C91C05"/>
    <w:rsid w:val="00C9357A"/>
    <w:rsid w:val="00C94376"/>
    <w:rsid w:val="00C95ED1"/>
    <w:rsid w:val="00C96555"/>
    <w:rsid w:val="00C965F8"/>
    <w:rsid w:val="00CA041F"/>
    <w:rsid w:val="00CA07BD"/>
    <w:rsid w:val="00CA1FF3"/>
    <w:rsid w:val="00CA2716"/>
    <w:rsid w:val="00CA27CF"/>
    <w:rsid w:val="00CA7BF9"/>
    <w:rsid w:val="00CB04D2"/>
    <w:rsid w:val="00CB06D2"/>
    <w:rsid w:val="00CB0E1C"/>
    <w:rsid w:val="00CB0EA5"/>
    <w:rsid w:val="00CB0F03"/>
    <w:rsid w:val="00CB4FB8"/>
    <w:rsid w:val="00CB7584"/>
    <w:rsid w:val="00CB7B36"/>
    <w:rsid w:val="00CC1C44"/>
    <w:rsid w:val="00CC30B4"/>
    <w:rsid w:val="00CC32B6"/>
    <w:rsid w:val="00CC4607"/>
    <w:rsid w:val="00CC4A93"/>
    <w:rsid w:val="00CC5ABD"/>
    <w:rsid w:val="00CC7116"/>
    <w:rsid w:val="00CD5500"/>
    <w:rsid w:val="00CD568D"/>
    <w:rsid w:val="00CE11B3"/>
    <w:rsid w:val="00CE18F3"/>
    <w:rsid w:val="00CE19DD"/>
    <w:rsid w:val="00CE24A8"/>
    <w:rsid w:val="00CE2B04"/>
    <w:rsid w:val="00CE36C6"/>
    <w:rsid w:val="00CE40A0"/>
    <w:rsid w:val="00CE48E1"/>
    <w:rsid w:val="00CF1A3B"/>
    <w:rsid w:val="00CF2047"/>
    <w:rsid w:val="00CF290C"/>
    <w:rsid w:val="00CF4F25"/>
    <w:rsid w:val="00CF6115"/>
    <w:rsid w:val="00CF7B3B"/>
    <w:rsid w:val="00D004FA"/>
    <w:rsid w:val="00D02B25"/>
    <w:rsid w:val="00D04678"/>
    <w:rsid w:val="00D059D6"/>
    <w:rsid w:val="00D05B88"/>
    <w:rsid w:val="00D06E5B"/>
    <w:rsid w:val="00D0737B"/>
    <w:rsid w:val="00D11346"/>
    <w:rsid w:val="00D1263C"/>
    <w:rsid w:val="00D1279B"/>
    <w:rsid w:val="00D12E22"/>
    <w:rsid w:val="00D14A1E"/>
    <w:rsid w:val="00D16DE9"/>
    <w:rsid w:val="00D172BA"/>
    <w:rsid w:val="00D20B63"/>
    <w:rsid w:val="00D21333"/>
    <w:rsid w:val="00D22BCE"/>
    <w:rsid w:val="00D23C82"/>
    <w:rsid w:val="00D25098"/>
    <w:rsid w:val="00D3021F"/>
    <w:rsid w:val="00D31E28"/>
    <w:rsid w:val="00D31E4B"/>
    <w:rsid w:val="00D331C0"/>
    <w:rsid w:val="00D3390D"/>
    <w:rsid w:val="00D34CFA"/>
    <w:rsid w:val="00D35DE5"/>
    <w:rsid w:val="00D37ED1"/>
    <w:rsid w:val="00D40089"/>
    <w:rsid w:val="00D41D54"/>
    <w:rsid w:val="00D4327A"/>
    <w:rsid w:val="00D434F4"/>
    <w:rsid w:val="00D43F4B"/>
    <w:rsid w:val="00D44220"/>
    <w:rsid w:val="00D4430C"/>
    <w:rsid w:val="00D456F0"/>
    <w:rsid w:val="00D4761A"/>
    <w:rsid w:val="00D47EF2"/>
    <w:rsid w:val="00D516AA"/>
    <w:rsid w:val="00D51E59"/>
    <w:rsid w:val="00D52216"/>
    <w:rsid w:val="00D52508"/>
    <w:rsid w:val="00D536C8"/>
    <w:rsid w:val="00D54340"/>
    <w:rsid w:val="00D5443B"/>
    <w:rsid w:val="00D55BC2"/>
    <w:rsid w:val="00D5711E"/>
    <w:rsid w:val="00D579C1"/>
    <w:rsid w:val="00D57C5C"/>
    <w:rsid w:val="00D57DE8"/>
    <w:rsid w:val="00D63A9B"/>
    <w:rsid w:val="00D64AC5"/>
    <w:rsid w:val="00D65346"/>
    <w:rsid w:val="00D65EC2"/>
    <w:rsid w:val="00D6721B"/>
    <w:rsid w:val="00D70608"/>
    <w:rsid w:val="00D70CC5"/>
    <w:rsid w:val="00D71388"/>
    <w:rsid w:val="00D7313F"/>
    <w:rsid w:val="00D738AF"/>
    <w:rsid w:val="00D73E6C"/>
    <w:rsid w:val="00D73EB3"/>
    <w:rsid w:val="00D749C6"/>
    <w:rsid w:val="00D7768A"/>
    <w:rsid w:val="00D806E3"/>
    <w:rsid w:val="00D823BD"/>
    <w:rsid w:val="00D845EF"/>
    <w:rsid w:val="00D849E3"/>
    <w:rsid w:val="00D85D80"/>
    <w:rsid w:val="00D861A7"/>
    <w:rsid w:val="00D861EE"/>
    <w:rsid w:val="00D86599"/>
    <w:rsid w:val="00D869AA"/>
    <w:rsid w:val="00D87264"/>
    <w:rsid w:val="00D9014C"/>
    <w:rsid w:val="00D90929"/>
    <w:rsid w:val="00D909AA"/>
    <w:rsid w:val="00D920A6"/>
    <w:rsid w:val="00D92186"/>
    <w:rsid w:val="00D92323"/>
    <w:rsid w:val="00D94CE6"/>
    <w:rsid w:val="00D9589C"/>
    <w:rsid w:val="00D96573"/>
    <w:rsid w:val="00D979F8"/>
    <w:rsid w:val="00D97B25"/>
    <w:rsid w:val="00DA0465"/>
    <w:rsid w:val="00DA14DF"/>
    <w:rsid w:val="00DA350B"/>
    <w:rsid w:val="00DA3ADB"/>
    <w:rsid w:val="00DA4073"/>
    <w:rsid w:val="00DA40D0"/>
    <w:rsid w:val="00DA4E59"/>
    <w:rsid w:val="00DA5CC0"/>
    <w:rsid w:val="00DA5EA5"/>
    <w:rsid w:val="00DA7C74"/>
    <w:rsid w:val="00DB20C3"/>
    <w:rsid w:val="00DB31BE"/>
    <w:rsid w:val="00DB3B72"/>
    <w:rsid w:val="00DB5402"/>
    <w:rsid w:val="00DB5488"/>
    <w:rsid w:val="00DB5AF4"/>
    <w:rsid w:val="00DB60FB"/>
    <w:rsid w:val="00DC0F37"/>
    <w:rsid w:val="00DC2336"/>
    <w:rsid w:val="00DC4581"/>
    <w:rsid w:val="00DC6993"/>
    <w:rsid w:val="00DC6DB6"/>
    <w:rsid w:val="00DC77D8"/>
    <w:rsid w:val="00DC7B1E"/>
    <w:rsid w:val="00DC7B32"/>
    <w:rsid w:val="00DC7F49"/>
    <w:rsid w:val="00DC7FD4"/>
    <w:rsid w:val="00DD0720"/>
    <w:rsid w:val="00DD0811"/>
    <w:rsid w:val="00DD128A"/>
    <w:rsid w:val="00DD2042"/>
    <w:rsid w:val="00DD27DD"/>
    <w:rsid w:val="00DD30A5"/>
    <w:rsid w:val="00DD3730"/>
    <w:rsid w:val="00DD42CB"/>
    <w:rsid w:val="00DD5415"/>
    <w:rsid w:val="00DD59A4"/>
    <w:rsid w:val="00DD66EE"/>
    <w:rsid w:val="00DD6DE6"/>
    <w:rsid w:val="00DD75B5"/>
    <w:rsid w:val="00DE0182"/>
    <w:rsid w:val="00DE15A9"/>
    <w:rsid w:val="00DE1BED"/>
    <w:rsid w:val="00DE31C5"/>
    <w:rsid w:val="00DE3689"/>
    <w:rsid w:val="00DE36FD"/>
    <w:rsid w:val="00DE5512"/>
    <w:rsid w:val="00DE5BF5"/>
    <w:rsid w:val="00DE6003"/>
    <w:rsid w:val="00DE6874"/>
    <w:rsid w:val="00DE6A61"/>
    <w:rsid w:val="00DE6F50"/>
    <w:rsid w:val="00DE704E"/>
    <w:rsid w:val="00DE73F5"/>
    <w:rsid w:val="00DF0135"/>
    <w:rsid w:val="00DF0AE5"/>
    <w:rsid w:val="00DF4C3F"/>
    <w:rsid w:val="00DF5867"/>
    <w:rsid w:val="00DF6606"/>
    <w:rsid w:val="00DF7334"/>
    <w:rsid w:val="00DF745D"/>
    <w:rsid w:val="00DF7EB6"/>
    <w:rsid w:val="00E00C04"/>
    <w:rsid w:val="00E01CCD"/>
    <w:rsid w:val="00E042FF"/>
    <w:rsid w:val="00E04365"/>
    <w:rsid w:val="00E05479"/>
    <w:rsid w:val="00E061AF"/>
    <w:rsid w:val="00E06340"/>
    <w:rsid w:val="00E1065A"/>
    <w:rsid w:val="00E10AA7"/>
    <w:rsid w:val="00E1155C"/>
    <w:rsid w:val="00E13071"/>
    <w:rsid w:val="00E145E8"/>
    <w:rsid w:val="00E14A97"/>
    <w:rsid w:val="00E15D98"/>
    <w:rsid w:val="00E16178"/>
    <w:rsid w:val="00E1622D"/>
    <w:rsid w:val="00E16B8C"/>
    <w:rsid w:val="00E20AB3"/>
    <w:rsid w:val="00E2494E"/>
    <w:rsid w:val="00E24EFA"/>
    <w:rsid w:val="00E250D8"/>
    <w:rsid w:val="00E2515C"/>
    <w:rsid w:val="00E25709"/>
    <w:rsid w:val="00E27184"/>
    <w:rsid w:val="00E27C2C"/>
    <w:rsid w:val="00E307C3"/>
    <w:rsid w:val="00E34681"/>
    <w:rsid w:val="00E346C2"/>
    <w:rsid w:val="00E40D03"/>
    <w:rsid w:val="00E41581"/>
    <w:rsid w:val="00E4299D"/>
    <w:rsid w:val="00E44164"/>
    <w:rsid w:val="00E44B97"/>
    <w:rsid w:val="00E45EBC"/>
    <w:rsid w:val="00E52352"/>
    <w:rsid w:val="00E52F34"/>
    <w:rsid w:val="00E53645"/>
    <w:rsid w:val="00E53770"/>
    <w:rsid w:val="00E5396D"/>
    <w:rsid w:val="00E53EFA"/>
    <w:rsid w:val="00E53F97"/>
    <w:rsid w:val="00E540E3"/>
    <w:rsid w:val="00E5423F"/>
    <w:rsid w:val="00E5624C"/>
    <w:rsid w:val="00E56C69"/>
    <w:rsid w:val="00E60C37"/>
    <w:rsid w:val="00E61E82"/>
    <w:rsid w:val="00E6299A"/>
    <w:rsid w:val="00E632DB"/>
    <w:rsid w:val="00E63729"/>
    <w:rsid w:val="00E6392E"/>
    <w:rsid w:val="00E642E2"/>
    <w:rsid w:val="00E64528"/>
    <w:rsid w:val="00E648E2"/>
    <w:rsid w:val="00E65F69"/>
    <w:rsid w:val="00E671D3"/>
    <w:rsid w:val="00E674AB"/>
    <w:rsid w:val="00E703B0"/>
    <w:rsid w:val="00E70B8D"/>
    <w:rsid w:val="00E727B2"/>
    <w:rsid w:val="00E74705"/>
    <w:rsid w:val="00E756AA"/>
    <w:rsid w:val="00E7593D"/>
    <w:rsid w:val="00E80E73"/>
    <w:rsid w:val="00E81EB5"/>
    <w:rsid w:val="00E81FE0"/>
    <w:rsid w:val="00E82438"/>
    <w:rsid w:val="00E82E93"/>
    <w:rsid w:val="00E84C32"/>
    <w:rsid w:val="00E859A0"/>
    <w:rsid w:val="00E85DBD"/>
    <w:rsid w:val="00E8786E"/>
    <w:rsid w:val="00E879D5"/>
    <w:rsid w:val="00E87F01"/>
    <w:rsid w:val="00E920AA"/>
    <w:rsid w:val="00E93B6A"/>
    <w:rsid w:val="00E9439B"/>
    <w:rsid w:val="00E94455"/>
    <w:rsid w:val="00E963C0"/>
    <w:rsid w:val="00E96F7C"/>
    <w:rsid w:val="00E974EC"/>
    <w:rsid w:val="00E97837"/>
    <w:rsid w:val="00EA032D"/>
    <w:rsid w:val="00EA0761"/>
    <w:rsid w:val="00EA0A6C"/>
    <w:rsid w:val="00EA24E7"/>
    <w:rsid w:val="00EA373A"/>
    <w:rsid w:val="00EA4A6E"/>
    <w:rsid w:val="00EA66C2"/>
    <w:rsid w:val="00EA68CC"/>
    <w:rsid w:val="00EA69DF"/>
    <w:rsid w:val="00EA6B24"/>
    <w:rsid w:val="00EA70A7"/>
    <w:rsid w:val="00EB1678"/>
    <w:rsid w:val="00EB29F8"/>
    <w:rsid w:val="00EB4504"/>
    <w:rsid w:val="00EB452E"/>
    <w:rsid w:val="00EB56E6"/>
    <w:rsid w:val="00EB6FF9"/>
    <w:rsid w:val="00EB7E3D"/>
    <w:rsid w:val="00EC0AD3"/>
    <w:rsid w:val="00EC0C9E"/>
    <w:rsid w:val="00EC18E6"/>
    <w:rsid w:val="00EC3107"/>
    <w:rsid w:val="00EC3405"/>
    <w:rsid w:val="00EC3FFD"/>
    <w:rsid w:val="00EC4EC5"/>
    <w:rsid w:val="00EC541C"/>
    <w:rsid w:val="00EC5721"/>
    <w:rsid w:val="00EC71E0"/>
    <w:rsid w:val="00ED357B"/>
    <w:rsid w:val="00ED3CAA"/>
    <w:rsid w:val="00ED3D47"/>
    <w:rsid w:val="00ED41CC"/>
    <w:rsid w:val="00ED428C"/>
    <w:rsid w:val="00ED449B"/>
    <w:rsid w:val="00ED6B86"/>
    <w:rsid w:val="00ED7029"/>
    <w:rsid w:val="00ED71FD"/>
    <w:rsid w:val="00ED76EE"/>
    <w:rsid w:val="00ED7771"/>
    <w:rsid w:val="00ED79A1"/>
    <w:rsid w:val="00EE15CE"/>
    <w:rsid w:val="00EE19E1"/>
    <w:rsid w:val="00EE2EC6"/>
    <w:rsid w:val="00EE4E31"/>
    <w:rsid w:val="00EE5043"/>
    <w:rsid w:val="00EE5080"/>
    <w:rsid w:val="00EE51DA"/>
    <w:rsid w:val="00EE5E5B"/>
    <w:rsid w:val="00EE6126"/>
    <w:rsid w:val="00EE6EA5"/>
    <w:rsid w:val="00EE7AAC"/>
    <w:rsid w:val="00EE7D8D"/>
    <w:rsid w:val="00EF060B"/>
    <w:rsid w:val="00EF0681"/>
    <w:rsid w:val="00EF0B8C"/>
    <w:rsid w:val="00EF1528"/>
    <w:rsid w:val="00EF1B97"/>
    <w:rsid w:val="00EF1EA8"/>
    <w:rsid w:val="00EF3BBC"/>
    <w:rsid w:val="00EF4DAE"/>
    <w:rsid w:val="00EF5B34"/>
    <w:rsid w:val="00EF6222"/>
    <w:rsid w:val="00EF6B7B"/>
    <w:rsid w:val="00F003DC"/>
    <w:rsid w:val="00F00EED"/>
    <w:rsid w:val="00F01388"/>
    <w:rsid w:val="00F01A59"/>
    <w:rsid w:val="00F01D8D"/>
    <w:rsid w:val="00F02A56"/>
    <w:rsid w:val="00F030D6"/>
    <w:rsid w:val="00F03CBA"/>
    <w:rsid w:val="00F0427F"/>
    <w:rsid w:val="00F04C3D"/>
    <w:rsid w:val="00F0764B"/>
    <w:rsid w:val="00F103E2"/>
    <w:rsid w:val="00F10573"/>
    <w:rsid w:val="00F10DBE"/>
    <w:rsid w:val="00F128CB"/>
    <w:rsid w:val="00F134AD"/>
    <w:rsid w:val="00F14C52"/>
    <w:rsid w:val="00F15C23"/>
    <w:rsid w:val="00F15C69"/>
    <w:rsid w:val="00F200AE"/>
    <w:rsid w:val="00F20347"/>
    <w:rsid w:val="00F227C0"/>
    <w:rsid w:val="00F23636"/>
    <w:rsid w:val="00F23A74"/>
    <w:rsid w:val="00F244AD"/>
    <w:rsid w:val="00F24FF8"/>
    <w:rsid w:val="00F2632D"/>
    <w:rsid w:val="00F27CDE"/>
    <w:rsid w:val="00F30C6E"/>
    <w:rsid w:val="00F30EF7"/>
    <w:rsid w:val="00F325D8"/>
    <w:rsid w:val="00F3322D"/>
    <w:rsid w:val="00F336CB"/>
    <w:rsid w:val="00F339C0"/>
    <w:rsid w:val="00F35575"/>
    <w:rsid w:val="00F35B01"/>
    <w:rsid w:val="00F412EA"/>
    <w:rsid w:val="00F434A9"/>
    <w:rsid w:val="00F4395B"/>
    <w:rsid w:val="00F439E9"/>
    <w:rsid w:val="00F4442D"/>
    <w:rsid w:val="00F448C9"/>
    <w:rsid w:val="00F459D5"/>
    <w:rsid w:val="00F5289C"/>
    <w:rsid w:val="00F52D62"/>
    <w:rsid w:val="00F53110"/>
    <w:rsid w:val="00F53598"/>
    <w:rsid w:val="00F5434C"/>
    <w:rsid w:val="00F54F64"/>
    <w:rsid w:val="00F55294"/>
    <w:rsid w:val="00F55384"/>
    <w:rsid w:val="00F55B5B"/>
    <w:rsid w:val="00F55BE1"/>
    <w:rsid w:val="00F607C1"/>
    <w:rsid w:val="00F607E8"/>
    <w:rsid w:val="00F608DE"/>
    <w:rsid w:val="00F60CAC"/>
    <w:rsid w:val="00F60D22"/>
    <w:rsid w:val="00F614E8"/>
    <w:rsid w:val="00F61A52"/>
    <w:rsid w:val="00F6369D"/>
    <w:rsid w:val="00F6561A"/>
    <w:rsid w:val="00F65C74"/>
    <w:rsid w:val="00F67064"/>
    <w:rsid w:val="00F706DF"/>
    <w:rsid w:val="00F70C46"/>
    <w:rsid w:val="00F71DFF"/>
    <w:rsid w:val="00F754E8"/>
    <w:rsid w:val="00F75DD9"/>
    <w:rsid w:val="00F772F3"/>
    <w:rsid w:val="00F81989"/>
    <w:rsid w:val="00F81A21"/>
    <w:rsid w:val="00F848FF"/>
    <w:rsid w:val="00F849C0"/>
    <w:rsid w:val="00F85FC2"/>
    <w:rsid w:val="00F86A61"/>
    <w:rsid w:val="00F91EB3"/>
    <w:rsid w:val="00F9218D"/>
    <w:rsid w:val="00F925BE"/>
    <w:rsid w:val="00F92AC5"/>
    <w:rsid w:val="00F93677"/>
    <w:rsid w:val="00F93909"/>
    <w:rsid w:val="00F940FB"/>
    <w:rsid w:val="00F94761"/>
    <w:rsid w:val="00F94D67"/>
    <w:rsid w:val="00F95990"/>
    <w:rsid w:val="00F974A7"/>
    <w:rsid w:val="00F97748"/>
    <w:rsid w:val="00FA07FB"/>
    <w:rsid w:val="00FA09C2"/>
    <w:rsid w:val="00FA2B64"/>
    <w:rsid w:val="00FA323E"/>
    <w:rsid w:val="00FA333F"/>
    <w:rsid w:val="00FA3E7E"/>
    <w:rsid w:val="00FA50B1"/>
    <w:rsid w:val="00FA68AB"/>
    <w:rsid w:val="00FB030D"/>
    <w:rsid w:val="00FB0504"/>
    <w:rsid w:val="00FB0B8F"/>
    <w:rsid w:val="00FB0E12"/>
    <w:rsid w:val="00FB101B"/>
    <w:rsid w:val="00FB17B5"/>
    <w:rsid w:val="00FB1DFB"/>
    <w:rsid w:val="00FB442E"/>
    <w:rsid w:val="00FB497D"/>
    <w:rsid w:val="00FB57DB"/>
    <w:rsid w:val="00FB5A94"/>
    <w:rsid w:val="00FB5BEF"/>
    <w:rsid w:val="00FB68B9"/>
    <w:rsid w:val="00FB77FB"/>
    <w:rsid w:val="00FC06F3"/>
    <w:rsid w:val="00FC19DF"/>
    <w:rsid w:val="00FC312B"/>
    <w:rsid w:val="00FC50DF"/>
    <w:rsid w:val="00FC518B"/>
    <w:rsid w:val="00FC560D"/>
    <w:rsid w:val="00FC6EF5"/>
    <w:rsid w:val="00FC74BE"/>
    <w:rsid w:val="00FC7D93"/>
    <w:rsid w:val="00FD2399"/>
    <w:rsid w:val="00FD284D"/>
    <w:rsid w:val="00FD2ED6"/>
    <w:rsid w:val="00FD4118"/>
    <w:rsid w:val="00FD5C96"/>
    <w:rsid w:val="00FD6F50"/>
    <w:rsid w:val="00FD76D7"/>
    <w:rsid w:val="00FD7EA5"/>
    <w:rsid w:val="00FE1173"/>
    <w:rsid w:val="00FE21C8"/>
    <w:rsid w:val="00FE4684"/>
    <w:rsid w:val="00FE5171"/>
    <w:rsid w:val="00FE5904"/>
    <w:rsid w:val="00FE6D61"/>
    <w:rsid w:val="00FE76D2"/>
    <w:rsid w:val="00FE774C"/>
    <w:rsid w:val="00FE7B07"/>
    <w:rsid w:val="00FF03EF"/>
    <w:rsid w:val="00FF049A"/>
    <w:rsid w:val="00FF0DFA"/>
    <w:rsid w:val="00FF139E"/>
    <w:rsid w:val="00FF248C"/>
    <w:rsid w:val="00FF259A"/>
    <w:rsid w:val="00FF3049"/>
    <w:rsid w:val="00FF6075"/>
    <w:rsid w:val="00FF68B3"/>
    <w:rsid w:val="00FF6A0C"/>
    <w:rsid w:val="00FF6D2D"/>
    <w:rsid w:val="00FF7B5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D5CD8D"/>
  <w15:docId w15:val="{5FD8C060-0E11-439D-A442-2D7D8FBB0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3EC1"/>
    <w:rPr>
      <w:rFonts w:ascii="Helvetica 45 Light" w:hAnsi="Helvetica 45 Light" w:cs="Akhbar MT"/>
      <w:szCs w:val="24"/>
      <w:lang w:val="en-GB"/>
    </w:rPr>
  </w:style>
  <w:style w:type="paragraph" w:styleId="Heading1">
    <w:name w:val="heading 1"/>
    <w:next w:val="Normal"/>
    <w:link w:val="Heading1Char"/>
    <w:autoRedefine/>
    <w:qFormat/>
    <w:rsid w:val="006C5A99"/>
    <w:pPr>
      <w:keepNext/>
      <w:spacing w:line="520" w:lineRule="exact"/>
      <w:jc w:val="center"/>
      <w:outlineLvl w:val="0"/>
    </w:pPr>
    <w:rPr>
      <w:rFonts w:asciiTheme="majorBidi" w:hAnsiTheme="majorBidi" w:cstheme="majorBidi"/>
      <w:b/>
      <w:kern w:val="32"/>
      <w:sz w:val="28"/>
      <w:szCs w:val="28"/>
      <w:lang w:val="en-GB"/>
    </w:rPr>
  </w:style>
  <w:style w:type="paragraph" w:styleId="Heading2">
    <w:name w:val="heading 2"/>
    <w:next w:val="Normal"/>
    <w:autoRedefine/>
    <w:qFormat/>
    <w:rsid w:val="003C536E"/>
    <w:pPr>
      <w:keepNext/>
      <w:pBdr>
        <w:top w:val="single" w:sz="8" w:space="5" w:color="35C3DE"/>
        <w:bottom w:val="single" w:sz="8" w:space="5" w:color="35C3DE"/>
      </w:pBdr>
      <w:spacing w:after="280"/>
      <w:outlineLvl w:val="1"/>
    </w:pPr>
    <w:rPr>
      <w:rFonts w:asciiTheme="majorBidi" w:hAnsiTheme="majorBidi" w:cstheme="majorBidi"/>
      <w:b/>
      <w:caps/>
      <w:color w:val="25358E"/>
      <w:sz w:val="22"/>
      <w:szCs w:val="22"/>
    </w:rPr>
  </w:style>
  <w:style w:type="paragraph" w:styleId="Heading3">
    <w:name w:val="heading 3"/>
    <w:next w:val="Normal"/>
    <w:autoRedefine/>
    <w:qFormat/>
    <w:rsid w:val="00B615D7"/>
    <w:pPr>
      <w:keepNext/>
      <w:numPr>
        <w:numId w:val="4"/>
      </w:numPr>
      <w:shd w:val="clear" w:color="auto" w:fill="FFFFFF"/>
      <w:spacing w:line="360" w:lineRule="auto"/>
      <w:jc w:val="both"/>
      <w:outlineLvl w:val="2"/>
    </w:pPr>
    <w:rPr>
      <w:rFonts w:asciiTheme="majorBidi" w:hAnsiTheme="majorBidi" w:cstheme="majorBidi"/>
      <w:sz w:val="28"/>
      <w:szCs w:val="28"/>
      <w:lang w:val="en-GB"/>
    </w:rPr>
  </w:style>
  <w:style w:type="paragraph" w:styleId="Heading4">
    <w:name w:val="heading 4"/>
    <w:basedOn w:val="Normal"/>
    <w:next w:val="Normal"/>
    <w:link w:val="Heading4Char"/>
    <w:unhideWhenUsed/>
    <w:qFormat/>
    <w:rsid w:val="00A27955"/>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nhideWhenUsed/>
    <w:qFormat/>
    <w:rsid w:val="00A27955"/>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nhideWhenUsed/>
    <w:qFormat/>
    <w:rsid w:val="00A27955"/>
    <w:pPr>
      <w:keepNext/>
      <w:keepLines/>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nhideWhenUsed/>
    <w:qFormat/>
    <w:rsid w:val="00A27955"/>
    <w:pPr>
      <w:keepNext/>
      <w:keepLines/>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nhideWhenUsed/>
    <w:qFormat/>
    <w:rsid w:val="00A27955"/>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A27955"/>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rsid w:val="00073EC1"/>
    <w:pPr>
      <w:tabs>
        <w:tab w:val="center" w:pos="4153"/>
        <w:tab w:val="right" w:pos="8306"/>
      </w:tabs>
    </w:pPr>
    <w:rPr>
      <w:rFonts w:ascii="Helvetica 45 Light" w:hAnsi="Helvetica 45 Light" w:cs="Akhbar MT"/>
      <w:sz w:val="16"/>
      <w:lang w:val="en-GB"/>
    </w:rPr>
  </w:style>
  <w:style w:type="paragraph" w:styleId="Footer">
    <w:name w:val="footer"/>
    <w:link w:val="FooterChar"/>
    <w:autoRedefine/>
    <w:uiPriority w:val="99"/>
    <w:rsid w:val="00165008"/>
    <w:pPr>
      <w:tabs>
        <w:tab w:val="right" w:pos="8306"/>
      </w:tabs>
    </w:pPr>
    <w:rPr>
      <w:rFonts w:asciiTheme="majorBidi" w:hAnsiTheme="majorBidi" w:cstheme="majorBidi"/>
      <w:color w:val="365F91" w:themeColor="accent1" w:themeShade="BF"/>
      <w:sz w:val="16"/>
      <w:szCs w:val="16"/>
      <w:lang w:val="en-GB"/>
    </w:rPr>
  </w:style>
  <w:style w:type="paragraph" w:styleId="ListNumber">
    <w:name w:val="List Number"/>
    <w:rsid w:val="00585152"/>
    <w:pPr>
      <w:numPr>
        <w:numId w:val="2"/>
      </w:numPr>
      <w:spacing w:line="360" w:lineRule="atLeast"/>
    </w:pPr>
    <w:rPr>
      <w:rFonts w:ascii="Helvetica 45 Light" w:hAnsi="Helvetica 45 Light" w:cs="Akhbar MT"/>
      <w:szCs w:val="24"/>
      <w:lang w:val="en-GB"/>
    </w:rPr>
  </w:style>
  <w:style w:type="character" w:styleId="Emphasis">
    <w:name w:val="Emphasis"/>
    <w:basedOn w:val="DefaultParagraphFont"/>
    <w:uiPriority w:val="20"/>
    <w:qFormat/>
    <w:rsid w:val="00073EC1"/>
    <w:rPr>
      <w:rFonts w:ascii="Helvetica 45 Light" w:hAnsi="Helvetica 45 Light"/>
      <w:i/>
      <w:iCs/>
    </w:rPr>
  </w:style>
  <w:style w:type="paragraph" w:styleId="BodyText">
    <w:name w:val="Body Text"/>
    <w:link w:val="BodyTextChar"/>
    <w:qFormat/>
    <w:rsid w:val="00073EC1"/>
    <w:pPr>
      <w:spacing w:after="120" w:line="240" w:lineRule="atLeast"/>
    </w:pPr>
    <w:rPr>
      <w:rFonts w:ascii="Helvetica 45 Light" w:hAnsi="Helvetica 45 Light" w:cs="Akhbar MT"/>
      <w:szCs w:val="24"/>
      <w:lang w:val="en-GB"/>
    </w:rPr>
  </w:style>
  <w:style w:type="table" w:styleId="TableGrid">
    <w:name w:val="Table Grid"/>
    <w:basedOn w:val="TableNormal"/>
    <w:uiPriority w:val="59"/>
    <w:rsid w:val="000F38C4"/>
    <w:rPr>
      <w:rFonts w:ascii="Helvetica 45 Light" w:hAnsi="Helvetica 45 Light" w:cs="Akhbar MT"/>
      <w:sz w:val="17"/>
      <w:szCs w:val="22"/>
    </w:rPr>
    <w:tblPr>
      <w:jc w:val="center"/>
      <w:tblBorders>
        <w:top w:val="single" w:sz="4" w:space="0" w:color="auto"/>
        <w:bottom w:val="single" w:sz="4" w:space="0" w:color="auto"/>
        <w:insideH w:val="single" w:sz="4" w:space="0" w:color="auto"/>
        <w:insideV w:val="single" w:sz="4" w:space="0" w:color="auto"/>
      </w:tblBorders>
      <w:tblCellMar>
        <w:top w:w="57" w:type="dxa"/>
        <w:left w:w="227" w:type="dxa"/>
        <w:bottom w:w="57" w:type="dxa"/>
        <w:right w:w="227" w:type="dxa"/>
      </w:tblCellMar>
    </w:tblPr>
    <w:trPr>
      <w:cantSplit/>
      <w:jc w:val="center"/>
    </w:trPr>
    <w:tblStylePr w:type="lastRow">
      <w:pPr>
        <w:keepNext w:val="0"/>
        <w:wordWrap/>
      </w:pPr>
    </w:tblStylePr>
  </w:style>
  <w:style w:type="paragraph" w:styleId="Title">
    <w:name w:val="Title"/>
    <w:qFormat/>
    <w:rsid w:val="00073EC1"/>
    <w:pPr>
      <w:spacing w:line="560" w:lineRule="atLeast"/>
      <w:outlineLvl w:val="0"/>
    </w:pPr>
    <w:rPr>
      <w:rFonts w:ascii="Helvetica 45 Light" w:hAnsi="Helvetica 45 Light" w:cs="Akhbar MT"/>
      <w:color w:val="35C3DE"/>
      <w:kern w:val="28"/>
      <w:sz w:val="52"/>
      <w:szCs w:val="56"/>
      <w:lang w:val="en-GB"/>
    </w:rPr>
  </w:style>
  <w:style w:type="paragraph" w:customStyle="1" w:styleId="ListNumberBold">
    <w:name w:val="List Number Bold"/>
    <w:basedOn w:val="ListNumber"/>
    <w:rsid w:val="00585152"/>
    <w:pPr>
      <w:numPr>
        <w:numId w:val="1"/>
      </w:numPr>
    </w:pPr>
    <w:rPr>
      <w:rFonts w:ascii="Helvetica 55 Roman" w:hAnsi="Helvetica 55 Roman"/>
      <w:bCs/>
    </w:rPr>
  </w:style>
  <w:style w:type="paragraph" w:styleId="List">
    <w:name w:val="List"/>
    <w:rsid w:val="00073EC1"/>
    <w:pPr>
      <w:spacing w:line="360" w:lineRule="atLeast"/>
      <w:ind w:left="340"/>
    </w:pPr>
    <w:rPr>
      <w:rFonts w:ascii="Helvetica 45 Light" w:hAnsi="Helvetica 45 Light" w:cs="Akhbar MT"/>
      <w:szCs w:val="24"/>
      <w:lang w:val="en-GB"/>
    </w:rPr>
  </w:style>
  <w:style w:type="paragraph" w:customStyle="1" w:styleId="Line">
    <w:name w:val="Line"/>
    <w:next w:val="Normal"/>
    <w:rsid w:val="00073EC1"/>
    <w:pPr>
      <w:pBdr>
        <w:bottom w:val="single" w:sz="8" w:space="1" w:color="35C3DE"/>
      </w:pBdr>
      <w:spacing w:before="180" w:after="180"/>
    </w:pPr>
    <w:rPr>
      <w:rFonts w:ascii="Helvetica 45 Light" w:hAnsi="Helvetica 45 Light" w:cs="Akhbar MT"/>
      <w:sz w:val="10"/>
      <w:szCs w:val="4"/>
      <w:lang w:val="en-GB"/>
    </w:rPr>
  </w:style>
  <w:style w:type="paragraph" w:customStyle="1" w:styleId="Notes">
    <w:name w:val="Notes"/>
    <w:rsid w:val="00073EC1"/>
    <w:pPr>
      <w:spacing w:after="240" w:line="240" w:lineRule="atLeast"/>
    </w:pPr>
    <w:rPr>
      <w:rFonts w:ascii="Helvetica 45 Light" w:hAnsi="Helvetica 45 Light" w:cs="Akhbar MT"/>
      <w:sz w:val="17"/>
      <w:szCs w:val="22"/>
      <w:lang w:val="en-GB"/>
    </w:rPr>
  </w:style>
  <w:style w:type="paragraph" w:customStyle="1" w:styleId="NotesListNumber">
    <w:name w:val="Notes List Number"/>
    <w:basedOn w:val="Notes"/>
    <w:rsid w:val="00585152"/>
    <w:pPr>
      <w:numPr>
        <w:numId w:val="3"/>
      </w:numPr>
    </w:pPr>
  </w:style>
  <w:style w:type="paragraph" w:customStyle="1" w:styleId="ColumnHeading">
    <w:name w:val="Column Heading"/>
    <w:rsid w:val="00073EC1"/>
    <w:rPr>
      <w:rFonts w:ascii="Helvetica 55 Roman" w:hAnsi="Helvetica 55 Roman" w:cs="Akhbar MT"/>
      <w:bCs/>
      <w:sz w:val="17"/>
      <w:szCs w:val="22"/>
      <w:lang w:val="en-GB"/>
    </w:rPr>
  </w:style>
  <w:style w:type="paragraph" w:customStyle="1" w:styleId="TableText">
    <w:name w:val="Table Text"/>
    <w:rsid w:val="00073EC1"/>
    <w:rPr>
      <w:rFonts w:ascii="Helvetica 45 Light" w:hAnsi="Helvetica 45 Light" w:cs="Akhbar MT"/>
      <w:sz w:val="17"/>
      <w:szCs w:val="22"/>
      <w:lang w:val="en-GB"/>
    </w:rPr>
  </w:style>
  <w:style w:type="paragraph" w:styleId="Date">
    <w:name w:val="Date"/>
    <w:next w:val="Normal"/>
    <w:autoRedefine/>
    <w:rsid w:val="00C76872"/>
    <w:pPr>
      <w:spacing w:before="120" w:after="120"/>
      <w:jc w:val="both"/>
    </w:pPr>
    <w:rPr>
      <w:rFonts w:ascii="Helvetica 45 Light" w:hAnsi="Helvetica 45 Light" w:cs="Akhbar MT"/>
      <w:b/>
      <w:bCs/>
      <w:caps/>
      <w:color w:val="25358E"/>
      <w:sz w:val="24"/>
      <w:szCs w:val="24"/>
      <w:lang w:val="en-GB"/>
    </w:rPr>
  </w:style>
  <w:style w:type="character" w:styleId="PageNumber">
    <w:name w:val="page number"/>
    <w:basedOn w:val="DefaultParagraphFont"/>
    <w:rsid w:val="00C6671E"/>
  </w:style>
  <w:style w:type="character" w:customStyle="1" w:styleId="FooterChar">
    <w:name w:val="Footer Char"/>
    <w:basedOn w:val="DefaultParagraphFont"/>
    <w:link w:val="Footer"/>
    <w:uiPriority w:val="99"/>
    <w:rsid w:val="00165008"/>
    <w:rPr>
      <w:rFonts w:asciiTheme="majorBidi" w:hAnsiTheme="majorBidi" w:cstheme="majorBidi"/>
      <w:color w:val="365F91" w:themeColor="accent1" w:themeShade="BF"/>
      <w:sz w:val="16"/>
      <w:szCs w:val="16"/>
      <w:lang w:val="en-GB"/>
    </w:rPr>
  </w:style>
  <w:style w:type="paragraph" w:styleId="BalloonText">
    <w:name w:val="Balloon Text"/>
    <w:basedOn w:val="Normal"/>
    <w:link w:val="BalloonTextChar"/>
    <w:uiPriority w:val="99"/>
    <w:semiHidden/>
    <w:unhideWhenUsed/>
    <w:rsid w:val="007A06EF"/>
    <w:rPr>
      <w:rFonts w:ascii="Tahoma" w:hAnsi="Tahoma" w:cs="Tahoma"/>
      <w:sz w:val="16"/>
      <w:szCs w:val="16"/>
    </w:rPr>
  </w:style>
  <w:style w:type="character" w:customStyle="1" w:styleId="BalloonTextChar">
    <w:name w:val="Balloon Text Char"/>
    <w:basedOn w:val="DefaultParagraphFont"/>
    <w:link w:val="BalloonText"/>
    <w:uiPriority w:val="99"/>
    <w:semiHidden/>
    <w:rsid w:val="007A06EF"/>
    <w:rPr>
      <w:rFonts w:ascii="Tahoma" w:hAnsi="Tahoma" w:cs="Tahoma"/>
      <w:sz w:val="16"/>
      <w:szCs w:val="16"/>
      <w:lang w:val="en-GB"/>
    </w:rPr>
  </w:style>
  <w:style w:type="character" w:styleId="CommentReference">
    <w:name w:val="annotation reference"/>
    <w:basedOn w:val="DefaultParagraphFont"/>
    <w:uiPriority w:val="99"/>
    <w:semiHidden/>
    <w:unhideWhenUsed/>
    <w:rsid w:val="00107F56"/>
    <w:rPr>
      <w:sz w:val="16"/>
      <w:szCs w:val="16"/>
    </w:rPr>
  </w:style>
  <w:style w:type="paragraph" w:styleId="CommentText">
    <w:name w:val="annotation text"/>
    <w:basedOn w:val="Normal"/>
    <w:link w:val="CommentTextChar"/>
    <w:uiPriority w:val="99"/>
    <w:semiHidden/>
    <w:unhideWhenUsed/>
    <w:rsid w:val="00107F56"/>
    <w:rPr>
      <w:szCs w:val="20"/>
    </w:rPr>
  </w:style>
  <w:style w:type="character" w:customStyle="1" w:styleId="CommentTextChar">
    <w:name w:val="Comment Text Char"/>
    <w:basedOn w:val="DefaultParagraphFont"/>
    <w:link w:val="CommentText"/>
    <w:uiPriority w:val="99"/>
    <w:semiHidden/>
    <w:rsid w:val="00107F56"/>
    <w:rPr>
      <w:rFonts w:ascii="Helvetica 45 Light" w:hAnsi="Helvetica 45 Light" w:cs="Akhbar MT"/>
      <w:lang w:val="en-GB"/>
    </w:rPr>
  </w:style>
  <w:style w:type="paragraph" w:styleId="CommentSubject">
    <w:name w:val="annotation subject"/>
    <w:basedOn w:val="CommentText"/>
    <w:next w:val="CommentText"/>
    <w:link w:val="CommentSubjectChar"/>
    <w:uiPriority w:val="99"/>
    <w:semiHidden/>
    <w:unhideWhenUsed/>
    <w:rsid w:val="00107F56"/>
    <w:rPr>
      <w:b/>
      <w:bCs/>
    </w:rPr>
  </w:style>
  <w:style w:type="character" w:customStyle="1" w:styleId="CommentSubjectChar">
    <w:name w:val="Comment Subject Char"/>
    <w:basedOn w:val="CommentTextChar"/>
    <w:link w:val="CommentSubject"/>
    <w:uiPriority w:val="99"/>
    <w:semiHidden/>
    <w:rsid w:val="00107F56"/>
    <w:rPr>
      <w:rFonts w:ascii="Helvetica 45 Light" w:hAnsi="Helvetica 45 Light" w:cs="Akhbar MT"/>
      <w:b/>
      <w:bCs/>
      <w:lang w:val="en-GB"/>
    </w:rPr>
  </w:style>
  <w:style w:type="paragraph" w:styleId="ListParagraph">
    <w:name w:val="List Paragraph"/>
    <w:basedOn w:val="Normal"/>
    <w:link w:val="ListParagraphChar"/>
    <w:uiPriority w:val="34"/>
    <w:qFormat/>
    <w:rsid w:val="00E60C37"/>
    <w:pPr>
      <w:ind w:left="720"/>
      <w:contextualSpacing/>
    </w:pPr>
  </w:style>
  <w:style w:type="character" w:styleId="PlaceholderText">
    <w:name w:val="Placeholder Text"/>
    <w:basedOn w:val="DefaultParagraphFont"/>
    <w:uiPriority w:val="99"/>
    <w:semiHidden/>
    <w:rsid w:val="001B147E"/>
    <w:rPr>
      <w:color w:val="808080"/>
    </w:rPr>
  </w:style>
  <w:style w:type="table" w:customStyle="1" w:styleId="LightGrid-Accent11">
    <w:name w:val="Light Grid - Accent 11"/>
    <w:basedOn w:val="TableNormal"/>
    <w:uiPriority w:val="62"/>
    <w:rsid w:val="003C3BD8"/>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apple-converted-space">
    <w:name w:val="apple-converted-space"/>
    <w:basedOn w:val="DefaultParagraphFont"/>
    <w:rsid w:val="00704B43"/>
  </w:style>
  <w:style w:type="character" w:styleId="SubtleEmphasis">
    <w:name w:val="Subtle Emphasis"/>
    <w:basedOn w:val="DefaultParagraphFont"/>
    <w:uiPriority w:val="19"/>
    <w:qFormat/>
    <w:rsid w:val="00EA68CC"/>
    <w:rPr>
      <w:i/>
      <w:iCs/>
      <w:color w:val="404040" w:themeColor="text1" w:themeTint="BF"/>
    </w:rPr>
  </w:style>
  <w:style w:type="character" w:customStyle="1" w:styleId="ListParagraphChar">
    <w:name w:val="List Paragraph Char"/>
    <w:basedOn w:val="DefaultParagraphFont"/>
    <w:link w:val="ListParagraph"/>
    <w:uiPriority w:val="34"/>
    <w:rsid w:val="00F94D67"/>
    <w:rPr>
      <w:rFonts w:ascii="Helvetica 45 Light" w:hAnsi="Helvetica 45 Light" w:cs="Akhbar MT"/>
      <w:szCs w:val="24"/>
      <w:lang w:val="en-GB"/>
    </w:rPr>
  </w:style>
  <w:style w:type="paragraph" w:styleId="Caption">
    <w:name w:val="caption"/>
    <w:basedOn w:val="Normal"/>
    <w:next w:val="Normal"/>
    <w:uiPriority w:val="35"/>
    <w:unhideWhenUsed/>
    <w:qFormat/>
    <w:rsid w:val="00A9219E"/>
    <w:pPr>
      <w:spacing w:after="200"/>
    </w:pPr>
    <w:rPr>
      <w:b/>
      <w:bCs/>
      <w:color w:val="4F81BD" w:themeColor="accent1"/>
      <w:sz w:val="18"/>
      <w:szCs w:val="18"/>
    </w:rPr>
  </w:style>
  <w:style w:type="character" w:styleId="Strong">
    <w:name w:val="Strong"/>
    <w:basedOn w:val="DefaultParagraphFont"/>
    <w:uiPriority w:val="22"/>
    <w:qFormat/>
    <w:rsid w:val="00DD128A"/>
    <w:rPr>
      <w:b/>
      <w:bCs/>
    </w:rPr>
  </w:style>
  <w:style w:type="table" w:customStyle="1" w:styleId="LightGrid1">
    <w:name w:val="Light Grid1"/>
    <w:basedOn w:val="TableNormal"/>
    <w:uiPriority w:val="62"/>
    <w:rsid w:val="00CC1C4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character" w:customStyle="1" w:styleId="HeaderChar">
    <w:name w:val="Header Char"/>
    <w:link w:val="Header"/>
    <w:uiPriority w:val="99"/>
    <w:rsid w:val="00103098"/>
    <w:rPr>
      <w:rFonts w:ascii="Helvetica 45 Light" w:hAnsi="Helvetica 45 Light" w:cs="Akhbar MT"/>
      <w:sz w:val="16"/>
      <w:lang w:val="en-GB"/>
    </w:rPr>
  </w:style>
  <w:style w:type="table" w:customStyle="1" w:styleId="GridTable1Light1">
    <w:name w:val="Grid Table 1 Light1"/>
    <w:basedOn w:val="TableNormal"/>
    <w:uiPriority w:val="46"/>
    <w:rsid w:val="00FF03E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1Light-Accent11">
    <w:name w:val="Grid Table 1 Light - Accent 11"/>
    <w:basedOn w:val="TableNormal"/>
    <w:uiPriority w:val="46"/>
    <w:rsid w:val="00047520"/>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cPr>
      <w:shd w:val="clear" w:color="auto" w:fill="FFFFFF" w:themeFill="background1"/>
    </w:tc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customStyle="1" w:styleId="mi">
    <w:name w:val="mi"/>
    <w:basedOn w:val="DefaultParagraphFont"/>
    <w:rsid w:val="001F5F8C"/>
  </w:style>
  <w:style w:type="character" w:customStyle="1" w:styleId="mo">
    <w:name w:val="mo"/>
    <w:basedOn w:val="DefaultParagraphFont"/>
    <w:rsid w:val="001F5F8C"/>
  </w:style>
  <w:style w:type="character" w:customStyle="1" w:styleId="mn">
    <w:name w:val="mn"/>
    <w:basedOn w:val="DefaultParagraphFont"/>
    <w:rsid w:val="001F5F8C"/>
  </w:style>
  <w:style w:type="character" w:customStyle="1" w:styleId="mjxassistivemathml">
    <w:name w:val="mjx_assistive_mathml"/>
    <w:basedOn w:val="DefaultParagraphFont"/>
    <w:rsid w:val="001F5F8C"/>
  </w:style>
  <w:style w:type="character" w:styleId="Hyperlink">
    <w:name w:val="Hyperlink"/>
    <w:basedOn w:val="DefaultParagraphFont"/>
    <w:uiPriority w:val="99"/>
    <w:unhideWhenUsed/>
    <w:rsid w:val="00F23636"/>
    <w:rPr>
      <w:color w:val="0000FF"/>
      <w:u w:val="single"/>
    </w:rPr>
  </w:style>
  <w:style w:type="paragraph" w:styleId="NoSpacing">
    <w:name w:val="No Spacing"/>
    <w:link w:val="NoSpacingChar"/>
    <w:uiPriority w:val="1"/>
    <w:qFormat/>
    <w:rsid w:val="003C6A8D"/>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3C6A8D"/>
    <w:rPr>
      <w:rFonts w:asciiTheme="minorHAnsi" w:eastAsiaTheme="minorEastAsia" w:hAnsiTheme="minorHAnsi" w:cstheme="minorBidi"/>
      <w:sz w:val="22"/>
      <w:szCs w:val="22"/>
    </w:rPr>
  </w:style>
  <w:style w:type="character" w:customStyle="1" w:styleId="Heading1Char">
    <w:name w:val="Heading 1 Char"/>
    <w:basedOn w:val="DefaultParagraphFont"/>
    <w:link w:val="Heading1"/>
    <w:rsid w:val="006C5A99"/>
    <w:rPr>
      <w:rFonts w:asciiTheme="majorBidi" w:hAnsiTheme="majorBidi" w:cstheme="majorBidi"/>
      <w:b/>
      <w:kern w:val="32"/>
      <w:sz w:val="28"/>
      <w:szCs w:val="28"/>
      <w:lang w:val="en-GB"/>
    </w:rPr>
  </w:style>
  <w:style w:type="character" w:customStyle="1" w:styleId="katex-mathml">
    <w:name w:val="katex-mathml"/>
    <w:basedOn w:val="DefaultParagraphFont"/>
    <w:rsid w:val="00925D53"/>
  </w:style>
  <w:style w:type="character" w:customStyle="1" w:styleId="mord">
    <w:name w:val="mord"/>
    <w:basedOn w:val="DefaultParagraphFont"/>
    <w:rsid w:val="00925D53"/>
  </w:style>
  <w:style w:type="character" w:customStyle="1" w:styleId="mopen">
    <w:name w:val="mopen"/>
    <w:basedOn w:val="DefaultParagraphFont"/>
    <w:rsid w:val="00925D53"/>
  </w:style>
  <w:style w:type="character" w:customStyle="1" w:styleId="mclose">
    <w:name w:val="mclose"/>
    <w:basedOn w:val="DefaultParagraphFont"/>
    <w:rsid w:val="00925D53"/>
  </w:style>
  <w:style w:type="character" w:customStyle="1" w:styleId="mrel">
    <w:name w:val="mrel"/>
    <w:basedOn w:val="DefaultParagraphFont"/>
    <w:rsid w:val="00925D53"/>
  </w:style>
  <w:style w:type="character" w:customStyle="1" w:styleId="fontsize-ensurer">
    <w:name w:val="fontsize-ensurer"/>
    <w:basedOn w:val="DefaultParagraphFont"/>
    <w:rsid w:val="00925D53"/>
  </w:style>
  <w:style w:type="character" w:customStyle="1" w:styleId="baseline-fix">
    <w:name w:val="baseline-fix"/>
    <w:basedOn w:val="DefaultParagraphFont"/>
    <w:rsid w:val="00925D53"/>
  </w:style>
  <w:style w:type="character" w:customStyle="1" w:styleId="mbin">
    <w:name w:val="mbin"/>
    <w:basedOn w:val="DefaultParagraphFont"/>
    <w:rsid w:val="00925D53"/>
  </w:style>
  <w:style w:type="paragraph" w:styleId="Bibliography">
    <w:name w:val="Bibliography"/>
    <w:basedOn w:val="Normal"/>
    <w:next w:val="Normal"/>
    <w:uiPriority w:val="37"/>
    <w:semiHidden/>
    <w:unhideWhenUsed/>
    <w:rsid w:val="00A27955"/>
  </w:style>
  <w:style w:type="paragraph" w:styleId="BlockText">
    <w:name w:val="Block Text"/>
    <w:basedOn w:val="Normal"/>
    <w:uiPriority w:val="99"/>
    <w:semiHidden/>
    <w:unhideWhenUsed/>
    <w:rsid w:val="00A27955"/>
    <w:pPr>
      <w:pBdr>
        <w:top w:val="single" w:sz="2" w:space="10" w:color="4F81BD" w:themeColor="accent1"/>
        <w:left w:val="single" w:sz="2" w:space="10" w:color="4F81BD" w:themeColor="accent1"/>
        <w:bottom w:val="single" w:sz="2" w:space="10" w:color="4F81BD" w:themeColor="accent1"/>
        <w:right w:val="single" w:sz="2" w:space="10" w:color="4F81BD" w:themeColor="accent1"/>
      </w:pBdr>
      <w:ind w:left="1152" w:right="1152"/>
    </w:pPr>
    <w:rPr>
      <w:rFonts w:asciiTheme="minorHAnsi" w:eastAsiaTheme="minorEastAsia" w:hAnsiTheme="minorHAnsi" w:cstheme="minorBidi"/>
      <w:i/>
      <w:iCs/>
      <w:color w:val="4F81BD" w:themeColor="accent1"/>
    </w:rPr>
  </w:style>
  <w:style w:type="paragraph" w:styleId="BodyText2">
    <w:name w:val="Body Text 2"/>
    <w:basedOn w:val="Normal"/>
    <w:link w:val="BodyText2Char"/>
    <w:uiPriority w:val="99"/>
    <w:semiHidden/>
    <w:unhideWhenUsed/>
    <w:rsid w:val="00A27955"/>
    <w:pPr>
      <w:spacing w:after="120" w:line="480" w:lineRule="auto"/>
    </w:pPr>
  </w:style>
  <w:style w:type="character" w:customStyle="1" w:styleId="BodyText2Char">
    <w:name w:val="Body Text 2 Char"/>
    <w:basedOn w:val="DefaultParagraphFont"/>
    <w:link w:val="BodyText2"/>
    <w:uiPriority w:val="99"/>
    <w:semiHidden/>
    <w:rsid w:val="00A27955"/>
    <w:rPr>
      <w:rFonts w:ascii="Helvetica 45 Light" w:hAnsi="Helvetica 45 Light" w:cs="Akhbar MT"/>
      <w:szCs w:val="24"/>
      <w:lang w:val="en-GB"/>
    </w:rPr>
  </w:style>
  <w:style w:type="paragraph" w:styleId="BodyText3">
    <w:name w:val="Body Text 3"/>
    <w:basedOn w:val="Normal"/>
    <w:link w:val="BodyText3Char"/>
    <w:uiPriority w:val="99"/>
    <w:semiHidden/>
    <w:unhideWhenUsed/>
    <w:rsid w:val="00A27955"/>
    <w:pPr>
      <w:spacing w:after="120"/>
    </w:pPr>
    <w:rPr>
      <w:sz w:val="16"/>
      <w:szCs w:val="16"/>
    </w:rPr>
  </w:style>
  <w:style w:type="character" w:customStyle="1" w:styleId="BodyText3Char">
    <w:name w:val="Body Text 3 Char"/>
    <w:basedOn w:val="DefaultParagraphFont"/>
    <w:link w:val="BodyText3"/>
    <w:uiPriority w:val="99"/>
    <w:semiHidden/>
    <w:rsid w:val="00A27955"/>
    <w:rPr>
      <w:rFonts w:ascii="Helvetica 45 Light" w:hAnsi="Helvetica 45 Light" w:cs="Akhbar MT"/>
      <w:sz w:val="16"/>
      <w:szCs w:val="16"/>
      <w:lang w:val="en-GB"/>
    </w:rPr>
  </w:style>
  <w:style w:type="paragraph" w:styleId="BodyTextFirstIndent">
    <w:name w:val="Body Text First Indent"/>
    <w:basedOn w:val="BodyText"/>
    <w:link w:val="BodyTextFirstIndentChar"/>
    <w:uiPriority w:val="99"/>
    <w:semiHidden/>
    <w:unhideWhenUsed/>
    <w:rsid w:val="00A27955"/>
    <w:pPr>
      <w:spacing w:after="0" w:line="240" w:lineRule="auto"/>
      <w:ind w:firstLine="360"/>
    </w:pPr>
  </w:style>
  <w:style w:type="character" w:customStyle="1" w:styleId="BodyTextChar">
    <w:name w:val="Body Text Char"/>
    <w:basedOn w:val="DefaultParagraphFont"/>
    <w:link w:val="BodyText"/>
    <w:rsid w:val="00A27955"/>
    <w:rPr>
      <w:rFonts w:ascii="Helvetica 45 Light" w:hAnsi="Helvetica 45 Light" w:cs="Akhbar MT"/>
      <w:szCs w:val="24"/>
      <w:lang w:val="en-GB"/>
    </w:rPr>
  </w:style>
  <w:style w:type="character" w:customStyle="1" w:styleId="BodyTextFirstIndentChar">
    <w:name w:val="Body Text First Indent Char"/>
    <w:basedOn w:val="BodyTextChar"/>
    <w:link w:val="BodyTextFirstIndent"/>
    <w:uiPriority w:val="99"/>
    <w:semiHidden/>
    <w:rsid w:val="00A27955"/>
    <w:rPr>
      <w:rFonts w:ascii="Helvetica 45 Light" w:hAnsi="Helvetica 45 Light" w:cs="Akhbar MT"/>
      <w:szCs w:val="24"/>
      <w:lang w:val="en-GB"/>
    </w:rPr>
  </w:style>
  <w:style w:type="paragraph" w:styleId="BodyTextIndent">
    <w:name w:val="Body Text Indent"/>
    <w:basedOn w:val="Normal"/>
    <w:link w:val="BodyTextIndentChar"/>
    <w:uiPriority w:val="99"/>
    <w:semiHidden/>
    <w:unhideWhenUsed/>
    <w:rsid w:val="00A27955"/>
    <w:pPr>
      <w:spacing w:after="120"/>
      <w:ind w:left="360"/>
    </w:pPr>
  </w:style>
  <w:style w:type="character" w:customStyle="1" w:styleId="BodyTextIndentChar">
    <w:name w:val="Body Text Indent Char"/>
    <w:basedOn w:val="DefaultParagraphFont"/>
    <w:link w:val="BodyTextIndent"/>
    <w:uiPriority w:val="99"/>
    <w:semiHidden/>
    <w:rsid w:val="00A27955"/>
    <w:rPr>
      <w:rFonts w:ascii="Helvetica 45 Light" w:hAnsi="Helvetica 45 Light" w:cs="Akhbar MT"/>
      <w:szCs w:val="24"/>
      <w:lang w:val="en-GB"/>
    </w:rPr>
  </w:style>
  <w:style w:type="paragraph" w:styleId="BodyTextFirstIndent2">
    <w:name w:val="Body Text First Indent 2"/>
    <w:basedOn w:val="BodyTextIndent"/>
    <w:link w:val="BodyTextFirstIndent2Char"/>
    <w:uiPriority w:val="99"/>
    <w:semiHidden/>
    <w:unhideWhenUsed/>
    <w:rsid w:val="00A27955"/>
    <w:pPr>
      <w:spacing w:after="0"/>
      <w:ind w:firstLine="360"/>
    </w:pPr>
  </w:style>
  <w:style w:type="character" w:customStyle="1" w:styleId="BodyTextFirstIndent2Char">
    <w:name w:val="Body Text First Indent 2 Char"/>
    <w:basedOn w:val="BodyTextIndentChar"/>
    <w:link w:val="BodyTextFirstIndent2"/>
    <w:uiPriority w:val="99"/>
    <w:semiHidden/>
    <w:rsid w:val="00A27955"/>
    <w:rPr>
      <w:rFonts w:ascii="Helvetica 45 Light" w:hAnsi="Helvetica 45 Light" w:cs="Akhbar MT"/>
      <w:szCs w:val="24"/>
      <w:lang w:val="en-GB"/>
    </w:rPr>
  </w:style>
  <w:style w:type="paragraph" w:styleId="BodyTextIndent2">
    <w:name w:val="Body Text Indent 2"/>
    <w:basedOn w:val="Normal"/>
    <w:link w:val="BodyTextIndent2Char"/>
    <w:uiPriority w:val="99"/>
    <w:semiHidden/>
    <w:unhideWhenUsed/>
    <w:rsid w:val="00A27955"/>
    <w:pPr>
      <w:spacing w:after="120" w:line="480" w:lineRule="auto"/>
      <w:ind w:left="360"/>
    </w:pPr>
  </w:style>
  <w:style w:type="character" w:customStyle="1" w:styleId="BodyTextIndent2Char">
    <w:name w:val="Body Text Indent 2 Char"/>
    <w:basedOn w:val="DefaultParagraphFont"/>
    <w:link w:val="BodyTextIndent2"/>
    <w:uiPriority w:val="99"/>
    <w:semiHidden/>
    <w:rsid w:val="00A27955"/>
    <w:rPr>
      <w:rFonts w:ascii="Helvetica 45 Light" w:hAnsi="Helvetica 45 Light" w:cs="Akhbar MT"/>
      <w:szCs w:val="24"/>
      <w:lang w:val="en-GB"/>
    </w:rPr>
  </w:style>
  <w:style w:type="paragraph" w:styleId="BodyTextIndent3">
    <w:name w:val="Body Text Indent 3"/>
    <w:basedOn w:val="Normal"/>
    <w:link w:val="BodyTextIndent3Char"/>
    <w:uiPriority w:val="99"/>
    <w:semiHidden/>
    <w:unhideWhenUsed/>
    <w:rsid w:val="00A27955"/>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27955"/>
    <w:rPr>
      <w:rFonts w:ascii="Helvetica 45 Light" w:hAnsi="Helvetica 45 Light" w:cs="Akhbar MT"/>
      <w:sz w:val="16"/>
      <w:szCs w:val="16"/>
      <w:lang w:val="en-GB"/>
    </w:rPr>
  </w:style>
  <w:style w:type="paragraph" w:styleId="Closing">
    <w:name w:val="Closing"/>
    <w:basedOn w:val="Normal"/>
    <w:link w:val="ClosingChar"/>
    <w:uiPriority w:val="99"/>
    <w:semiHidden/>
    <w:unhideWhenUsed/>
    <w:rsid w:val="00A27955"/>
    <w:pPr>
      <w:ind w:left="4320"/>
    </w:pPr>
  </w:style>
  <w:style w:type="character" w:customStyle="1" w:styleId="ClosingChar">
    <w:name w:val="Closing Char"/>
    <w:basedOn w:val="DefaultParagraphFont"/>
    <w:link w:val="Closing"/>
    <w:uiPriority w:val="99"/>
    <w:semiHidden/>
    <w:rsid w:val="00A27955"/>
    <w:rPr>
      <w:rFonts w:ascii="Helvetica 45 Light" w:hAnsi="Helvetica 45 Light" w:cs="Akhbar MT"/>
      <w:szCs w:val="24"/>
      <w:lang w:val="en-GB"/>
    </w:rPr>
  </w:style>
  <w:style w:type="paragraph" w:styleId="DocumentMap">
    <w:name w:val="Document Map"/>
    <w:basedOn w:val="Normal"/>
    <w:link w:val="DocumentMapChar"/>
    <w:uiPriority w:val="99"/>
    <w:semiHidden/>
    <w:unhideWhenUsed/>
    <w:rsid w:val="00A27955"/>
    <w:rPr>
      <w:rFonts w:ascii="Segoe UI" w:hAnsi="Segoe UI" w:cs="Segoe UI"/>
      <w:sz w:val="16"/>
      <w:szCs w:val="16"/>
    </w:rPr>
  </w:style>
  <w:style w:type="character" w:customStyle="1" w:styleId="DocumentMapChar">
    <w:name w:val="Document Map Char"/>
    <w:basedOn w:val="DefaultParagraphFont"/>
    <w:link w:val="DocumentMap"/>
    <w:uiPriority w:val="99"/>
    <w:semiHidden/>
    <w:rsid w:val="00A27955"/>
    <w:rPr>
      <w:rFonts w:ascii="Segoe UI" w:hAnsi="Segoe UI" w:cs="Segoe UI"/>
      <w:sz w:val="16"/>
      <w:szCs w:val="16"/>
      <w:lang w:val="en-GB"/>
    </w:rPr>
  </w:style>
  <w:style w:type="paragraph" w:styleId="E-mailSignature">
    <w:name w:val="E-mail Signature"/>
    <w:basedOn w:val="Normal"/>
    <w:link w:val="E-mailSignatureChar"/>
    <w:uiPriority w:val="99"/>
    <w:semiHidden/>
    <w:unhideWhenUsed/>
    <w:rsid w:val="00A27955"/>
  </w:style>
  <w:style w:type="character" w:customStyle="1" w:styleId="E-mailSignatureChar">
    <w:name w:val="E-mail Signature Char"/>
    <w:basedOn w:val="DefaultParagraphFont"/>
    <w:link w:val="E-mailSignature"/>
    <w:uiPriority w:val="99"/>
    <w:semiHidden/>
    <w:rsid w:val="00A27955"/>
    <w:rPr>
      <w:rFonts w:ascii="Helvetica 45 Light" w:hAnsi="Helvetica 45 Light" w:cs="Akhbar MT"/>
      <w:szCs w:val="24"/>
      <w:lang w:val="en-GB"/>
    </w:rPr>
  </w:style>
  <w:style w:type="paragraph" w:styleId="EndnoteText">
    <w:name w:val="endnote text"/>
    <w:basedOn w:val="Normal"/>
    <w:link w:val="EndnoteTextChar"/>
    <w:uiPriority w:val="99"/>
    <w:semiHidden/>
    <w:unhideWhenUsed/>
    <w:rsid w:val="00A27955"/>
    <w:rPr>
      <w:szCs w:val="20"/>
    </w:rPr>
  </w:style>
  <w:style w:type="character" w:customStyle="1" w:styleId="EndnoteTextChar">
    <w:name w:val="Endnote Text Char"/>
    <w:basedOn w:val="DefaultParagraphFont"/>
    <w:link w:val="EndnoteText"/>
    <w:uiPriority w:val="99"/>
    <w:semiHidden/>
    <w:rsid w:val="00A27955"/>
    <w:rPr>
      <w:rFonts w:ascii="Helvetica 45 Light" w:hAnsi="Helvetica 45 Light" w:cs="Akhbar MT"/>
      <w:lang w:val="en-GB"/>
    </w:rPr>
  </w:style>
  <w:style w:type="paragraph" w:styleId="EnvelopeAddress">
    <w:name w:val="envelope address"/>
    <w:basedOn w:val="Normal"/>
    <w:uiPriority w:val="99"/>
    <w:semiHidden/>
    <w:unhideWhenUsed/>
    <w:rsid w:val="00A27955"/>
    <w:pPr>
      <w:framePr w:w="7920" w:h="1980" w:hRule="exact" w:hSpace="180" w:wrap="auto" w:hAnchor="page" w:xAlign="center" w:yAlign="bottom"/>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rsid w:val="00A27955"/>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A27955"/>
    <w:rPr>
      <w:szCs w:val="20"/>
    </w:rPr>
  </w:style>
  <w:style w:type="character" w:customStyle="1" w:styleId="FootnoteTextChar">
    <w:name w:val="Footnote Text Char"/>
    <w:basedOn w:val="DefaultParagraphFont"/>
    <w:link w:val="FootnoteText"/>
    <w:uiPriority w:val="99"/>
    <w:semiHidden/>
    <w:rsid w:val="00A27955"/>
    <w:rPr>
      <w:rFonts w:ascii="Helvetica 45 Light" w:hAnsi="Helvetica 45 Light" w:cs="Akhbar MT"/>
      <w:lang w:val="en-GB"/>
    </w:rPr>
  </w:style>
  <w:style w:type="character" w:customStyle="1" w:styleId="Heading4Char">
    <w:name w:val="Heading 4 Char"/>
    <w:basedOn w:val="DefaultParagraphFont"/>
    <w:link w:val="Heading4"/>
    <w:uiPriority w:val="9"/>
    <w:semiHidden/>
    <w:rsid w:val="00A27955"/>
    <w:rPr>
      <w:rFonts w:asciiTheme="majorHAnsi" w:eastAsiaTheme="majorEastAsia" w:hAnsiTheme="majorHAnsi" w:cstheme="majorBidi"/>
      <w:i/>
      <w:iCs/>
      <w:color w:val="365F91" w:themeColor="accent1" w:themeShade="BF"/>
      <w:szCs w:val="24"/>
      <w:lang w:val="en-GB"/>
    </w:rPr>
  </w:style>
  <w:style w:type="character" w:customStyle="1" w:styleId="Heading5Char">
    <w:name w:val="Heading 5 Char"/>
    <w:basedOn w:val="DefaultParagraphFont"/>
    <w:link w:val="Heading5"/>
    <w:uiPriority w:val="9"/>
    <w:semiHidden/>
    <w:rsid w:val="00A27955"/>
    <w:rPr>
      <w:rFonts w:asciiTheme="majorHAnsi" w:eastAsiaTheme="majorEastAsia" w:hAnsiTheme="majorHAnsi" w:cstheme="majorBidi"/>
      <w:color w:val="365F91" w:themeColor="accent1" w:themeShade="BF"/>
      <w:szCs w:val="24"/>
      <w:lang w:val="en-GB"/>
    </w:rPr>
  </w:style>
  <w:style w:type="character" w:customStyle="1" w:styleId="Heading6Char">
    <w:name w:val="Heading 6 Char"/>
    <w:basedOn w:val="DefaultParagraphFont"/>
    <w:link w:val="Heading6"/>
    <w:uiPriority w:val="9"/>
    <w:semiHidden/>
    <w:rsid w:val="00A27955"/>
    <w:rPr>
      <w:rFonts w:asciiTheme="majorHAnsi" w:eastAsiaTheme="majorEastAsia" w:hAnsiTheme="majorHAnsi" w:cstheme="majorBidi"/>
      <w:color w:val="243F60" w:themeColor="accent1" w:themeShade="7F"/>
      <w:szCs w:val="24"/>
      <w:lang w:val="en-GB"/>
    </w:rPr>
  </w:style>
  <w:style w:type="character" w:customStyle="1" w:styleId="Heading7Char">
    <w:name w:val="Heading 7 Char"/>
    <w:basedOn w:val="DefaultParagraphFont"/>
    <w:link w:val="Heading7"/>
    <w:uiPriority w:val="9"/>
    <w:semiHidden/>
    <w:rsid w:val="00A27955"/>
    <w:rPr>
      <w:rFonts w:asciiTheme="majorHAnsi" w:eastAsiaTheme="majorEastAsia" w:hAnsiTheme="majorHAnsi" w:cstheme="majorBidi"/>
      <w:i/>
      <w:iCs/>
      <w:color w:val="243F60" w:themeColor="accent1" w:themeShade="7F"/>
      <w:szCs w:val="24"/>
      <w:lang w:val="en-GB"/>
    </w:rPr>
  </w:style>
  <w:style w:type="character" w:customStyle="1" w:styleId="Heading8Char">
    <w:name w:val="Heading 8 Char"/>
    <w:basedOn w:val="DefaultParagraphFont"/>
    <w:link w:val="Heading8"/>
    <w:uiPriority w:val="9"/>
    <w:semiHidden/>
    <w:rsid w:val="00A27955"/>
    <w:rPr>
      <w:rFonts w:asciiTheme="majorHAnsi" w:eastAsiaTheme="majorEastAsia" w:hAnsiTheme="majorHAnsi" w:cstheme="majorBidi"/>
      <w:color w:val="272727" w:themeColor="text1" w:themeTint="D8"/>
      <w:sz w:val="21"/>
      <w:szCs w:val="21"/>
      <w:lang w:val="en-GB"/>
    </w:rPr>
  </w:style>
  <w:style w:type="character" w:customStyle="1" w:styleId="Heading9Char">
    <w:name w:val="Heading 9 Char"/>
    <w:basedOn w:val="DefaultParagraphFont"/>
    <w:link w:val="Heading9"/>
    <w:uiPriority w:val="9"/>
    <w:semiHidden/>
    <w:rsid w:val="00A27955"/>
    <w:rPr>
      <w:rFonts w:asciiTheme="majorHAnsi" w:eastAsiaTheme="majorEastAsia" w:hAnsiTheme="majorHAnsi" w:cstheme="majorBidi"/>
      <w:i/>
      <w:iCs/>
      <w:color w:val="272727" w:themeColor="text1" w:themeTint="D8"/>
      <w:sz w:val="21"/>
      <w:szCs w:val="21"/>
      <w:lang w:val="en-GB"/>
    </w:rPr>
  </w:style>
  <w:style w:type="paragraph" w:styleId="HTMLAddress">
    <w:name w:val="HTML Address"/>
    <w:basedOn w:val="Normal"/>
    <w:link w:val="HTMLAddressChar"/>
    <w:uiPriority w:val="99"/>
    <w:semiHidden/>
    <w:unhideWhenUsed/>
    <w:rsid w:val="00A27955"/>
    <w:rPr>
      <w:i/>
      <w:iCs/>
    </w:rPr>
  </w:style>
  <w:style w:type="character" w:customStyle="1" w:styleId="HTMLAddressChar">
    <w:name w:val="HTML Address Char"/>
    <w:basedOn w:val="DefaultParagraphFont"/>
    <w:link w:val="HTMLAddress"/>
    <w:uiPriority w:val="99"/>
    <w:semiHidden/>
    <w:rsid w:val="00A27955"/>
    <w:rPr>
      <w:rFonts w:ascii="Helvetica 45 Light" w:hAnsi="Helvetica 45 Light" w:cs="Akhbar MT"/>
      <w:i/>
      <w:iCs/>
      <w:szCs w:val="24"/>
      <w:lang w:val="en-GB"/>
    </w:rPr>
  </w:style>
  <w:style w:type="paragraph" w:styleId="HTMLPreformatted">
    <w:name w:val="HTML Preformatted"/>
    <w:basedOn w:val="Normal"/>
    <w:link w:val="HTMLPreformattedChar"/>
    <w:uiPriority w:val="99"/>
    <w:semiHidden/>
    <w:unhideWhenUsed/>
    <w:rsid w:val="00A27955"/>
    <w:rPr>
      <w:rFonts w:ascii="Consolas" w:hAnsi="Consolas"/>
      <w:szCs w:val="20"/>
    </w:rPr>
  </w:style>
  <w:style w:type="character" w:customStyle="1" w:styleId="HTMLPreformattedChar">
    <w:name w:val="HTML Preformatted Char"/>
    <w:basedOn w:val="DefaultParagraphFont"/>
    <w:link w:val="HTMLPreformatted"/>
    <w:uiPriority w:val="99"/>
    <w:semiHidden/>
    <w:rsid w:val="00A27955"/>
    <w:rPr>
      <w:rFonts w:ascii="Consolas" w:hAnsi="Consolas" w:cs="Akhbar MT"/>
      <w:lang w:val="en-GB"/>
    </w:rPr>
  </w:style>
  <w:style w:type="paragraph" w:styleId="Index1">
    <w:name w:val="index 1"/>
    <w:basedOn w:val="Normal"/>
    <w:next w:val="Normal"/>
    <w:autoRedefine/>
    <w:uiPriority w:val="99"/>
    <w:semiHidden/>
    <w:unhideWhenUsed/>
    <w:rsid w:val="00A27955"/>
    <w:pPr>
      <w:ind w:left="200" w:hanging="200"/>
    </w:pPr>
  </w:style>
  <w:style w:type="paragraph" w:styleId="Index2">
    <w:name w:val="index 2"/>
    <w:basedOn w:val="Normal"/>
    <w:next w:val="Normal"/>
    <w:autoRedefine/>
    <w:uiPriority w:val="99"/>
    <w:semiHidden/>
    <w:unhideWhenUsed/>
    <w:rsid w:val="00A27955"/>
    <w:pPr>
      <w:ind w:left="400" w:hanging="200"/>
    </w:pPr>
  </w:style>
  <w:style w:type="paragraph" w:styleId="Index3">
    <w:name w:val="index 3"/>
    <w:basedOn w:val="Normal"/>
    <w:next w:val="Normal"/>
    <w:autoRedefine/>
    <w:uiPriority w:val="99"/>
    <w:semiHidden/>
    <w:unhideWhenUsed/>
    <w:rsid w:val="00A27955"/>
    <w:pPr>
      <w:ind w:left="600" w:hanging="200"/>
    </w:pPr>
  </w:style>
  <w:style w:type="paragraph" w:styleId="Index4">
    <w:name w:val="index 4"/>
    <w:basedOn w:val="Normal"/>
    <w:next w:val="Normal"/>
    <w:autoRedefine/>
    <w:uiPriority w:val="99"/>
    <w:semiHidden/>
    <w:unhideWhenUsed/>
    <w:rsid w:val="00A27955"/>
    <w:pPr>
      <w:ind w:left="800" w:hanging="200"/>
    </w:pPr>
  </w:style>
  <w:style w:type="paragraph" w:styleId="Index5">
    <w:name w:val="index 5"/>
    <w:basedOn w:val="Normal"/>
    <w:next w:val="Normal"/>
    <w:autoRedefine/>
    <w:uiPriority w:val="99"/>
    <w:semiHidden/>
    <w:unhideWhenUsed/>
    <w:rsid w:val="00A27955"/>
    <w:pPr>
      <w:ind w:left="1000" w:hanging="200"/>
    </w:pPr>
  </w:style>
  <w:style w:type="paragraph" w:styleId="Index6">
    <w:name w:val="index 6"/>
    <w:basedOn w:val="Normal"/>
    <w:next w:val="Normal"/>
    <w:autoRedefine/>
    <w:uiPriority w:val="99"/>
    <w:semiHidden/>
    <w:unhideWhenUsed/>
    <w:rsid w:val="00A27955"/>
    <w:pPr>
      <w:ind w:left="1200" w:hanging="200"/>
    </w:pPr>
  </w:style>
  <w:style w:type="paragraph" w:styleId="Index7">
    <w:name w:val="index 7"/>
    <w:basedOn w:val="Normal"/>
    <w:next w:val="Normal"/>
    <w:autoRedefine/>
    <w:uiPriority w:val="99"/>
    <w:semiHidden/>
    <w:unhideWhenUsed/>
    <w:rsid w:val="00A27955"/>
    <w:pPr>
      <w:ind w:left="1400" w:hanging="200"/>
    </w:pPr>
  </w:style>
  <w:style w:type="paragraph" w:styleId="Index8">
    <w:name w:val="index 8"/>
    <w:basedOn w:val="Normal"/>
    <w:next w:val="Normal"/>
    <w:autoRedefine/>
    <w:uiPriority w:val="99"/>
    <w:semiHidden/>
    <w:unhideWhenUsed/>
    <w:rsid w:val="00A27955"/>
    <w:pPr>
      <w:ind w:left="1600" w:hanging="200"/>
    </w:pPr>
  </w:style>
  <w:style w:type="paragraph" w:styleId="Index9">
    <w:name w:val="index 9"/>
    <w:basedOn w:val="Normal"/>
    <w:next w:val="Normal"/>
    <w:autoRedefine/>
    <w:uiPriority w:val="99"/>
    <w:semiHidden/>
    <w:unhideWhenUsed/>
    <w:rsid w:val="00A27955"/>
    <w:pPr>
      <w:ind w:left="1800" w:hanging="200"/>
    </w:pPr>
  </w:style>
  <w:style w:type="paragraph" w:styleId="IndexHeading">
    <w:name w:val="index heading"/>
    <w:basedOn w:val="Normal"/>
    <w:next w:val="Index1"/>
    <w:uiPriority w:val="99"/>
    <w:semiHidden/>
    <w:unhideWhenUsed/>
    <w:rsid w:val="00A2795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27955"/>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A27955"/>
    <w:rPr>
      <w:rFonts w:ascii="Helvetica 45 Light" w:hAnsi="Helvetica 45 Light" w:cs="Akhbar MT"/>
      <w:i/>
      <w:iCs/>
      <w:color w:val="4F81BD" w:themeColor="accent1"/>
      <w:szCs w:val="24"/>
      <w:lang w:val="en-GB"/>
    </w:rPr>
  </w:style>
  <w:style w:type="paragraph" w:styleId="List2">
    <w:name w:val="List 2"/>
    <w:basedOn w:val="Normal"/>
    <w:uiPriority w:val="99"/>
    <w:semiHidden/>
    <w:unhideWhenUsed/>
    <w:rsid w:val="00A27955"/>
    <w:pPr>
      <w:ind w:left="720" w:hanging="360"/>
      <w:contextualSpacing/>
    </w:pPr>
  </w:style>
  <w:style w:type="paragraph" w:styleId="List3">
    <w:name w:val="List 3"/>
    <w:basedOn w:val="Normal"/>
    <w:uiPriority w:val="99"/>
    <w:semiHidden/>
    <w:unhideWhenUsed/>
    <w:rsid w:val="00A27955"/>
    <w:pPr>
      <w:ind w:left="1080" w:hanging="360"/>
      <w:contextualSpacing/>
    </w:pPr>
  </w:style>
  <w:style w:type="paragraph" w:styleId="List4">
    <w:name w:val="List 4"/>
    <w:basedOn w:val="Normal"/>
    <w:uiPriority w:val="99"/>
    <w:semiHidden/>
    <w:unhideWhenUsed/>
    <w:rsid w:val="00A27955"/>
    <w:pPr>
      <w:ind w:left="1440" w:hanging="360"/>
      <w:contextualSpacing/>
    </w:pPr>
  </w:style>
  <w:style w:type="paragraph" w:styleId="List5">
    <w:name w:val="List 5"/>
    <w:basedOn w:val="Normal"/>
    <w:uiPriority w:val="99"/>
    <w:semiHidden/>
    <w:unhideWhenUsed/>
    <w:rsid w:val="00A27955"/>
    <w:pPr>
      <w:ind w:left="1800" w:hanging="360"/>
      <w:contextualSpacing/>
    </w:pPr>
  </w:style>
  <w:style w:type="paragraph" w:styleId="ListBullet">
    <w:name w:val="List Bullet"/>
    <w:basedOn w:val="Normal"/>
    <w:uiPriority w:val="99"/>
    <w:semiHidden/>
    <w:unhideWhenUsed/>
    <w:rsid w:val="00A27955"/>
    <w:pPr>
      <w:numPr>
        <w:numId w:val="5"/>
      </w:numPr>
      <w:contextualSpacing/>
    </w:pPr>
  </w:style>
  <w:style w:type="paragraph" w:styleId="ListBullet2">
    <w:name w:val="List Bullet 2"/>
    <w:basedOn w:val="Normal"/>
    <w:uiPriority w:val="99"/>
    <w:semiHidden/>
    <w:unhideWhenUsed/>
    <w:rsid w:val="00A27955"/>
    <w:pPr>
      <w:numPr>
        <w:numId w:val="6"/>
      </w:numPr>
      <w:contextualSpacing/>
    </w:pPr>
  </w:style>
  <w:style w:type="paragraph" w:styleId="ListBullet3">
    <w:name w:val="List Bullet 3"/>
    <w:basedOn w:val="Normal"/>
    <w:uiPriority w:val="99"/>
    <w:semiHidden/>
    <w:unhideWhenUsed/>
    <w:rsid w:val="00A27955"/>
    <w:pPr>
      <w:numPr>
        <w:numId w:val="7"/>
      </w:numPr>
      <w:contextualSpacing/>
    </w:pPr>
  </w:style>
  <w:style w:type="paragraph" w:styleId="ListBullet4">
    <w:name w:val="List Bullet 4"/>
    <w:basedOn w:val="Normal"/>
    <w:uiPriority w:val="99"/>
    <w:semiHidden/>
    <w:unhideWhenUsed/>
    <w:rsid w:val="00A27955"/>
    <w:pPr>
      <w:numPr>
        <w:numId w:val="8"/>
      </w:numPr>
      <w:contextualSpacing/>
    </w:pPr>
  </w:style>
  <w:style w:type="paragraph" w:styleId="ListBullet5">
    <w:name w:val="List Bullet 5"/>
    <w:basedOn w:val="Normal"/>
    <w:uiPriority w:val="99"/>
    <w:semiHidden/>
    <w:unhideWhenUsed/>
    <w:rsid w:val="00A27955"/>
    <w:pPr>
      <w:numPr>
        <w:numId w:val="9"/>
      </w:numPr>
      <w:contextualSpacing/>
    </w:pPr>
  </w:style>
  <w:style w:type="paragraph" w:styleId="ListContinue">
    <w:name w:val="List Continue"/>
    <w:basedOn w:val="Normal"/>
    <w:uiPriority w:val="99"/>
    <w:semiHidden/>
    <w:unhideWhenUsed/>
    <w:rsid w:val="00A27955"/>
    <w:pPr>
      <w:spacing w:after="120"/>
      <w:ind w:left="360"/>
      <w:contextualSpacing/>
    </w:pPr>
  </w:style>
  <w:style w:type="paragraph" w:styleId="ListContinue2">
    <w:name w:val="List Continue 2"/>
    <w:basedOn w:val="Normal"/>
    <w:uiPriority w:val="99"/>
    <w:semiHidden/>
    <w:unhideWhenUsed/>
    <w:rsid w:val="00A27955"/>
    <w:pPr>
      <w:spacing w:after="120"/>
      <w:ind w:left="720"/>
      <w:contextualSpacing/>
    </w:pPr>
  </w:style>
  <w:style w:type="paragraph" w:styleId="ListContinue3">
    <w:name w:val="List Continue 3"/>
    <w:basedOn w:val="Normal"/>
    <w:uiPriority w:val="99"/>
    <w:semiHidden/>
    <w:unhideWhenUsed/>
    <w:rsid w:val="00A27955"/>
    <w:pPr>
      <w:spacing w:after="120"/>
      <w:ind w:left="1080"/>
      <w:contextualSpacing/>
    </w:pPr>
  </w:style>
  <w:style w:type="paragraph" w:styleId="ListContinue4">
    <w:name w:val="List Continue 4"/>
    <w:basedOn w:val="Normal"/>
    <w:uiPriority w:val="99"/>
    <w:semiHidden/>
    <w:unhideWhenUsed/>
    <w:rsid w:val="00A27955"/>
    <w:pPr>
      <w:spacing w:after="120"/>
      <w:ind w:left="1440"/>
      <w:contextualSpacing/>
    </w:pPr>
  </w:style>
  <w:style w:type="paragraph" w:styleId="ListContinue5">
    <w:name w:val="List Continue 5"/>
    <w:basedOn w:val="Normal"/>
    <w:uiPriority w:val="99"/>
    <w:semiHidden/>
    <w:unhideWhenUsed/>
    <w:rsid w:val="00A27955"/>
    <w:pPr>
      <w:spacing w:after="120"/>
      <w:ind w:left="1800"/>
      <w:contextualSpacing/>
    </w:pPr>
  </w:style>
  <w:style w:type="paragraph" w:styleId="ListNumber2">
    <w:name w:val="List Number 2"/>
    <w:basedOn w:val="Normal"/>
    <w:uiPriority w:val="99"/>
    <w:semiHidden/>
    <w:unhideWhenUsed/>
    <w:rsid w:val="00A27955"/>
    <w:pPr>
      <w:numPr>
        <w:numId w:val="10"/>
      </w:numPr>
      <w:contextualSpacing/>
    </w:pPr>
  </w:style>
  <w:style w:type="paragraph" w:styleId="ListNumber3">
    <w:name w:val="List Number 3"/>
    <w:basedOn w:val="Normal"/>
    <w:uiPriority w:val="99"/>
    <w:semiHidden/>
    <w:unhideWhenUsed/>
    <w:rsid w:val="00A27955"/>
    <w:pPr>
      <w:numPr>
        <w:numId w:val="11"/>
      </w:numPr>
      <w:contextualSpacing/>
    </w:pPr>
  </w:style>
  <w:style w:type="paragraph" w:styleId="ListNumber4">
    <w:name w:val="List Number 4"/>
    <w:basedOn w:val="Normal"/>
    <w:uiPriority w:val="99"/>
    <w:semiHidden/>
    <w:unhideWhenUsed/>
    <w:rsid w:val="00A27955"/>
    <w:pPr>
      <w:numPr>
        <w:numId w:val="12"/>
      </w:numPr>
      <w:contextualSpacing/>
    </w:pPr>
  </w:style>
  <w:style w:type="paragraph" w:styleId="ListNumber5">
    <w:name w:val="List Number 5"/>
    <w:basedOn w:val="Normal"/>
    <w:uiPriority w:val="99"/>
    <w:semiHidden/>
    <w:unhideWhenUsed/>
    <w:rsid w:val="00A27955"/>
    <w:pPr>
      <w:numPr>
        <w:numId w:val="13"/>
      </w:numPr>
      <w:contextualSpacing/>
    </w:pPr>
  </w:style>
  <w:style w:type="paragraph" w:styleId="MacroText">
    <w:name w:val="macro"/>
    <w:link w:val="MacroTextChar"/>
    <w:uiPriority w:val="99"/>
    <w:semiHidden/>
    <w:unhideWhenUsed/>
    <w:rsid w:val="00A27955"/>
    <w:pPr>
      <w:tabs>
        <w:tab w:val="left" w:pos="480"/>
        <w:tab w:val="left" w:pos="960"/>
        <w:tab w:val="left" w:pos="1440"/>
        <w:tab w:val="left" w:pos="1920"/>
        <w:tab w:val="left" w:pos="2400"/>
        <w:tab w:val="left" w:pos="2880"/>
        <w:tab w:val="left" w:pos="3360"/>
        <w:tab w:val="left" w:pos="3840"/>
        <w:tab w:val="left" w:pos="4320"/>
      </w:tabs>
    </w:pPr>
    <w:rPr>
      <w:rFonts w:ascii="Consolas" w:hAnsi="Consolas" w:cs="Akhbar MT"/>
      <w:lang w:val="en-GB"/>
    </w:rPr>
  </w:style>
  <w:style w:type="character" w:customStyle="1" w:styleId="MacroTextChar">
    <w:name w:val="Macro Text Char"/>
    <w:basedOn w:val="DefaultParagraphFont"/>
    <w:link w:val="MacroText"/>
    <w:uiPriority w:val="99"/>
    <w:semiHidden/>
    <w:rsid w:val="00A27955"/>
    <w:rPr>
      <w:rFonts w:ascii="Consolas" w:hAnsi="Consolas" w:cs="Akhbar MT"/>
      <w:lang w:val="en-GB"/>
    </w:rPr>
  </w:style>
  <w:style w:type="paragraph" w:styleId="MessageHeader">
    <w:name w:val="Message Header"/>
    <w:basedOn w:val="Normal"/>
    <w:link w:val="MessageHeaderChar"/>
    <w:uiPriority w:val="99"/>
    <w:semiHidden/>
    <w:unhideWhenUsed/>
    <w:rsid w:val="00A27955"/>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sid w:val="00A27955"/>
    <w:rPr>
      <w:rFonts w:asciiTheme="majorHAnsi" w:eastAsiaTheme="majorEastAsia" w:hAnsiTheme="majorHAnsi" w:cstheme="majorBidi"/>
      <w:sz w:val="24"/>
      <w:szCs w:val="24"/>
      <w:shd w:val="pct20" w:color="auto" w:fill="auto"/>
      <w:lang w:val="en-GB"/>
    </w:rPr>
  </w:style>
  <w:style w:type="paragraph" w:styleId="NormalWeb">
    <w:name w:val="Normal (Web)"/>
    <w:basedOn w:val="Normal"/>
    <w:uiPriority w:val="99"/>
    <w:unhideWhenUsed/>
    <w:rsid w:val="00A27955"/>
    <w:rPr>
      <w:rFonts w:ascii="Times New Roman" w:hAnsi="Times New Roman" w:cs="Times New Roman"/>
      <w:sz w:val="24"/>
    </w:rPr>
  </w:style>
  <w:style w:type="paragraph" w:styleId="NormalIndent">
    <w:name w:val="Normal Indent"/>
    <w:basedOn w:val="Normal"/>
    <w:uiPriority w:val="99"/>
    <w:semiHidden/>
    <w:unhideWhenUsed/>
    <w:rsid w:val="00A27955"/>
    <w:pPr>
      <w:ind w:left="720"/>
    </w:pPr>
  </w:style>
  <w:style w:type="paragraph" w:styleId="NoteHeading">
    <w:name w:val="Note Heading"/>
    <w:basedOn w:val="Normal"/>
    <w:next w:val="Normal"/>
    <w:link w:val="NoteHeadingChar"/>
    <w:uiPriority w:val="99"/>
    <w:semiHidden/>
    <w:unhideWhenUsed/>
    <w:rsid w:val="00A27955"/>
  </w:style>
  <w:style w:type="character" w:customStyle="1" w:styleId="NoteHeadingChar">
    <w:name w:val="Note Heading Char"/>
    <w:basedOn w:val="DefaultParagraphFont"/>
    <w:link w:val="NoteHeading"/>
    <w:uiPriority w:val="99"/>
    <w:semiHidden/>
    <w:rsid w:val="00A27955"/>
    <w:rPr>
      <w:rFonts w:ascii="Helvetica 45 Light" w:hAnsi="Helvetica 45 Light" w:cs="Akhbar MT"/>
      <w:szCs w:val="24"/>
      <w:lang w:val="en-GB"/>
    </w:rPr>
  </w:style>
  <w:style w:type="paragraph" w:styleId="PlainText">
    <w:name w:val="Plain Text"/>
    <w:basedOn w:val="Normal"/>
    <w:link w:val="PlainTextChar"/>
    <w:uiPriority w:val="99"/>
    <w:semiHidden/>
    <w:unhideWhenUsed/>
    <w:rsid w:val="00A27955"/>
    <w:rPr>
      <w:rFonts w:ascii="Consolas" w:hAnsi="Consolas"/>
      <w:sz w:val="21"/>
      <w:szCs w:val="21"/>
    </w:rPr>
  </w:style>
  <w:style w:type="character" w:customStyle="1" w:styleId="PlainTextChar">
    <w:name w:val="Plain Text Char"/>
    <w:basedOn w:val="DefaultParagraphFont"/>
    <w:link w:val="PlainText"/>
    <w:uiPriority w:val="99"/>
    <w:semiHidden/>
    <w:rsid w:val="00A27955"/>
    <w:rPr>
      <w:rFonts w:ascii="Consolas" w:hAnsi="Consolas" w:cs="Akhbar MT"/>
      <w:sz w:val="21"/>
      <w:szCs w:val="21"/>
      <w:lang w:val="en-GB"/>
    </w:rPr>
  </w:style>
  <w:style w:type="paragraph" w:styleId="Quote">
    <w:name w:val="Quote"/>
    <w:basedOn w:val="Normal"/>
    <w:next w:val="Normal"/>
    <w:link w:val="QuoteChar"/>
    <w:uiPriority w:val="29"/>
    <w:qFormat/>
    <w:rsid w:val="00A27955"/>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27955"/>
    <w:rPr>
      <w:rFonts w:ascii="Helvetica 45 Light" w:hAnsi="Helvetica 45 Light" w:cs="Akhbar MT"/>
      <w:i/>
      <w:iCs/>
      <w:color w:val="404040" w:themeColor="text1" w:themeTint="BF"/>
      <w:szCs w:val="24"/>
      <w:lang w:val="en-GB"/>
    </w:rPr>
  </w:style>
  <w:style w:type="paragraph" w:styleId="Salutation">
    <w:name w:val="Salutation"/>
    <w:basedOn w:val="Normal"/>
    <w:next w:val="Normal"/>
    <w:link w:val="SalutationChar"/>
    <w:uiPriority w:val="99"/>
    <w:semiHidden/>
    <w:unhideWhenUsed/>
    <w:rsid w:val="00A27955"/>
  </w:style>
  <w:style w:type="character" w:customStyle="1" w:styleId="SalutationChar">
    <w:name w:val="Salutation Char"/>
    <w:basedOn w:val="DefaultParagraphFont"/>
    <w:link w:val="Salutation"/>
    <w:uiPriority w:val="99"/>
    <w:semiHidden/>
    <w:rsid w:val="00A27955"/>
    <w:rPr>
      <w:rFonts w:ascii="Helvetica 45 Light" w:hAnsi="Helvetica 45 Light" w:cs="Akhbar MT"/>
      <w:szCs w:val="24"/>
      <w:lang w:val="en-GB"/>
    </w:rPr>
  </w:style>
  <w:style w:type="paragraph" w:styleId="Signature">
    <w:name w:val="Signature"/>
    <w:basedOn w:val="Normal"/>
    <w:link w:val="SignatureChar"/>
    <w:uiPriority w:val="99"/>
    <w:semiHidden/>
    <w:unhideWhenUsed/>
    <w:rsid w:val="00A27955"/>
    <w:pPr>
      <w:ind w:left="4320"/>
    </w:pPr>
  </w:style>
  <w:style w:type="character" w:customStyle="1" w:styleId="SignatureChar">
    <w:name w:val="Signature Char"/>
    <w:basedOn w:val="DefaultParagraphFont"/>
    <w:link w:val="Signature"/>
    <w:uiPriority w:val="99"/>
    <w:semiHidden/>
    <w:rsid w:val="00A27955"/>
    <w:rPr>
      <w:rFonts w:ascii="Helvetica 45 Light" w:hAnsi="Helvetica 45 Light" w:cs="Akhbar MT"/>
      <w:szCs w:val="24"/>
      <w:lang w:val="en-GB"/>
    </w:rPr>
  </w:style>
  <w:style w:type="paragraph" w:styleId="Subtitle">
    <w:name w:val="Subtitle"/>
    <w:basedOn w:val="Normal"/>
    <w:next w:val="Normal"/>
    <w:link w:val="SubtitleChar"/>
    <w:uiPriority w:val="11"/>
    <w:qFormat/>
    <w:rsid w:val="00A27955"/>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A27955"/>
    <w:rPr>
      <w:rFonts w:asciiTheme="minorHAnsi" w:eastAsiaTheme="minorEastAsia" w:hAnsiTheme="minorHAnsi" w:cstheme="minorBidi"/>
      <w:color w:val="5A5A5A" w:themeColor="text1" w:themeTint="A5"/>
      <w:spacing w:val="15"/>
      <w:sz w:val="22"/>
      <w:szCs w:val="22"/>
      <w:lang w:val="en-GB"/>
    </w:rPr>
  </w:style>
  <w:style w:type="paragraph" w:styleId="TableofAuthorities">
    <w:name w:val="table of authorities"/>
    <w:basedOn w:val="Normal"/>
    <w:next w:val="Normal"/>
    <w:uiPriority w:val="99"/>
    <w:semiHidden/>
    <w:unhideWhenUsed/>
    <w:rsid w:val="00A27955"/>
    <w:pPr>
      <w:ind w:left="200" w:hanging="200"/>
    </w:pPr>
  </w:style>
  <w:style w:type="paragraph" w:styleId="TableofFigures">
    <w:name w:val="table of figures"/>
    <w:basedOn w:val="Normal"/>
    <w:next w:val="Normal"/>
    <w:uiPriority w:val="99"/>
    <w:semiHidden/>
    <w:unhideWhenUsed/>
    <w:rsid w:val="00A27955"/>
  </w:style>
  <w:style w:type="paragraph" w:styleId="TOAHeading">
    <w:name w:val="toa heading"/>
    <w:basedOn w:val="Normal"/>
    <w:next w:val="Normal"/>
    <w:uiPriority w:val="99"/>
    <w:semiHidden/>
    <w:unhideWhenUsed/>
    <w:rsid w:val="00A27955"/>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semiHidden/>
    <w:unhideWhenUsed/>
    <w:rsid w:val="00A27955"/>
    <w:pPr>
      <w:spacing w:after="100"/>
    </w:pPr>
  </w:style>
  <w:style w:type="paragraph" w:styleId="TOC2">
    <w:name w:val="toc 2"/>
    <w:basedOn w:val="Normal"/>
    <w:next w:val="Normal"/>
    <w:autoRedefine/>
    <w:uiPriority w:val="39"/>
    <w:semiHidden/>
    <w:unhideWhenUsed/>
    <w:rsid w:val="00A27955"/>
    <w:pPr>
      <w:spacing w:after="100"/>
      <w:ind w:left="200"/>
    </w:pPr>
  </w:style>
  <w:style w:type="paragraph" w:styleId="TOC3">
    <w:name w:val="toc 3"/>
    <w:basedOn w:val="Normal"/>
    <w:next w:val="Normal"/>
    <w:autoRedefine/>
    <w:uiPriority w:val="39"/>
    <w:semiHidden/>
    <w:unhideWhenUsed/>
    <w:rsid w:val="00A27955"/>
    <w:pPr>
      <w:spacing w:after="100"/>
      <w:ind w:left="400"/>
    </w:pPr>
  </w:style>
  <w:style w:type="paragraph" w:styleId="TOC4">
    <w:name w:val="toc 4"/>
    <w:basedOn w:val="Normal"/>
    <w:next w:val="Normal"/>
    <w:autoRedefine/>
    <w:uiPriority w:val="39"/>
    <w:semiHidden/>
    <w:unhideWhenUsed/>
    <w:rsid w:val="00A27955"/>
    <w:pPr>
      <w:spacing w:after="100"/>
      <w:ind w:left="600"/>
    </w:pPr>
  </w:style>
  <w:style w:type="paragraph" w:styleId="TOC5">
    <w:name w:val="toc 5"/>
    <w:basedOn w:val="Normal"/>
    <w:next w:val="Normal"/>
    <w:autoRedefine/>
    <w:uiPriority w:val="39"/>
    <w:semiHidden/>
    <w:unhideWhenUsed/>
    <w:rsid w:val="00A27955"/>
    <w:pPr>
      <w:spacing w:after="100"/>
      <w:ind w:left="800"/>
    </w:pPr>
  </w:style>
  <w:style w:type="paragraph" w:styleId="TOC6">
    <w:name w:val="toc 6"/>
    <w:basedOn w:val="Normal"/>
    <w:next w:val="Normal"/>
    <w:autoRedefine/>
    <w:uiPriority w:val="39"/>
    <w:semiHidden/>
    <w:unhideWhenUsed/>
    <w:rsid w:val="00A27955"/>
    <w:pPr>
      <w:spacing w:after="100"/>
      <w:ind w:left="1000"/>
    </w:pPr>
  </w:style>
  <w:style w:type="paragraph" w:styleId="TOC7">
    <w:name w:val="toc 7"/>
    <w:basedOn w:val="Normal"/>
    <w:next w:val="Normal"/>
    <w:autoRedefine/>
    <w:uiPriority w:val="39"/>
    <w:semiHidden/>
    <w:unhideWhenUsed/>
    <w:rsid w:val="00A27955"/>
    <w:pPr>
      <w:spacing w:after="100"/>
      <w:ind w:left="1200"/>
    </w:pPr>
  </w:style>
  <w:style w:type="paragraph" w:styleId="TOC8">
    <w:name w:val="toc 8"/>
    <w:basedOn w:val="Normal"/>
    <w:next w:val="Normal"/>
    <w:autoRedefine/>
    <w:uiPriority w:val="39"/>
    <w:semiHidden/>
    <w:unhideWhenUsed/>
    <w:rsid w:val="00A27955"/>
    <w:pPr>
      <w:spacing w:after="100"/>
      <w:ind w:left="1400"/>
    </w:pPr>
  </w:style>
  <w:style w:type="paragraph" w:styleId="TOC9">
    <w:name w:val="toc 9"/>
    <w:basedOn w:val="Normal"/>
    <w:next w:val="Normal"/>
    <w:autoRedefine/>
    <w:uiPriority w:val="39"/>
    <w:semiHidden/>
    <w:unhideWhenUsed/>
    <w:rsid w:val="00A27955"/>
    <w:pPr>
      <w:spacing w:after="100"/>
      <w:ind w:left="1600"/>
    </w:pPr>
  </w:style>
  <w:style w:type="paragraph" w:styleId="TOCHeading">
    <w:name w:val="TOC Heading"/>
    <w:basedOn w:val="Heading1"/>
    <w:next w:val="Normal"/>
    <w:uiPriority w:val="39"/>
    <w:semiHidden/>
    <w:unhideWhenUsed/>
    <w:qFormat/>
    <w:rsid w:val="00A27955"/>
    <w:pPr>
      <w:keepLines/>
      <w:spacing w:before="240"/>
      <w:jc w:val="left"/>
      <w:outlineLvl w:val="9"/>
    </w:pPr>
    <w:rPr>
      <w:rFonts w:asciiTheme="majorHAnsi" w:eastAsiaTheme="majorEastAsia" w:hAnsiTheme="majorHAnsi"/>
      <w:b w:val="0"/>
      <w:color w:val="365F91" w:themeColor="accent1" w:themeShade="BF"/>
      <w:kern w:val="0"/>
      <w:sz w:val="32"/>
      <w:szCs w:val="32"/>
    </w:rPr>
  </w:style>
  <w:style w:type="paragraph" w:customStyle="1" w:styleId="Text">
    <w:name w:val="Text"/>
    <w:basedOn w:val="Normal"/>
    <w:link w:val="TextChar"/>
    <w:rsid w:val="009C6565"/>
    <w:pPr>
      <w:widowControl w:val="0"/>
      <w:autoSpaceDE w:val="0"/>
      <w:autoSpaceDN w:val="0"/>
      <w:spacing w:line="252" w:lineRule="auto"/>
      <w:ind w:firstLine="202"/>
      <w:jc w:val="both"/>
    </w:pPr>
    <w:rPr>
      <w:rFonts w:ascii="Times New Roman" w:hAnsi="Times New Roman" w:cs="Times New Roman"/>
      <w:szCs w:val="20"/>
      <w:lang w:val="en-US"/>
    </w:rPr>
  </w:style>
  <w:style w:type="character" w:customStyle="1" w:styleId="TextChar">
    <w:name w:val="Text Char"/>
    <w:basedOn w:val="DefaultParagraphFont"/>
    <w:link w:val="Text"/>
    <w:rsid w:val="009C6565"/>
  </w:style>
  <w:style w:type="paragraph" w:customStyle="1" w:styleId="ae">
    <w:name w:val="ae"/>
    <w:basedOn w:val="Text"/>
    <w:link w:val="aeChar"/>
    <w:qFormat/>
    <w:rsid w:val="009C6565"/>
    <w:pPr>
      <w:ind w:firstLine="0"/>
      <w:jc w:val="right"/>
    </w:pPr>
    <w:rPr>
      <w:color w:val="000000" w:themeColor="text1"/>
    </w:rPr>
  </w:style>
  <w:style w:type="character" w:customStyle="1" w:styleId="aeChar">
    <w:name w:val="ae Char"/>
    <w:basedOn w:val="TextChar"/>
    <w:link w:val="ae"/>
    <w:rsid w:val="009C6565"/>
    <w:rPr>
      <w:color w:val="000000" w:themeColor="text1"/>
    </w:rPr>
  </w:style>
  <w:style w:type="table" w:customStyle="1" w:styleId="TableGridLight1">
    <w:name w:val="Table Grid Light1"/>
    <w:basedOn w:val="TableNormal"/>
    <w:uiPriority w:val="40"/>
    <w:rsid w:val="00A30B9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GridTable1Light2">
    <w:name w:val="Grid Table 1 Light2"/>
    <w:basedOn w:val="TableNormal"/>
    <w:uiPriority w:val="46"/>
    <w:rsid w:val="00164805"/>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currenthithighlight">
    <w:name w:val="currenthithighlight"/>
    <w:basedOn w:val="DefaultParagraphFont"/>
    <w:rsid w:val="009C22FD"/>
  </w:style>
  <w:style w:type="character" w:customStyle="1" w:styleId="highlight">
    <w:name w:val="highlight"/>
    <w:basedOn w:val="DefaultParagraphFont"/>
    <w:rsid w:val="009C22FD"/>
  </w:style>
  <w:style w:type="character" w:customStyle="1" w:styleId="UnresolvedMention1">
    <w:name w:val="Unresolved Mention1"/>
    <w:basedOn w:val="DefaultParagraphFont"/>
    <w:uiPriority w:val="99"/>
    <w:semiHidden/>
    <w:unhideWhenUsed/>
    <w:rsid w:val="005F5A2C"/>
    <w:rPr>
      <w:color w:val="605E5C"/>
      <w:shd w:val="clear" w:color="auto" w:fill="E1DFDD"/>
    </w:rPr>
  </w:style>
  <w:style w:type="character" w:customStyle="1" w:styleId="muitypography-root">
    <w:name w:val="muitypography-root"/>
    <w:basedOn w:val="DefaultParagraphFont"/>
    <w:rsid w:val="00FB77FB"/>
  </w:style>
  <w:style w:type="character" w:customStyle="1" w:styleId="nd-word">
    <w:name w:val="nd-word"/>
    <w:basedOn w:val="DefaultParagraphFont"/>
    <w:rsid w:val="00976072"/>
  </w:style>
  <w:style w:type="table" w:customStyle="1" w:styleId="GridTable4-Accent11">
    <w:name w:val="Grid Table 4 - Accent 11"/>
    <w:basedOn w:val="TableNormal"/>
    <w:uiPriority w:val="49"/>
    <w:rsid w:val="00976072"/>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5Dark-Accent11">
    <w:name w:val="Grid Table 5 Dark - Accent 11"/>
    <w:basedOn w:val="TableNormal"/>
    <w:uiPriority w:val="50"/>
    <w:rsid w:val="00976072"/>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customStyle="1" w:styleId="GridTable6Colorful1">
    <w:name w:val="Grid Table 6 Colorful1"/>
    <w:basedOn w:val="TableNormal"/>
    <w:uiPriority w:val="51"/>
    <w:rsid w:val="00976072"/>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25594A"/>
    <w:pPr>
      <w:widowControl w:val="0"/>
      <w:autoSpaceDE w:val="0"/>
      <w:autoSpaceDN w:val="0"/>
      <w:ind w:left="110"/>
    </w:pPr>
    <w:rPr>
      <w:rFonts w:ascii="Arial" w:eastAsia="Arial" w:hAnsi="Arial" w:cs="Arial"/>
      <w:sz w:val="22"/>
      <w:szCs w:val="22"/>
      <w:lang w:val="en-US"/>
    </w:rPr>
  </w:style>
  <w:style w:type="table" w:customStyle="1" w:styleId="GridTable2-Accent11">
    <w:name w:val="Grid Table 2 - Accent 11"/>
    <w:basedOn w:val="TableNormal"/>
    <w:uiPriority w:val="47"/>
    <w:rsid w:val="00B2555C"/>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2-Accent41">
    <w:name w:val="Grid Table 2 - Accent 41"/>
    <w:basedOn w:val="TableNormal"/>
    <w:uiPriority w:val="47"/>
    <w:rsid w:val="002C465A"/>
    <w:tblPr>
      <w:tblStyleRowBandSize w:val="1"/>
      <w:tblStyleColBandSize w:val="1"/>
      <w:tblBorders>
        <w:top w:val="single" w:sz="2" w:space="0" w:color="B2A1C7" w:themeColor="accent4" w:themeTint="99"/>
        <w:bottom w:val="single" w:sz="2" w:space="0" w:color="B2A1C7" w:themeColor="accent4" w:themeTint="99"/>
        <w:insideH w:val="single" w:sz="2" w:space="0" w:color="B2A1C7" w:themeColor="accent4" w:themeTint="99"/>
        <w:insideV w:val="single" w:sz="2" w:space="0" w:color="B2A1C7" w:themeColor="accent4" w:themeTint="99"/>
      </w:tblBorders>
    </w:tblPr>
    <w:tblStylePr w:type="firstRow">
      <w:rPr>
        <w:b/>
        <w:bCs/>
      </w:rPr>
      <w:tblPr/>
      <w:tcPr>
        <w:tcBorders>
          <w:top w:val="nil"/>
          <w:bottom w:val="single" w:sz="12" w:space="0" w:color="B2A1C7" w:themeColor="accent4" w:themeTint="99"/>
          <w:insideH w:val="nil"/>
          <w:insideV w:val="nil"/>
        </w:tcBorders>
        <w:shd w:val="clear" w:color="auto" w:fill="FFFFFF" w:themeFill="background1"/>
      </w:tcPr>
    </w:tblStylePr>
    <w:tblStylePr w:type="lastRow">
      <w:rPr>
        <w:b/>
        <w:bCs/>
      </w:rPr>
      <w:tblPr/>
      <w:tcPr>
        <w:tcBorders>
          <w:top w:val="double" w:sz="2" w:space="0" w:color="B2A1C7"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table" w:customStyle="1" w:styleId="GridTable31">
    <w:name w:val="Grid Table 31"/>
    <w:basedOn w:val="TableNormal"/>
    <w:uiPriority w:val="48"/>
    <w:rsid w:val="002C465A"/>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1Light">
    <w:name w:val="Grid Table 1 Light"/>
    <w:basedOn w:val="TableNormal"/>
    <w:uiPriority w:val="46"/>
    <w:rsid w:val="00E963C0"/>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z-TopofForm">
    <w:name w:val="HTML Top of Form"/>
    <w:basedOn w:val="Normal"/>
    <w:next w:val="Normal"/>
    <w:link w:val="z-TopofFormChar"/>
    <w:hidden/>
    <w:uiPriority w:val="99"/>
    <w:semiHidden/>
    <w:unhideWhenUsed/>
    <w:rsid w:val="00CE18F3"/>
    <w:pPr>
      <w:pBdr>
        <w:bottom w:val="single" w:sz="6" w:space="1" w:color="auto"/>
      </w:pBdr>
      <w:jc w:val="center"/>
    </w:pPr>
    <w:rPr>
      <w:rFonts w:ascii="Arial" w:hAnsi="Arial" w:cs="Arial"/>
      <w:vanish/>
      <w:sz w:val="16"/>
      <w:szCs w:val="16"/>
      <w:lang w:val="en-US"/>
    </w:rPr>
  </w:style>
  <w:style w:type="character" w:customStyle="1" w:styleId="z-TopofFormChar">
    <w:name w:val="z-Top of Form Char"/>
    <w:basedOn w:val="DefaultParagraphFont"/>
    <w:link w:val="z-TopofForm"/>
    <w:uiPriority w:val="99"/>
    <w:semiHidden/>
    <w:rsid w:val="00CE18F3"/>
    <w:rPr>
      <w:rFonts w:ascii="Arial" w:hAnsi="Arial" w:cs="Arial"/>
      <w:vanish/>
      <w:sz w:val="16"/>
      <w:szCs w:val="16"/>
    </w:rPr>
  </w:style>
  <w:style w:type="character" w:styleId="UnresolvedMention">
    <w:name w:val="Unresolved Mention"/>
    <w:basedOn w:val="DefaultParagraphFont"/>
    <w:uiPriority w:val="99"/>
    <w:semiHidden/>
    <w:unhideWhenUsed/>
    <w:rsid w:val="00880932"/>
    <w:rPr>
      <w:color w:val="605E5C"/>
      <w:shd w:val="clear" w:color="auto" w:fill="E1DFDD"/>
    </w:rPr>
  </w:style>
  <w:style w:type="character" w:styleId="FollowedHyperlink">
    <w:name w:val="FollowedHyperlink"/>
    <w:basedOn w:val="DefaultParagraphFont"/>
    <w:uiPriority w:val="99"/>
    <w:semiHidden/>
    <w:unhideWhenUsed/>
    <w:rsid w:val="00907AF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6851781">
      <w:bodyDiv w:val="1"/>
      <w:marLeft w:val="0"/>
      <w:marRight w:val="0"/>
      <w:marTop w:val="0"/>
      <w:marBottom w:val="0"/>
      <w:divBdr>
        <w:top w:val="none" w:sz="0" w:space="0" w:color="auto"/>
        <w:left w:val="none" w:sz="0" w:space="0" w:color="auto"/>
        <w:bottom w:val="none" w:sz="0" w:space="0" w:color="auto"/>
        <w:right w:val="none" w:sz="0" w:space="0" w:color="auto"/>
      </w:divBdr>
      <w:divsChild>
        <w:div w:id="1728407634">
          <w:marLeft w:val="0"/>
          <w:marRight w:val="0"/>
          <w:marTop w:val="0"/>
          <w:marBottom w:val="240"/>
          <w:divBdr>
            <w:top w:val="none" w:sz="0" w:space="0" w:color="auto"/>
            <w:left w:val="none" w:sz="0" w:space="0" w:color="auto"/>
            <w:bottom w:val="none" w:sz="0" w:space="0" w:color="auto"/>
            <w:right w:val="none" w:sz="0" w:space="0" w:color="auto"/>
          </w:divBdr>
        </w:div>
      </w:divsChild>
    </w:div>
    <w:div w:id="223296484">
      <w:bodyDiv w:val="1"/>
      <w:marLeft w:val="0"/>
      <w:marRight w:val="0"/>
      <w:marTop w:val="0"/>
      <w:marBottom w:val="0"/>
      <w:divBdr>
        <w:top w:val="none" w:sz="0" w:space="0" w:color="auto"/>
        <w:left w:val="none" w:sz="0" w:space="0" w:color="auto"/>
        <w:bottom w:val="none" w:sz="0" w:space="0" w:color="auto"/>
        <w:right w:val="none" w:sz="0" w:space="0" w:color="auto"/>
      </w:divBdr>
    </w:div>
    <w:div w:id="258949091">
      <w:bodyDiv w:val="1"/>
      <w:marLeft w:val="0"/>
      <w:marRight w:val="0"/>
      <w:marTop w:val="0"/>
      <w:marBottom w:val="0"/>
      <w:divBdr>
        <w:top w:val="none" w:sz="0" w:space="0" w:color="auto"/>
        <w:left w:val="none" w:sz="0" w:space="0" w:color="auto"/>
        <w:bottom w:val="none" w:sz="0" w:space="0" w:color="auto"/>
        <w:right w:val="none" w:sz="0" w:space="0" w:color="auto"/>
      </w:divBdr>
      <w:divsChild>
        <w:div w:id="729576809">
          <w:marLeft w:val="691"/>
          <w:marRight w:val="0"/>
          <w:marTop w:val="0"/>
          <w:marBottom w:val="0"/>
          <w:divBdr>
            <w:top w:val="none" w:sz="0" w:space="0" w:color="auto"/>
            <w:left w:val="none" w:sz="0" w:space="0" w:color="auto"/>
            <w:bottom w:val="none" w:sz="0" w:space="0" w:color="auto"/>
            <w:right w:val="none" w:sz="0" w:space="0" w:color="auto"/>
          </w:divBdr>
        </w:div>
        <w:div w:id="1797261018">
          <w:marLeft w:val="691"/>
          <w:marRight w:val="0"/>
          <w:marTop w:val="0"/>
          <w:marBottom w:val="0"/>
          <w:divBdr>
            <w:top w:val="none" w:sz="0" w:space="0" w:color="auto"/>
            <w:left w:val="none" w:sz="0" w:space="0" w:color="auto"/>
            <w:bottom w:val="none" w:sz="0" w:space="0" w:color="auto"/>
            <w:right w:val="none" w:sz="0" w:space="0" w:color="auto"/>
          </w:divBdr>
        </w:div>
        <w:div w:id="1713992929">
          <w:marLeft w:val="691"/>
          <w:marRight w:val="0"/>
          <w:marTop w:val="0"/>
          <w:marBottom w:val="0"/>
          <w:divBdr>
            <w:top w:val="none" w:sz="0" w:space="0" w:color="auto"/>
            <w:left w:val="none" w:sz="0" w:space="0" w:color="auto"/>
            <w:bottom w:val="none" w:sz="0" w:space="0" w:color="auto"/>
            <w:right w:val="none" w:sz="0" w:space="0" w:color="auto"/>
          </w:divBdr>
        </w:div>
        <w:div w:id="38745179">
          <w:marLeft w:val="1152"/>
          <w:marRight w:val="0"/>
          <w:marTop w:val="125"/>
          <w:marBottom w:val="0"/>
          <w:divBdr>
            <w:top w:val="none" w:sz="0" w:space="0" w:color="auto"/>
            <w:left w:val="none" w:sz="0" w:space="0" w:color="auto"/>
            <w:bottom w:val="none" w:sz="0" w:space="0" w:color="auto"/>
            <w:right w:val="none" w:sz="0" w:space="0" w:color="auto"/>
          </w:divBdr>
        </w:div>
        <w:div w:id="260650417">
          <w:marLeft w:val="1152"/>
          <w:marRight w:val="0"/>
          <w:marTop w:val="125"/>
          <w:marBottom w:val="0"/>
          <w:divBdr>
            <w:top w:val="none" w:sz="0" w:space="0" w:color="auto"/>
            <w:left w:val="none" w:sz="0" w:space="0" w:color="auto"/>
            <w:bottom w:val="none" w:sz="0" w:space="0" w:color="auto"/>
            <w:right w:val="none" w:sz="0" w:space="0" w:color="auto"/>
          </w:divBdr>
        </w:div>
        <w:div w:id="1490168041">
          <w:marLeft w:val="1152"/>
          <w:marRight w:val="0"/>
          <w:marTop w:val="125"/>
          <w:marBottom w:val="0"/>
          <w:divBdr>
            <w:top w:val="none" w:sz="0" w:space="0" w:color="auto"/>
            <w:left w:val="none" w:sz="0" w:space="0" w:color="auto"/>
            <w:bottom w:val="none" w:sz="0" w:space="0" w:color="auto"/>
            <w:right w:val="none" w:sz="0" w:space="0" w:color="auto"/>
          </w:divBdr>
        </w:div>
        <w:div w:id="204683555">
          <w:marLeft w:val="1152"/>
          <w:marRight w:val="0"/>
          <w:marTop w:val="125"/>
          <w:marBottom w:val="0"/>
          <w:divBdr>
            <w:top w:val="none" w:sz="0" w:space="0" w:color="auto"/>
            <w:left w:val="none" w:sz="0" w:space="0" w:color="auto"/>
            <w:bottom w:val="none" w:sz="0" w:space="0" w:color="auto"/>
            <w:right w:val="none" w:sz="0" w:space="0" w:color="auto"/>
          </w:divBdr>
        </w:div>
        <w:div w:id="465976859">
          <w:marLeft w:val="1152"/>
          <w:marRight w:val="0"/>
          <w:marTop w:val="125"/>
          <w:marBottom w:val="0"/>
          <w:divBdr>
            <w:top w:val="none" w:sz="0" w:space="0" w:color="auto"/>
            <w:left w:val="none" w:sz="0" w:space="0" w:color="auto"/>
            <w:bottom w:val="none" w:sz="0" w:space="0" w:color="auto"/>
            <w:right w:val="none" w:sz="0" w:space="0" w:color="auto"/>
          </w:divBdr>
        </w:div>
        <w:div w:id="748231352">
          <w:marLeft w:val="1152"/>
          <w:marRight w:val="0"/>
          <w:marTop w:val="125"/>
          <w:marBottom w:val="0"/>
          <w:divBdr>
            <w:top w:val="none" w:sz="0" w:space="0" w:color="auto"/>
            <w:left w:val="none" w:sz="0" w:space="0" w:color="auto"/>
            <w:bottom w:val="none" w:sz="0" w:space="0" w:color="auto"/>
            <w:right w:val="none" w:sz="0" w:space="0" w:color="auto"/>
          </w:divBdr>
        </w:div>
        <w:div w:id="381247633">
          <w:marLeft w:val="1570"/>
          <w:marRight w:val="0"/>
          <w:marTop w:val="106"/>
          <w:marBottom w:val="0"/>
          <w:divBdr>
            <w:top w:val="none" w:sz="0" w:space="0" w:color="auto"/>
            <w:left w:val="none" w:sz="0" w:space="0" w:color="auto"/>
            <w:bottom w:val="none" w:sz="0" w:space="0" w:color="auto"/>
            <w:right w:val="none" w:sz="0" w:space="0" w:color="auto"/>
          </w:divBdr>
        </w:div>
        <w:div w:id="808782909">
          <w:marLeft w:val="1570"/>
          <w:marRight w:val="0"/>
          <w:marTop w:val="106"/>
          <w:marBottom w:val="0"/>
          <w:divBdr>
            <w:top w:val="none" w:sz="0" w:space="0" w:color="auto"/>
            <w:left w:val="none" w:sz="0" w:space="0" w:color="auto"/>
            <w:bottom w:val="none" w:sz="0" w:space="0" w:color="auto"/>
            <w:right w:val="none" w:sz="0" w:space="0" w:color="auto"/>
          </w:divBdr>
        </w:div>
        <w:div w:id="281109885">
          <w:marLeft w:val="1152"/>
          <w:marRight w:val="0"/>
          <w:marTop w:val="125"/>
          <w:marBottom w:val="0"/>
          <w:divBdr>
            <w:top w:val="none" w:sz="0" w:space="0" w:color="auto"/>
            <w:left w:val="none" w:sz="0" w:space="0" w:color="auto"/>
            <w:bottom w:val="none" w:sz="0" w:space="0" w:color="auto"/>
            <w:right w:val="none" w:sz="0" w:space="0" w:color="auto"/>
          </w:divBdr>
        </w:div>
      </w:divsChild>
    </w:div>
    <w:div w:id="276177642">
      <w:bodyDiv w:val="1"/>
      <w:marLeft w:val="0"/>
      <w:marRight w:val="0"/>
      <w:marTop w:val="0"/>
      <w:marBottom w:val="0"/>
      <w:divBdr>
        <w:top w:val="none" w:sz="0" w:space="0" w:color="auto"/>
        <w:left w:val="none" w:sz="0" w:space="0" w:color="auto"/>
        <w:bottom w:val="none" w:sz="0" w:space="0" w:color="auto"/>
        <w:right w:val="none" w:sz="0" w:space="0" w:color="auto"/>
      </w:divBdr>
      <w:divsChild>
        <w:div w:id="396172734">
          <w:blockQuote w:val="1"/>
          <w:marLeft w:val="720"/>
          <w:marRight w:val="720"/>
          <w:marTop w:val="0"/>
          <w:marBottom w:val="0"/>
          <w:divBdr>
            <w:top w:val="none" w:sz="0" w:space="0" w:color="auto"/>
            <w:left w:val="none" w:sz="0" w:space="0" w:color="auto"/>
            <w:bottom w:val="none" w:sz="0" w:space="0" w:color="auto"/>
            <w:right w:val="none" w:sz="0" w:space="0" w:color="auto"/>
          </w:divBdr>
        </w:div>
      </w:divsChild>
    </w:div>
    <w:div w:id="282149976">
      <w:bodyDiv w:val="1"/>
      <w:marLeft w:val="0"/>
      <w:marRight w:val="0"/>
      <w:marTop w:val="0"/>
      <w:marBottom w:val="0"/>
      <w:divBdr>
        <w:top w:val="none" w:sz="0" w:space="0" w:color="auto"/>
        <w:left w:val="none" w:sz="0" w:space="0" w:color="auto"/>
        <w:bottom w:val="none" w:sz="0" w:space="0" w:color="auto"/>
        <w:right w:val="none" w:sz="0" w:space="0" w:color="auto"/>
      </w:divBdr>
    </w:div>
    <w:div w:id="317156266">
      <w:bodyDiv w:val="1"/>
      <w:marLeft w:val="0"/>
      <w:marRight w:val="0"/>
      <w:marTop w:val="0"/>
      <w:marBottom w:val="0"/>
      <w:divBdr>
        <w:top w:val="none" w:sz="0" w:space="0" w:color="auto"/>
        <w:left w:val="none" w:sz="0" w:space="0" w:color="auto"/>
        <w:bottom w:val="none" w:sz="0" w:space="0" w:color="auto"/>
        <w:right w:val="none" w:sz="0" w:space="0" w:color="auto"/>
      </w:divBdr>
      <w:divsChild>
        <w:div w:id="1034649336">
          <w:marLeft w:val="547"/>
          <w:marRight w:val="0"/>
          <w:marTop w:val="154"/>
          <w:marBottom w:val="0"/>
          <w:divBdr>
            <w:top w:val="none" w:sz="0" w:space="0" w:color="auto"/>
            <w:left w:val="none" w:sz="0" w:space="0" w:color="auto"/>
            <w:bottom w:val="none" w:sz="0" w:space="0" w:color="auto"/>
            <w:right w:val="none" w:sz="0" w:space="0" w:color="auto"/>
          </w:divBdr>
        </w:div>
      </w:divsChild>
    </w:div>
    <w:div w:id="331224483">
      <w:bodyDiv w:val="1"/>
      <w:marLeft w:val="0"/>
      <w:marRight w:val="0"/>
      <w:marTop w:val="0"/>
      <w:marBottom w:val="0"/>
      <w:divBdr>
        <w:top w:val="none" w:sz="0" w:space="0" w:color="auto"/>
        <w:left w:val="none" w:sz="0" w:space="0" w:color="auto"/>
        <w:bottom w:val="none" w:sz="0" w:space="0" w:color="auto"/>
        <w:right w:val="none" w:sz="0" w:space="0" w:color="auto"/>
      </w:divBdr>
    </w:div>
    <w:div w:id="336004741">
      <w:bodyDiv w:val="1"/>
      <w:marLeft w:val="0"/>
      <w:marRight w:val="0"/>
      <w:marTop w:val="0"/>
      <w:marBottom w:val="0"/>
      <w:divBdr>
        <w:top w:val="none" w:sz="0" w:space="0" w:color="auto"/>
        <w:left w:val="none" w:sz="0" w:space="0" w:color="auto"/>
        <w:bottom w:val="none" w:sz="0" w:space="0" w:color="auto"/>
        <w:right w:val="none" w:sz="0" w:space="0" w:color="auto"/>
      </w:divBdr>
    </w:div>
    <w:div w:id="337126121">
      <w:bodyDiv w:val="1"/>
      <w:marLeft w:val="0"/>
      <w:marRight w:val="0"/>
      <w:marTop w:val="0"/>
      <w:marBottom w:val="0"/>
      <w:divBdr>
        <w:top w:val="none" w:sz="0" w:space="0" w:color="auto"/>
        <w:left w:val="none" w:sz="0" w:space="0" w:color="auto"/>
        <w:bottom w:val="none" w:sz="0" w:space="0" w:color="auto"/>
        <w:right w:val="none" w:sz="0" w:space="0" w:color="auto"/>
      </w:divBdr>
      <w:divsChild>
        <w:div w:id="1215503826">
          <w:marLeft w:val="0"/>
          <w:marRight w:val="0"/>
          <w:marTop w:val="0"/>
          <w:marBottom w:val="0"/>
          <w:divBdr>
            <w:top w:val="none" w:sz="0" w:space="0" w:color="auto"/>
            <w:left w:val="none" w:sz="0" w:space="0" w:color="auto"/>
            <w:bottom w:val="none" w:sz="0" w:space="0" w:color="auto"/>
            <w:right w:val="none" w:sz="0" w:space="0" w:color="auto"/>
          </w:divBdr>
        </w:div>
      </w:divsChild>
    </w:div>
    <w:div w:id="343628408">
      <w:bodyDiv w:val="1"/>
      <w:marLeft w:val="0"/>
      <w:marRight w:val="0"/>
      <w:marTop w:val="0"/>
      <w:marBottom w:val="0"/>
      <w:divBdr>
        <w:top w:val="none" w:sz="0" w:space="0" w:color="auto"/>
        <w:left w:val="none" w:sz="0" w:space="0" w:color="auto"/>
        <w:bottom w:val="none" w:sz="0" w:space="0" w:color="auto"/>
        <w:right w:val="none" w:sz="0" w:space="0" w:color="auto"/>
      </w:divBdr>
    </w:div>
    <w:div w:id="360278843">
      <w:bodyDiv w:val="1"/>
      <w:marLeft w:val="0"/>
      <w:marRight w:val="0"/>
      <w:marTop w:val="0"/>
      <w:marBottom w:val="0"/>
      <w:divBdr>
        <w:top w:val="none" w:sz="0" w:space="0" w:color="auto"/>
        <w:left w:val="none" w:sz="0" w:space="0" w:color="auto"/>
        <w:bottom w:val="none" w:sz="0" w:space="0" w:color="auto"/>
        <w:right w:val="none" w:sz="0" w:space="0" w:color="auto"/>
      </w:divBdr>
      <w:divsChild>
        <w:div w:id="1984310361">
          <w:marLeft w:val="0"/>
          <w:marRight w:val="0"/>
          <w:marTop w:val="0"/>
          <w:marBottom w:val="0"/>
          <w:divBdr>
            <w:top w:val="none" w:sz="0" w:space="0" w:color="auto"/>
            <w:left w:val="none" w:sz="0" w:space="0" w:color="auto"/>
            <w:bottom w:val="none" w:sz="0" w:space="0" w:color="auto"/>
            <w:right w:val="none" w:sz="0" w:space="0" w:color="auto"/>
          </w:divBdr>
        </w:div>
        <w:div w:id="1716928330">
          <w:marLeft w:val="0"/>
          <w:marRight w:val="0"/>
          <w:marTop w:val="0"/>
          <w:marBottom w:val="0"/>
          <w:divBdr>
            <w:top w:val="none" w:sz="0" w:space="0" w:color="auto"/>
            <w:left w:val="none" w:sz="0" w:space="0" w:color="auto"/>
            <w:bottom w:val="none" w:sz="0" w:space="0" w:color="auto"/>
            <w:right w:val="none" w:sz="0" w:space="0" w:color="auto"/>
          </w:divBdr>
        </w:div>
      </w:divsChild>
    </w:div>
    <w:div w:id="395711559">
      <w:bodyDiv w:val="1"/>
      <w:marLeft w:val="0"/>
      <w:marRight w:val="0"/>
      <w:marTop w:val="0"/>
      <w:marBottom w:val="0"/>
      <w:divBdr>
        <w:top w:val="none" w:sz="0" w:space="0" w:color="auto"/>
        <w:left w:val="none" w:sz="0" w:space="0" w:color="auto"/>
        <w:bottom w:val="none" w:sz="0" w:space="0" w:color="auto"/>
        <w:right w:val="none" w:sz="0" w:space="0" w:color="auto"/>
      </w:divBdr>
    </w:div>
    <w:div w:id="399406386">
      <w:bodyDiv w:val="1"/>
      <w:marLeft w:val="0"/>
      <w:marRight w:val="0"/>
      <w:marTop w:val="0"/>
      <w:marBottom w:val="0"/>
      <w:divBdr>
        <w:top w:val="none" w:sz="0" w:space="0" w:color="auto"/>
        <w:left w:val="none" w:sz="0" w:space="0" w:color="auto"/>
        <w:bottom w:val="none" w:sz="0" w:space="0" w:color="auto"/>
        <w:right w:val="none" w:sz="0" w:space="0" w:color="auto"/>
      </w:divBdr>
      <w:divsChild>
        <w:div w:id="1785343794">
          <w:marLeft w:val="547"/>
          <w:marRight w:val="0"/>
          <w:marTop w:val="0"/>
          <w:marBottom w:val="0"/>
          <w:divBdr>
            <w:top w:val="none" w:sz="0" w:space="0" w:color="auto"/>
            <w:left w:val="none" w:sz="0" w:space="0" w:color="auto"/>
            <w:bottom w:val="none" w:sz="0" w:space="0" w:color="auto"/>
            <w:right w:val="none" w:sz="0" w:space="0" w:color="auto"/>
          </w:divBdr>
        </w:div>
        <w:div w:id="1864322442">
          <w:marLeft w:val="547"/>
          <w:marRight w:val="0"/>
          <w:marTop w:val="0"/>
          <w:marBottom w:val="0"/>
          <w:divBdr>
            <w:top w:val="none" w:sz="0" w:space="0" w:color="auto"/>
            <w:left w:val="none" w:sz="0" w:space="0" w:color="auto"/>
            <w:bottom w:val="none" w:sz="0" w:space="0" w:color="auto"/>
            <w:right w:val="none" w:sz="0" w:space="0" w:color="auto"/>
          </w:divBdr>
        </w:div>
        <w:div w:id="367263782">
          <w:marLeft w:val="547"/>
          <w:marRight w:val="0"/>
          <w:marTop w:val="0"/>
          <w:marBottom w:val="0"/>
          <w:divBdr>
            <w:top w:val="none" w:sz="0" w:space="0" w:color="auto"/>
            <w:left w:val="none" w:sz="0" w:space="0" w:color="auto"/>
            <w:bottom w:val="none" w:sz="0" w:space="0" w:color="auto"/>
            <w:right w:val="none" w:sz="0" w:space="0" w:color="auto"/>
          </w:divBdr>
        </w:div>
        <w:div w:id="2086760924">
          <w:marLeft w:val="547"/>
          <w:marRight w:val="0"/>
          <w:marTop w:val="0"/>
          <w:marBottom w:val="0"/>
          <w:divBdr>
            <w:top w:val="none" w:sz="0" w:space="0" w:color="auto"/>
            <w:left w:val="none" w:sz="0" w:space="0" w:color="auto"/>
            <w:bottom w:val="none" w:sz="0" w:space="0" w:color="auto"/>
            <w:right w:val="none" w:sz="0" w:space="0" w:color="auto"/>
          </w:divBdr>
        </w:div>
        <w:div w:id="280264256">
          <w:marLeft w:val="547"/>
          <w:marRight w:val="0"/>
          <w:marTop w:val="0"/>
          <w:marBottom w:val="0"/>
          <w:divBdr>
            <w:top w:val="none" w:sz="0" w:space="0" w:color="auto"/>
            <w:left w:val="none" w:sz="0" w:space="0" w:color="auto"/>
            <w:bottom w:val="none" w:sz="0" w:space="0" w:color="auto"/>
            <w:right w:val="none" w:sz="0" w:space="0" w:color="auto"/>
          </w:divBdr>
        </w:div>
        <w:div w:id="1704745387">
          <w:marLeft w:val="547"/>
          <w:marRight w:val="0"/>
          <w:marTop w:val="0"/>
          <w:marBottom w:val="0"/>
          <w:divBdr>
            <w:top w:val="none" w:sz="0" w:space="0" w:color="auto"/>
            <w:left w:val="none" w:sz="0" w:space="0" w:color="auto"/>
            <w:bottom w:val="none" w:sz="0" w:space="0" w:color="auto"/>
            <w:right w:val="none" w:sz="0" w:space="0" w:color="auto"/>
          </w:divBdr>
        </w:div>
      </w:divsChild>
    </w:div>
    <w:div w:id="402988989">
      <w:bodyDiv w:val="1"/>
      <w:marLeft w:val="0"/>
      <w:marRight w:val="0"/>
      <w:marTop w:val="0"/>
      <w:marBottom w:val="0"/>
      <w:divBdr>
        <w:top w:val="none" w:sz="0" w:space="0" w:color="auto"/>
        <w:left w:val="none" w:sz="0" w:space="0" w:color="auto"/>
        <w:bottom w:val="none" w:sz="0" w:space="0" w:color="auto"/>
        <w:right w:val="none" w:sz="0" w:space="0" w:color="auto"/>
      </w:divBdr>
    </w:div>
    <w:div w:id="409281278">
      <w:bodyDiv w:val="1"/>
      <w:marLeft w:val="0"/>
      <w:marRight w:val="0"/>
      <w:marTop w:val="0"/>
      <w:marBottom w:val="0"/>
      <w:divBdr>
        <w:top w:val="none" w:sz="0" w:space="0" w:color="auto"/>
        <w:left w:val="none" w:sz="0" w:space="0" w:color="auto"/>
        <w:bottom w:val="none" w:sz="0" w:space="0" w:color="auto"/>
        <w:right w:val="none" w:sz="0" w:space="0" w:color="auto"/>
      </w:divBdr>
      <w:divsChild>
        <w:div w:id="592469973">
          <w:marLeft w:val="0"/>
          <w:marRight w:val="0"/>
          <w:marTop w:val="0"/>
          <w:marBottom w:val="0"/>
          <w:divBdr>
            <w:top w:val="none" w:sz="0" w:space="0" w:color="auto"/>
            <w:left w:val="none" w:sz="0" w:space="0" w:color="auto"/>
            <w:bottom w:val="none" w:sz="0" w:space="0" w:color="auto"/>
            <w:right w:val="none" w:sz="0" w:space="0" w:color="auto"/>
          </w:divBdr>
        </w:div>
      </w:divsChild>
    </w:div>
    <w:div w:id="448745950">
      <w:bodyDiv w:val="1"/>
      <w:marLeft w:val="0"/>
      <w:marRight w:val="0"/>
      <w:marTop w:val="0"/>
      <w:marBottom w:val="0"/>
      <w:divBdr>
        <w:top w:val="none" w:sz="0" w:space="0" w:color="auto"/>
        <w:left w:val="none" w:sz="0" w:space="0" w:color="auto"/>
        <w:bottom w:val="none" w:sz="0" w:space="0" w:color="auto"/>
        <w:right w:val="none" w:sz="0" w:space="0" w:color="auto"/>
      </w:divBdr>
    </w:div>
    <w:div w:id="498732904">
      <w:bodyDiv w:val="1"/>
      <w:marLeft w:val="0"/>
      <w:marRight w:val="0"/>
      <w:marTop w:val="0"/>
      <w:marBottom w:val="0"/>
      <w:divBdr>
        <w:top w:val="none" w:sz="0" w:space="0" w:color="auto"/>
        <w:left w:val="none" w:sz="0" w:space="0" w:color="auto"/>
        <w:bottom w:val="none" w:sz="0" w:space="0" w:color="auto"/>
        <w:right w:val="none" w:sz="0" w:space="0" w:color="auto"/>
      </w:divBdr>
    </w:div>
    <w:div w:id="524636583">
      <w:bodyDiv w:val="1"/>
      <w:marLeft w:val="0"/>
      <w:marRight w:val="0"/>
      <w:marTop w:val="0"/>
      <w:marBottom w:val="0"/>
      <w:divBdr>
        <w:top w:val="none" w:sz="0" w:space="0" w:color="auto"/>
        <w:left w:val="none" w:sz="0" w:space="0" w:color="auto"/>
        <w:bottom w:val="none" w:sz="0" w:space="0" w:color="auto"/>
        <w:right w:val="none" w:sz="0" w:space="0" w:color="auto"/>
      </w:divBdr>
    </w:div>
    <w:div w:id="574437652">
      <w:bodyDiv w:val="1"/>
      <w:marLeft w:val="0"/>
      <w:marRight w:val="0"/>
      <w:marTop w:val="0"/>
      <w:marBottom w:val="0"/>
      <w:divBdr>
        <w:top w:val="none" w:sz="0" w:space="0" w:color="auto"/>
        <w:left w:val="none" w:sz="0" w:space="0" w:color="auto"/>
        <w:bottom w:val="none" w:sz="0" w:space="0" w:color="auto"/>
        <w:right w:val="none" w:sz="0" w:space="0" w:color="auto"/>
      </w:divBdr>
    </w:div>
    <w:div w:id="578367045">
      <w:bodyDiv w:val="1"/>
      <w:marLeft w:val="0"/>
      <w:marRight w:val="0"/>
      <w:marTop w:val="0"/>
      <w:marBottom w:val="0"/>
      <w:divBdr>
        <w:top w:val="none" w:sz="0" w:space="0" w:color="auto"/>
        <w:left w:val="none" w:sz="0" w:space="0" w:color="auto"/>
        <w:bottom w:val="none" w:sz="0" w:space="0" w:color="auto"/>
        <w:right w:val="none" w:sz="0" w:space="0" w:color="auto"/>
      </w:divBdr>
    </w:div>
    <w:div w:id="661353988">
      <w:bodyDiv w:val="1"/>
      <w:marLeft w:val="0"/>
      <w:marRight w:val="0"/>
      <w:marTop w:val="0"/>
      <w:marBottom w:val="0"/>
      <w:divBdr>
        <w:top w:val="none" w:sz="0" w:space="0" w:color="auto"/>
        <w:left w:val="none" w:sz="0" w:space="0" w:color="auto"/>
        <w:bottom w:val="none" w:sz="0" w:space="0" w:color="auto"/>
        <w:right w:val="none" w:sz="0" w:space="0" w:color="auto"/>
      </w:divBdr>
    </w:div>
    <w:div w:id="662438275">
      <w:bodyDiv w:val="1"/>
      <w:marLeft w:val="0"/>
      <w:marRight w:val="0"/>
      <w:marTop w:val="0"/>
      <w:marBottom w:val="0"/>
      <w:divBdr>
        <w:top w:val="none" w:sz="0" w:space="0" w:color="auto"/>
        <w:left w:val="none" w:sz="0" w:space="0" w:color="auto"/>
        <w:bottom w:val="none" w:sz="0" w:space="0" w:color="auto"/>
        <w:right w:val="none" w:sz="0" w:space="0" w:color="auto"/>
      </w:divBdr>
      <w:divsChild>
        <w:div w:id="856694720">
          <w:marLeft w:val="547"/>
          <w:marRight w:val="0"/>
          <w:marTop w:val="86"/>
          <w:marBottom w:val="0"/>
          <w:divBdr>
            <w:top w:val="none" w:sz="0" w:space="0" w:color="auto"/>
            <w:left w:val="none" w:sz="0" w:space="0" w:color="auto"/>
            <w:bottom w:val="none" w:sz="0" w:space="0" w:color="auto"/>
            <w:right w:val="none" w:sz="0" w:space="0" w:color="auto"/>
          </w:divBdr>
        </w:div>
      </w:divsChild>
    </w:div>
    <w:div w:id="682587289">
      <w:bodyDiv w:val="1"/>
      <w:marLeft w:val="0"/>
      <w:marRight w:val="0"/>
      <w:marTop w:val="0"/>
      <w:marBottom w:val="0"/>
      <w:divBdr>
        <w:top w:val="none" w:sz="0" w:space="0" w:color="auto"/>
        <w:left w:val="none" w:sz="0" w:space="0" w:color="auto"/>
        <w:bottom w:val="none" w:sz="0" w:space="0" w:color="auto"/>
        <w:right w:val="none" w:sz="0" w:space="0" w:color="auto"/>
      </w:divBdr>
    </w:div>
    <w:div w:id="703092023">
      <w:bodyDiv w:val="1"/>
      <w:marLeft w:val="0"/>
      <w:marRight w:val="0"/>
      <w:marTop w:val="0"/>
      <w:marBottom w:val="0"/>
      <w:divBdr>
        <w:top w:val="none" w:sz="0" w:space="0" w:color="auto"/>
        <w:left w:val="none" w:sz="0" w:space="0" w:color="auto"/>
        <w:bottom w:val="none" w:sz="0" w:space="0" w:color="auto"/>
        <w:right w:val="none" w:sz="0" w:space="0" w:color="auto"/>
      </w:divBdr>
    </w:div>
    <w:div w:id="783691860">
      <w:bodyDiv w:val="1"/>
      <w:marLeft w:val="0"/>
      <w:marRight w:val="0"/>
      <w:marTop w:val="0"/>
      <w:marBottom w:val="0"/>
      <w:divBdr>
        <w:top w:val="none" w:sz="0" w:space="0" w:color="auto"/>
        <w:left w:val="none" w:sz="0" w:space="0" w:color="auto"/>
        <w:bottom w:val="none" w:sz="0" w:space="0" w:color="auto"/>
        <w:right w:val="none" w:sz="0" w:space="0" w:color="auto"/>
      </w:divBdr>
    </w:div>
    <w:div w:id="789978932">
      <w:bodyDiv w:val="1"/>
      <w:marLeft w:val="0"/>
      <w:marRight w:val="0"/>
      <w:marTop w:val="0"/>
      <w:marBottom w:val="0"/>
      <w:divBdr>
        <w:top w:val="none" w:sz="0" w:space="0" w:color="auto"/>
        <w:left w:val="none" w:sz="0" w:space="0" w:color="auto"/>
        <w:bottom w:val="none" w:sz="0" w:space="0" w:color="auto"/>
        <w:right w:val="none" w:sz="0" w:space="0" w:color="auto"/>
      </w:divBdr>
    </w:div>
    <w:div w:id="824010701">
      <w:bodyDiv w:val="1"/>
      <w:marLeft w:val="0"/>
      <w:marRight w:val="0"/>
      <w:marTop w:val="0"/>
      <w:marBottom w:val="0"/>
      <w:divBdr>
        <w:top w:val="none" w:sz="0" w:space="0" w:color="auto"/>
        <w:left w:val="none" w:sz="0" w:space="0" w:color="auto"/>
        <w:bottom w:val="none" w:sz="0" w:space="0" w:color="auto"/>
        <w:right w:val="none" w:sz="0" w:space="0" w:color="auto"/>
      </w:divBdr>
    </w:div>
    <w:div w:id="840509257">
      <w:bodyDiv w:val="1"/>
      <w:marLeft w:val="0"/>
      <w:marRight w:val="0"/>
      <w:marTop w:val="0"/>
      <w:marBottom w:val="0"/>
      <w:divBdr>
        <w:top w:val="none" w:sz="0" w:space="0" w:color="auto"/>
        <w:left w:val="none" w:sz="0" w:space="0" w:color="auto"/>
        <w:bottom w:val="none" w:sz="0" w:space="0" w:color="auto"/>
        <w:right w:val="none" w:sz="0" w:space="0" w:color="auto"/>
      </w:divBdr>
      <w:divsChild>
        <w:div w:id="1910340005">
          <w:marLeft w:val="0"/>
          <w:marRight w:val="0"/>
          <w:marTop w:val="0"/>
          <w:marBottom w:val="0"/>
          <w:divBdr>
            <w:top w:val="single" w:sz="2" w:space="0" w:color="D9D9E3"/>
            <w:left w:val="single" w:sz="2" w:space="0" w:color="D9D9E3"/>
            <w:bottom w:val="single" w:sz="2" w:space="0" w:color="D9D9E3"/>
            <w:right w:val="single" w:sz="2" w:space="0" w:color="D9D9E3"/>
          </w:divBdr>
          <w:divsChild>
            <w:div w:id="1054739763">
              <w:marLeft w:val="0"/>
              <w:marRight w:val="0"/>
              <w:marTop w:val="0"/>
              <w:marBottom w:val="0"/>
              <w:divBdr>
                <w:top w:val="single" w:sz="2" w:space="0" w:color="D9D9E3"/>
                <w:left w:val="single" w:sz="2" w:space="0" w:color="D9D9E3"/>
                <w:bottom w:val="single" w:sz="2" w:space="0" w:color="D9D9E3"/>
                <w:right w:val="single" w:sz="2" w:space="0" w:color="D9D9E3"/>
              </w:divBdr>
              <w:divsChild>
                <w:div w:id="22482883">
                  <w:marLeft w:val="0"/>
                  <w:marRight w:val="0"/>
                  <w:marTop w:val="0"/>
                  <w:marBottom w:val="0"/>
                  <w:divBdr>
                    <w:top w:val="single" w:sz="2" w:space="0" w:color="D9D9E3"/>
                    <w:left w:val="single" w:sz="2" w:space="0" w:color="D9D9E3"/>
                    <w:bottom w:val="single" w:sz="2" w:space="0" w:color="D9D9E3"/>
                    <w:right w:val="single" w:sz="2" w:space="0" w:color="D9D9E3"/>
                  </w:divBdr>
                  <w:divsChild>
                    <w:div w:id="829642855">
                      <w:marLeft w:val="0"/>
                      <w:marRight w:val="0"/>
                      <w:marTop w:val="0"/>
                      <w:marBottom w:val="0"/>
                      <w:divBdr>
                        <w:top w:val="single" w:sz="2" w:space="0" w:color="D9D9E3"/>
                        <w:left w:val="single" w:sz="2" w:space="0" w:color="D9D9E3"/>
                        <w:bottom w:val="single" w:sz="2" w:space="0" w:color="D9D9E3"/>
                        <w:right w:val="single" w:sz="2" w:space="0" w:color="D9D9E3"/>
                      </w:divBdr>
                      <w:divsChild>
                        <w:div w:id="1606964475">
                          <w:marLeft w:val="0"/>
                          <w:marRight w:val="0"/>
                          <w:marTop w:val="0"/>
                          <w:marBottom w:val="0"/>
                          <w:divBdr>
                            <w:top w:val="single" w:sz="2" w:space="0" w:color="auto"/>
                            <w:left w:val="single" w:sz="2" w:space="0" w:color="auto"/>
                            <w:bottom w:val="single" w:sz="6" w:space="0" w:color="auto"/>
                            <w:right w:val="single" w:sz="2" w:space="0" w:color="auto"/>
                          </w:divBdr>
                          <w:divsChild>
                            <w:div w:id="667484686">
                              <w:marLeft w:val="0"/>
                              <w:marRight w:val="0"/>
                              <w:marTop w:val="100"/>
                              <w:marBottom w:val="100"/>
                              <w:divBdr>
                                <w:top w:val="single" w:sz="2" w:space="0" w:color="D9D9E3"/>
                                <w:left w:val="single" w:sz="2" w:space="0" w:color="D9D9E3"/>
                                <w:bottom w:val="single" w:sz="2" w:space="0" w:color="D9D9E3"/>
                                <w:right w:val="single" w:sz="2" w:space="0" w:color="D9D9E3"/>
                              </w:divBdr>
                              <w:divsChild>
                                <w:div w:id="290210795">
                                  <w:marLeft w:val="0"/>
                                  <w:marRight w:val="0"/>
                                  <w:marTop w:val="0"/>
                                  <w:marBottom w:val="0"/>
                                  <w:divBdr>
                                    <w:top w:val="single" w:sz="2" w:space="0" w:color="D9D9E3"/>
                                    <w:left w:val="single" w:sz="2" w:space="0" w:color="D9D9E3"/>
                                    <w:bottom w:val="single" w:sz="2" w:space="0" w:color="D9D9E3"/>
                                    <w:right w:val="single" w:sz="2" w:space="0" w:color="D9D9E3"/>
                                  </w:divBdr>
                                  <w:divsChild>
                                    <w:div w:id="407309997">
                                      <w:marLeft w:val="0"/>
                                      <w:marRight w:val="0"/>
                                      <w:marTop w:val="0"/>
                                      <w:marBottom w:val="0"/>
                                      <w:divBdr>
                                        <w:top w:val="single" w:sz="2" w:space="0" w:color="D9D9E3"/>
                                        <w:left w:val="single" w:sz="2" w:space="0" w:color="D9D9E3"/>
                                        <w:bottom w:val="single" w:sz="2" w:space="0" w:color="D9D9E3"/>
                                        <w:right w:val="single" w:sz="2" w:space="0" w:color="D9D9E3"/>
                                      </w:divBdr>
                                      <w:divsChild>
                                        <w:div w:id="664017175">
                                          <w:marLeft w:val="0"/>
                                          <w:marRight w:val="0"/>
                                          <w:marTop w:val="0"/>
                                          <w:marBottom w:val="0"/>
                                          <w:divBdr>
                                            <w:top w:val="single" w:sz="2" w:space="0" w:color="D9D9E3"/>
                                            <w:left w:val="single" w:sz="2" w:space="0" w:color="D9D9E3"/>
                                            <w:bottom w:val="single" w:sz="2" w:space="0" w:color="D9D9E3"/>
                                            <w:right w:val="single" w:sz="2" w:space="0" w:color="D9D9E3"/>
                                          </w:divBdr>
                                          <w:divsChild>
                                            <w:div w:id="14937355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 w:id="461775338">
          <w:marLeft w:val="0"/>
          <w:marRight w:val="0"/>
          <w:marTop w:val="0"/>
          <w:marBottom w:val="0"/>
          <w:divBdr>
            <w:top w:val="none" w:sz="0" w:space="0" w:color="auto"/>
            <w:left w:val="none" w:sz="0" w:space="0" w:color="auto"/>
            <w:bottom w:val="none" w:sz="0" w:space="0" w:color="auto"/>
            <w:right w:val="none" w:sz="0" w:space="0" w:color="auto"/>
          </w:divBdr>
          <w:divsChild>
            <w:div w:id="280114737">
              <w:marLeft w:val="0"/>
              <w:marRight w:val="0"/>
              <w:marTop w:val="0"/>
              <w:marBottom w:val="0"/>
              <w:divBdr>
                <w:top w:val="single" w:sz="2" w:space="0" w:color="D9D9E3"/>
                <w:left w:val="single" w:sz="2" w:space="0" w:color="D9D9E3"/>
                <w:bottom w:val="single" w:sz="2" w:space="0" w:color="D9D9E3"/>
                <w:right w:val="single" w:sz="2" w:space="0" w:color="D9D9E3"/>
              </w:divBdr>
              <w:divsChild>
                <w:div w:id="150867039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 w:id="854609830">
      <w:bodyDiv w:val="1"/>
      <w:marLeft w:val="0"/>
      <w:marRight w:val="0"/>
      <w:marTop w:val="0"/>
      <w:marBottom w:val="0"/>
      <w:divBdr>
        <w:top w:val="none" w:sz="0" w:space="0" w:color="auto"/>
        <w:left w:val="none" w:sz="0" w:space="0" w:color="auto"/>
        <w:bottom w:val="none" w:sz="0" w:space="0" w:color="auto"/>
        <w:right w:val="none" w:sz="0" w:space="0" w:color="auto"/>
      </w:divBdr>
    </w:div>
    <w:div w:id="893152235">
      <w:bodyDiv w:val="1"/>
      <w:marLeft w:val="0"/>
      <w:marRight w:val="0"/>
      <w:marTop w:val="0"/>
      <w:marBottom w:val="0"/>
      <w:divBdr>
        <w:top w:val="none" w:sz="0" w:space="0" w:color="auto"/>
        <w:left w:val="none" w:sz="0" w:space="0" w:color="auto"/>
        <w:bottom w:val="none" w:sz="0" w:space="0" w:color="auto"/>
        <w:right w:val="none" w:sz="0" w:space="0" w:color="auto"/>
      </w:divBdr>
    </w:div>
    <w:div w:id="971519334">
      <w:bodyDiv w:val="1"/>
      <w:marLeft w:val="0"/>
      <w:marRight w:val="0"/>
      <w:marTop w:val="0"/>
      <w:marBottom w:val="0"/>
      <w:divBdr>
        <w:top w:val="none" w:sz="0" w:space="0" w:color="auto"/>
        <w:left w:val="none" w:sz="0" w:space="0" w:color="auto"/>
        <w:bottom w:val="none" w:sz="0" w:space="0" w:color="auto"/>
        <w:right w:val="none" w:sz="0" w:space="0" w:color="auto"/>
      </w:divBdr>
    </w:div>
    <w:div w:id="973026620">
      <w:bodyDiv w:val="1"/>
      <w:marLeft w:val="0"/>
      <w:marRight w:val="0"/>
      <w:marTop w:val="0"/>
      <w:marBottom w:val="0"/>
      <w:divBdr>
        <w:top w:val="none" w:sz="0" w:space="0" w:color="auto"/>
        <w:left w:val="none" w:sz="0" w:space="0" w:color="auto"/>
        <w:bottom w:val="none" w:sz="0" w:space="0" w:color="auto"/>
        <w:right w:val="none" w:sz="0" w:space="0" w:color="auto"/>
      </w:divBdr>
    </w:div>
    <w:div w:id="1011687202">
      <w:bodyDiv w:val="1"/>
      <w:marLeft w:val="0"/>
      <w:marRight w:val="0"/>
      <w:marTop w:val="0"/>
      <w:marBottom w:val="0"/>
      <w:divBdr>
        <w:top w:val="none" w:sz="0" w:space="0" w:color="auto"/>
        <w:left w:val="none" w:sz="0" w:space="0" w:color="auto"/>
        <w:bottom w:val="none" w:sz="0" w:space="0" w:color="auto"/>
        <w:right w:val="none" w:sz="0" w:space="0" w:color="auto"/>
      </w:divBdr>
    </w:div>
    <w:div w:id="1024524409">
      <w:bodyDiv w:val="1"/>
      <w:marLeft w:val="0"/>
      <w:marRight w:val="0"/>
      <w:marTop w:val="0"/>
      <w:marBottom w:val="0"/>
      <w:divBdr>
        <w:top w:val="none" w:sz="0" w:space="0" w:color="auto"/>
        <w:left w:val="none" w:sz="0" w:space="0" w:color="auto"/>
        <w:bottom w:val="none" w:sz="0" w:space="0" w:color="auto"/>
        <w:right w:val="none" w:sz="0" w:space="0" w:color="auto"/>
      </w:divBdr>
    </w:div>
    <w:div w:id="1110710439">
      <w:bodyDiv w:val="1"/>
      <w:marLeft w:val="0"/>
      <w:marRight w:val="0"/>
      <w:marTop w:val="0"/>
      <w:marBottom w:val="0"/>
      <w:divBdr>
        <w:top w:val="none" w:sz="0" w:space="0" w:color="auto"/>
        <w:left w:val="none" w:sz="0" w:space="0" w:color="auto"/>
        <w:bottom w:val="none" w:sz="0" w:space="0" w:color="auto"/>
        <w:right w:val="none" w:sz="0" w:space="0" w:color="auto"/>
      </w:divBdr>
    </w:div>
    <w:div w:id="1126972130">
      <w:bodyDiv w:val="1"/>
      <w:marLeft w:val="0"/>
      <w:marRight w:val="0"/>
      <w:marTop w:val="0"/>
      <w:marBottom w:val="0"/>
      <w:divBdr>
        <w:top w:val="none" w:sz="0" w:space="0" w:color="auto"/>
        <w:left w:val="none" w:sz="0" w:space="0" w:color="auto"/>
        <w:bottom w:val="none" w:sz="0" w:space="0" w:color="auto"/>
        <w:right w:val="none" w:sz="0" w:space="0" w:color="auto"/>
      </w:divBdr>
    </w:div>
    <w:div w:id="1256521805">
      <w:bodyDiv w:val="1"/>
      <w:marLeft w:val="0"/>
      <w:marRight w:val="0"/>
      <w:marTop w:val="0"/>
      <w:marBottom w:val="0"/>
      <w:divBdr>
        <w:top w:val="none" w:sz="0" w:space="0" w:color="auto"/>
        <w:left w:val="none" w:sz="0" w:space="0" w:color="auto"/>
        <w:bottom w:val="none" w:sz="0" w:space="0" w:color="auto"/>
        <w:right w:val="none" w:sz="0" w:space="0" w:color="auto"/>
      </w:divBdr>
    </w:div>
    <w:div w:id="1285845001">
      <w:bodyDiv w:val="1"/>
      <w:marLeft w:val="0"/>
      <w:marRight w:val="0"/>
      <w:marTop w:val="0"/>
      <w:marBottom w:val="0"/>
      <w:divBdr>
        <w:top w:val="none" w:sz="0" w:space="0" w:color="auto"/>
        <w:left w:val="none" w:sz="0" w:space="0" w:color="auto"/>
        <w:bottom w:val="none" w:sz="0" w:space="0" w:color="auto"/>
        <w:right w:val="none" w:sz="0" w:space="0" w:color="auto"/>
      </w:divBdr>
    </w:div>
    <w:div w:id="1338994113">
      <w:bodyDiv w:val="1"/>
      <w:marLeft w:val="0"/>
      <w:marRight w:val="0"/>
      <w:marTop w:val="0"/>
      <w:marBottom w:val="0"/>
      <w:divBdr>
        <w:top w:val="none" w:sz="0" w:space="0" w:color="auto"/>
        <w:left w:val="none" w:sz="0" w:space="0" w:color="auto"/>
        <w:bottom w:val="none" w:sz="0" w:space="0" w:color="auto"/>
        <w:right w:val="none" w:sz="0" w:space="0" w:color="auto"/>
      </w:divBdr>
    </w:div>
    <w:div w:id="1370565148">
      <w:bodyDiv w:val="1"/>
      <w:marLeft w:val="0"/>
      <w:marRight w:val="0"/>
      <w:marTop w:val="0"/>
      <w:marBottom w:val="0"/>
      <w:divBdr>
        <w:top w:val="none" w:sz="0" w:space="0" w:color="auto"/>
        <w:left w:val="none" w:sz="0" w:space="0" w:color="auto"/>
        <w:bottom w:val="none" w:sz="0" w:space="0" w:color="auto"/>
        <w:right w:val="none" w:sz="0" w:space="0" w:color="auto"/>
      </w:divBdr>
    </w:div>
    <w:div w:id="1447231689">
      <w:bodyDiv w:val="1"/>
      <w:marLeft w:val="0"/>
      <w:marRight w:val="0"/>
      <w:marTop w:val="0"/>
      <w:marBottom w:val="0"/>
      <w:divBdr>
        <w:top w:val="none" w:sz="0" w:space="0" w:color="auto"/>
        <w:left w:val="none" w:sz="0" w:space="0" w:color="auto"/>
        <w:bottom w:val="none" w:sz="0" w:space="0" w:color="auto"/>
        <w:right w:val="none" w:sz="0" w:space="0" w:color="auto"/>
      </w:divBdr>
    </w:div>
    <w:div w:id="1506165648">
      <w:bodyDiv w:val="1"/>
      <w:marLeft w:val="0"/>
      <w:marRight w:val="0"/>
      <w:marTop w:val="0"/>
      <w:marBottom w:val="0"/>
      <w:divBdr>
        <w:top w:val="none" w:sz="0" w:space="0" w:color="auto"/>
        <w:left w:val="none" w:sz="0" w:space="0" w:color="auto"/>
        <w:bottom w:val="none" w:sz="0" w:space="0" w:color="auto"/>
        <w:right w:val="none" w:sz="0" w:space="0" w:color="auto"/>
      </w:divBdr>
    </w:div>
    <w:div w:id="1589540872">
      <w:bodyDiv w:val="1"/>
      <w:marLeft w:val="0"/>
      <w:marRight w:val="0"/>
      <w:marTop w:val="0"/>
      <w:marBottom w:val="0"/>
      <w:divBdr>
        <w:top w:val="none" w:sz="0" w:space="0" w:color="auto"/>
        <w:left w:val="none" w:sz="0" w:space="0" w:color="auto"/>
        <w:bottom w:val="none" w:sz="0" w:space="0" w:color="auto"/>
        <w:right w:val="none" w:sz="0" w:space="0" w:color="auto"/>
      </w:divBdr>
    </w:div>
    <w:div w:id="1619339338">
      <w:bodyDiv w:val="1"/>
      <w:marLeft w:val="0"/>
      <w:marRight w:val="0"/>
      <w:marTop w:val="0"/>
      <w:marBottom w:val="0"/>
      <w:divBdr>
        <w:top w:val="none" w:sz="0" w:space="0" w:color="auto"/>
        <w:left w:val="none" w:sz="0" w:space="0" w:color="auto"/>
        <w:bottom w:val="none" w:sz="0" w:space="0" w:color="auto"/>
        <w:right w:val="none" w:sz="0" w:space="0" w:color="auto"/>
      </w:divBdr>
    </w:div>
    <w:div w:id="1651010442">
      <w:bodyDiv w:val="1"/>
      <w:marLeft w:val="0"/>
      <w:marRight w:val="0"/>
      <w:marTop w:val="0"/>
      <w:marBottom w:val="0"/>
      <w:divBdr>
        <w:top w:val="none" w:sz="0" w:space="0" w:color="auto"/>
        <w:left w:val="none" w:sz="0" w:space="0" w:color="auto"/>
        <w:bottom w:val="none" w:sz="0" w:space="0" w:color="auto"/>
        <w:right w:val="none" w:sz="0" w:space="0" w:color="auto"/>
      </w:divBdr>
      <w:divsChild>
        <w:div w:id="1865827492">
          <w:marLeft w:val="547"/>
          <w:marRight w:val="0"/>
          <w:marTop w:val="154"/>
          <w:marBottom w:val="0"/>
          <w:divBdr>
            <w:top w:val="none" w:sz="0" w:space="0" w:color="auto"/>
            <w:left w:val="none" w:sz="0" w:space="0" w:color="auto"/>
            <w:bottom w:val="none" w:sz="0" w:space="0" w:color="auto"/>
            <w:right w:val="none" w:sz="0" w:space="0" w:color="auto"/>
          </w:divBdr>
        </w:div>
      </w:divsChild>
    </w:div>
    <w:div w:id="1667324007">
      <w:bodyDiv w:val="1"/>
      <w:marLeft w:val="0"/>
      <w:marRight w:val="0"/>
      <w:marTop w:val="0"/>
      <w:marBottom w:val="0"/>
      <w:divBdr>
        <w:top w:val="none" w:sz="0" w:space="0" w:color="auto"/>
        <w:left w:val="none" w:sz="0" w:space="0" w:color="auto"/>
        <w:bottom w:val="none" w:sz="0" w:space="0" w:color="auto"/>
        <w:right w:val="none" w:sz="0" w:space="0" w:color="auto"/>
      </w:divBdr>
      <w:divsChild>
        <w:div w:id="1706056246">
          <w:marLeft w:val="547"/>
          <w:marRight w:val="0"/>
          <w:marTop w:val="154"/>
          <w:marBottom w:val="0"/>
          <w:divBdr>
            <w:top w:val="none" w:sz="0" w:space="0" w:color="auto"/>
            <w:left w:val="none" w:sz="0" w:space="0" w:color="auto"/>
            <w:bottom w:val="none" w:sz="0" w:space="0" w:color="auto"/>
            <w:right w:val="none" w:sz="0" w:space="0" w:color="auto"/>
          </w:divBdr>
        </w:div>
      </w:divsChild>
    </w:div>
    <w:div w:id="1693609927">
      <w:bodyDiv w:val="1"/>
      <w:marLeft w:val="0"/>
      <w:marRight w:val="0"/>
      <w:marTop w:val="0"/>
      <w:marBottom w:val="0"/>
      <w:divBdr>
        <w:top w:val="none" w:sz="0" w:space="0" w:color="auto"/>
        <w:left w:val="none" w:sz="0" w:space="0" w:color="auto"/>
        <w:bottom w:val="none" w:sz="0" w:space="0" w:color="auto"/>
        <w:right w:val="none" w:sz="0" w:space="0" w:color="auto"/>
      </w:divBdr>
    </w:div>
    <w:div w:id="1767724277">
      <w:bodyDiv w:val="1"/>
      <w:marLeft w:val="0"/>
      <w:marRight w:val="0"/>
      <w:marTop w:val="0"/>
      <w:marBottom w:val="0"/>
      <w:divBdr>
        <w:top w:val="none" w:sz="0" w:space="0" w:color="auto"/>
        <w:left w:val="none" w:sz="0" w:space="0" w:color="auto"/>
        <w:bottom w:val="none" w:sz="0" w:space="0" w:color="auto"/>
        <w:right w:val="none" w:sz="0" w:space="0" w:color="auto"/>
      </w:divBdr>
      <w:divsChild>
        <w:div w:id="1773433940">
          <w:marLeft w:val="0"/>
          <w:marRight w:val="0"/>
          <w:marTop w:val="0"/>
          <w:marBottom w:val="0"/>
          <w:divBdr>
            <w:top w:val="none" w:sz="0" w:space="0" w:color="auto"/>
            <w:left w:val="none" w:sz="0" w:space="0" w:color="auto"/>
            <w:bottom w:val="none" w:sz="0" w:space="0" w:color="auto"/>
            <w:right w:val="none" w:sz="0" w:space="0" w:color="auto"/>
          </w:divBdr>
        </w:div>
      </w:divsChild>
    </w:div>
    <w:div w:id="1808430117">
      <w:bodyDiv w:val="1"/>
      <w:marLeft w:val="0"/>
      <w:marRight w:val="0"/>
      <w:marTop w:val="0"/>
      <w:marBottom w:val="0"/>
      <w:divBdr>
        <w:top w:val="none" w:sz="0" w:space="0" w:color="auto"/>
        <w:left w:val="none" w:sz="0" w:space="0" w:color="auto"/>
        <w:bottom w:val="none" w:sz="0" w:space="0" w:color="auto"/>
        <w:right w:val="none" w:sz="0" w:space="0" w:color="auto"/>
      </w:divBdr>
    </w:div>
    <w:div w:id="1916544377">
      <w:bodyDiv w:val="1"/>
      <w:marLeft w:val="0"/>
      <w:marRight w:val="0"/>
      <w:marTop w:val="0"/>
      <w:marBottom w:val="0"/>
      <w:divBdr>
        <w:top w:val="none" w:sz="0" w:space="0" w:color="auto"/>
        <w:left w:val="none" w:sz="0" w:space="0" w:color="auto"/>
        <w:bottom w:val="none" w:sz="0" w:space="0" w:color="auto"/>
        <w:right w:val="none" w:sz="0" w:space="0" w:color="auto"/>
      </w:divBdr>
    </w:div>
    <w:div w:id="1959414838">
      <w:bodyDiv w:val="1"/>
      <w:marLeft w:val="0"/>
      <w:marRight w:val="0"/>
      <w:marTop w:val="0"/>
      <w:marBottom w:val="0"/>
      <w:divBdr>
        <w:top w:val="none" w:sz="0" w:space="0" w:color="auto"/>
        <w:left w:val="none" w:sz="0" w:space="0" w:color="auto"/>
        <w:bottom w:val="none" w:sz="0" w:space="0" w:color="auto"/>
        <w:right w:val="none" w:sz="0" w:space="0" w:color="auto"/>
      </w:divBdr>
      <w:divsChild>
        <w:div w:id="1687709903">
          <w:marLeft w:val="374"/>
          <w:marRight w:val="0"/>
          <w:marTop w:val="0"/>
          <w:marBottom w:val="0"/>
          <w:divBdr>
            <w:top w:val="none" w:sz="0" w:space="0" w:color="auto"/>
            <w:left w:val="none" w:sz="0" w:space="0" w:color="auto"/>
            <w:bottom w:val="none" w:sz="0" w:space="0" w:color="auto"/>
            <w:right w:val="none" w:sz="0" w:space="0" w:color="auto"/>
          </w:divBdr>
        </w:div>
      </w:divsChild>
    </w:div>
    <w:div w:id="1981837532">
      <w:bodyDiv w:val="1"/>
      <w:marLeft w:val="0"/>
      <w:marRight w:val="0"/>
      <w:marTop w:val="0"/>
      <w:marBottom w:val="0"/>
      <w:divBdr>
        <w:top w:val="none" w:sz="0" w:space="0" w:color="auto"/>
        <w:left w:val="none" w:sz="0" w:space="0" w:color="auto"/>
        <w:bottom w:val="none" w:sz="0" w:space="0" w:color="auto"/>
        <w:right w:val="none" w:sz="0" w:space="0" w:color="auto"/>
      </w:divBdr>
    </w:div>
    <w:div w:id="2071538492">
      <w:bodyDiv w:val="1"/>
      <w:marLeft w:val="0"/>
      <w:marRight w:val="0"/>
      <w:marTop w:val="0"/>
      <w:marBottom w:val="0"/>
      <w:divBdr>
        <w:top w:val="none" w:sz="0" w:space="0" w:color="auto"/>
        <w:left w:val="none" w:sz="0" w:space="0" w:color="auto"/>
        <w:bottom w:val="none" w:sz="0" w:space="0" w:color="auto"/>
        <w:right w:val="none" w:sz="0" w:space="0" w:color="auto"/>
      </w:divBdr>
    </w:div>
    <w:div w:id="2076969209">
      <w:bodyDiv w:val="1"/>
      <w:marLeft w:val="0"/>
      <w:marRight w:val="0"/>
      <w:marTop w:val="0"/>
      <w:marBottom w:val="0"/>
      <w:divBdr>
        <w:top w:val="none" w:sz="0" w:space="0" w:color="auto"/>
        <w:left w:val="none" w:sz="0" w:space="0" w:color="auto"/>
        <w:bottom w:val="none" w:sz="0" w:space="0" w:color="auto"/>
        <w:right w:val="none" w:sz="0" w:space="0" w:color="auto"/>
      </w:divBdr>
    </w:div>
    <w:div w:id="2101289587">
      <w:bodyDiv w:val="1"/>
      <w:marLeft w:val="0"/>
      <w:marRight w:val="0"/>
      <w:marTop w:val="0"/>
      <w:marBottom w:val="0"/>
      <w:divBdr>
        <w:top w:val="none" w:sz="0" w:space="0" w:color="auto"/>
        <w:left w:val="none" w:sz="0" w:space="0" w:color="auto"/>
        <w:bottom w:val="none" w:sz="0" w:space="0" w:color="auto"/>
        <w:right w:val="none" w:sz="0" w:space="0" w:color="auto"/>
      </w:divBdr>
    </w:div>
    <w:div w:id="2121753378">
      <w:bodyDiv w:val="1"/>
      <w:marLeft w:val="0"/>
      <w:marRight w:val="0"/>
      <w:marTop w:val="0"/>
      <w:marBottom w:val="0"/>
      <w:divBdr>
        <w:top w:val="none" w:sz="0" w:space="0" w:color="auto"/>
        <w:left w:val="none" w:sz="0" w:space="0" w:color="auto"/>
        <w:bottom w:val="none" w:sz="0" w:space="0" w:color="auto"/>
        <w:right w:val="none" w:sz="0" w:space="0" w:color="auto"/>
      </w:divBdr>
      <w:divsChild>
        <w:div w:id="740785293">
          <w:marLeft w:val="547"/>
          <w:marRight w:val="0"/>
          <w:marTop w:val="0"/>
          <w:marBottom w:val="0"/>
          <w:divBdr>
            <w:top w:val="none" w:sz="0" w:space="0" w:color="auto"/>
            <w:left w:val="none" w:sz="0" w:space="0" w:color="auto"/>
            <w:bottom w:val="none" w:sz="0" w:space="0" w:color="auto"/>
            <w:right w:val="none" w:sz="0" w:space="0" w:color="auto"/>
          </w:divBdr>
        </w:div>
        <w:div w:id="1683818989">
          <w:marLeft w:val="547"/>
          <w:marRight w:val="0"/>
          <w:marTop w:val="0"/>
          <w:marBottom w:val="0"/>
          <w:divBdr>
            <w:top w:val="none" w:sz="0" w:space="0" w:color="auto"/>
            <w:left w:val="none" w:sz="0" w:space="0" w:color="auto"/>
            <w:bottom w:val="none" w:sz="0" w:space="0" w:color="auto"/>
            <w:right w:val="none" w:sz="0" w:space="0" w:color="auto"/>
          </w:divBdr>
        </w:div>
        <w:div w:id="622350484">
          <w:marLeft w:val="547"/>
          <w:marRight w:val="0"/>
          <w:marTop w:val="0"/>
          <w:marBottom w:val="0"/>
          <w:divBdr>
            <w:top w:val="none" w:sz="0" w:space="0" w:color="auto"/>
            <w:left w:val="none" w:sz="0" w:space="0" w:color="auto"/>
            <w:bottom w:val="none" w:sz="0" w:space="0" w:color="auto"/>
            <w:right w:val="none" w:sz="0" w:space="0" w:color="auto"/>
          </w:divBdr>
        </w:div>
        <w:div w:id="316542902">
          <w:marLeft w:val="547"/>
          <w:marRight w:val="0"/>
          <w:marTop w:val="0"/>
          <w:marBottom w:val="0"/>
          <w:divBdr>
            <w:top w:val="none" w:sz="0" w:space="0" w:color="auto"/>
            <w:left w:val="none" w:sz="0" w:space="0" w:color="auto"/>
            <w:bottom w:val="none" w:sz="0" w:space="0" w:color="auto"/>
            <w:right w:val="none" w:sz="0" w:space="0" w:color="auto"/>
          </w:divBdr>
        </w:div>
        <w:div w:id="329798335">
          <w:marLeft w:val="547"/>
          <w:marRight w:val="0"/>
          <w:marTop w:val="0"/>
          <w:marBottom w:val="0"/>
          <w:divBdr>
            <w:top w:val="none" w:sz="0" w:space="0" w:color="auto"/>
            <w:left w:val="none" w:sz="0" w:space="0" w:color="auto"/>
            <w:bottom w:val="none" w:sz="0" w:space="0" w:color="auto"/>
            <w:right w:val="none" w:sz="0" w:space="0" w:color="auto"/>
          </w:divBdr>
        </w:div>
      </w:divsChild>
    </w:div>
    <w:div w:id="2137019165">
      <w:bodyDiv w:val="1"/>
      <w:marLeft w:val="0"/>
      <w:marRight w:val="0"/>
      <w:marTop w:val="0"/>
      <w:marBottom w:val="0"/>
      <w:divBdr>
        <w:top w:val="none" w:sz="0" w:space="0" w:color="auto"/>
        <w:left w:val="none" w:sz="0" w:space="0" w:color="auto"/>
        <w:bottom w:val="none" w:sz="0" w:space="0" w:color="auto"/>
        <w:right w:val="none" w:sz="0" w:space="0" w:color="auto"/>
      </w:divBdr>
      <w:divsChild>
        <w:div w:id="2146114831">
          <w:marLeft w:val="0"/>
          <w:marRight w:val="0"/>
          <w:marTop w:val="0"/>
          <w:marBottom w:val="0"/>
          <w:divBdr>
            <w:top w:val="none" w:sz="0" w:space="0" w:color="auto"/>
            <w:left w:val="none" w:sz="0" w:space="0" w:color="auto"/>
            <w:bottom w:val="none" w:sz="0" w:space="0" w:color="auto"/>
            <w:right w:val="none" w:sz="0" w:space="0" w:color="auto"/>
          </w:divBdr>
        </w:div>
        <w:div w:id="1597446813">
          <w:marLeft w:val="0"/>
          <w:marRight w:val="0"/>
          <w:marTop w:val="0"/>
          <w:marBottom w:val="0"/>
          <w:divBdr>
            <w:top w:val="none" w:sz="0" w:space="0" w:color="auto"/>
            <w:left w:val="none" w:sz="0" w:space="0" w:color="auto"/>
            <w:bottom w:val="none" w:sz="0" w:space="0" w:color="auto"/>
            <w:right w:val="none" w:sz="0" w:space="0" w:color="auto"/>
          </w:divBdr>
        </w:div>
        <w:div w:id="1978681813">
          <w:marLeft w:val="0"/>
          <w:marRight w:val="0"/>
          <w:marTop w:val="0"/>
          <w:marBottom w:val="0"/>
          <w:divBdr>
            <w:top w:val="none" w:sz="0" w:space="0" w:color="auto"/>
            <w:left w:val="none" w:sz="0" w:space="0" w:color="auto"/>
            <w:bottom w:val="none" w:sz="0" w:space="0" w:color="auto"/>
            <w:right w:val="none" w:sz="0" w:space="0" w:color="auto"/>
          </w:divBdr>
        </w:div>
        <w:div w:id="28091525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doNotOrganizeInFold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95EF5D8-B6D3-4CC2-8710-62AB4D945D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148</Words>
  <Characters>845</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Internal Form Template</vt:lpstr>
    </vt:vector>
  </TitlesOfParts>
  <Company>Melf Computing Ltd</Company>
  <LinksUpToDate>false</LinksUpToDate>
  <CharactersWithSpaces>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Form Template</dc:title>
  <dc:creator>amahmoud</dc:creator>
  <cp:lastModifiedBy>Passent Mohamed Mohamed Elkafrawy</cp:lastModifiedBy>
  <cp:revision>4</cp:revision>
  <cp:lastPrinted>2019-03-31T21:10:00Z</cp:lastPrinted>
  <dcterms:created xsi:type="dcterms:W3CDTF">2025-09-10T05:56:00Z</dcterms:created>
  <dcterms:modified xsi:type="dcterms:W3CDTF">2026-09-07T18:49:00Z</dcterms:modified>
</cp:coreProperties>
</file>