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Project Proposal: The Multi-Channel Customer Intelligence Hub</w:t>
      </w:r>
    </w:p>
    <w:p w:rsidR="00000000" w:rsidDel="00000000" w:rsidP="00000000" w:rsidRDefault="00000000" w:rsidRPr="00000000" w14:paraId="00000002">
      <w:pPr>
        <w:pStyle w:val="Heading1"/>
        <w:rPr/>
      </w:pPr>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document outlines the architecture and technical requirements for the Multi-Channel Customer Intelligence Hub. Designed as an enterprise-grade Customer Data Platform (CDP), the system aggregates heterogeneous customer interactions (web clicks, support tickets, purchase history) into a unified timeline. The project demonstrates a high caliber of complexity by implementing an advanced Single-Table NoSQL design via Amazon DynamoDB, orchestrated by a layered Python FastAPI backend. The administrative frontend will be explicitly constrained to a desktop-optimized viewport, utilizing component-driven frameworks to render complex data visualizations rapidly.</w:t>
      </w:r>
    </w:p>
    <w:p w:rsidR="00000000" w:rsidDel="00000000" w:rsidP="00000000" w:rsidRDefault="00000000" w:rsidRPr="00000000" w14:paraId="00000004">
      <w:pPr>
        <w:pStyle w:val="Heading1"/>
        <w:rPr/>
      </w:pPr>
      <w:r w:rsidDel="00000000" w:rsidR="00000000" w:rsidRPr="00000000">
        <w:rPr>
          <w:rtl w:val="0"/>
        </w:rPr>
        <w:t xml:space="preserve">2. Problem Statement &amp; Architectural Solution</w:t>
      </w:r>
    </w:p>
    <w:p w:rsidR="00000000" w:rsidDel="00000000" w:rsidP="00000000" w:rsidRDefault="00000000" w:rsidRPr="00000000" w14:paraId="00000005">
      <w:pPr>
        <w:rPr/>
      </w:pPr>
      <w:r w:rsidDel="00000000" w:rsidR="00000000" w:rsidRPr="00000000">
        <w:rPr>
          <w:rtl w:val="0"/>
        </w:rPr>
        <w:t xml:space="preserve">The core challenge in modern customer data platforms is the heterogeneous nature of the data. Relational databases struggle with highly polymorphic, rapidly changing schemas required to log a web click versus a recorded support call.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resolve this, the architecture leverages the following stack:</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Backend API: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 FastAPI utilizing strict layered architecture (Controller, Service, Repository). Polymorphic Pydantic models will dynamically validate incoming multi-channel payloads.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Database Layer: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DynamoDB NoSQL utilizing an Event Sourcing pattern within a Single-Table Design. This guarantees millisecond latency across millions of independent interaction records.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Containerization &amp; UI: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Docker-deployed backend with a desktop-only component-driven frontend interface.</w:t>
      </w:r>
    </w:p>
    <w:p w:rsidR="00000000" w:rsidDel="00000000" w:rsidP="00000000" w:rsidRDefault="00000000" w:rsidRPr="00000000" w14:paraId="0000000A">
      <w:pPr>
        <w:pStyle w:val="Heading1"/>
        <w:rPr/>
      </w:pPr>
      <w:r w:rsidDel="00000000" w:rsidR="00000000" w:rsidRPr="00000000">
        <w:rPr>
          <w:rtl w:val="0"/>
        </w:rPr>
        <w:t xml:space="preserve">3. Database Schema (Single-Table Design)</w:t>
      </w:r>
    </w:p>
    <w:p w:rsidR="00000000" w:rsidDel="00000000" w:rsidP="00000000" w:rsidRDefault="00000000" w:rsidRPr="00000000" w14:paraId="0000000B">
      <w:pPr>
        <w:rPr/>
      </w:pPr>
      <w:r w:rsidDel="00000000" w:rsidR="00000000" w:rsidRPr="00000000">
        <w:rPr>
          <w:rtl w:val="0"/>
        </w:rPr>
        <w:t xml:space="preserve">The database circumvents 'monster documents' by utilizing an Event Sourcing pattern. Every interaction is an immutable row tied to the customer via Partition and Sort keys.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Entity Type</w:t>
            </w:r>
          </w:p>
        </w:tc>
        <w:tc>
          <w:tcPr/>
          <w:p w:rsidR="00000000" w:rsidDel="00000000" w:rsidP="00000000" w:rsidRDefault="00000000" w:rsidRPr="00000000" w14:paraId="0000000D">
            <w:pPr>
              <w:rPr/>
            </w:pPr>
            <w:r w:rsidDel="00000000" w:rsidR="00000000" w:rsidRPr="00000000">
              <w:rPr>
                <w:rtl w:val="0"/>
              </w:rPr>
              <w:t xml:space="preserve">Partition Key (PK)</w:t>
            </w:r>
          </w:p>
        </w:tc>
        <w:tc>
          <w:tcPr/>
          <w:p w:rsidR="00000000" w:rsidDel="00000000" w:rsidP="00000000" w:rsidRDefault="00000000" w:rsidRPr="00000000" w14:paraId="0000000E">
            <w:pPr>
              <w:rPr/>
            </w:pPr>
            <w:r w:rsidDel="00000000" w:rsidR="00000000" w:rsidRPr="00000000">
              <w:rPr>
                <w:rtl w:val="0"/>
              </w:rPr>
              <w:t xml:space="preserve">Sort Key (SK)</w:t>
            </w:r>
          </w:p>
        </w:tc>
        <w:tc>
          <w:tcPr/>
          <w:p w:rsidR="00000000" w:rsidDel="00000000" w:rsidP="00000000" w:rsidRDefault="00000000" w:rsidRPr="00000000" w14:paraId="0000000F">
            <w:pPr>
              <w:rPr/>
            </w:pPr>
            <w:r w:rsidDel="00000000" w:rsidR="00000000" w:rsidRPr="00000000">
              <w:rPr>
                <w:rtl w:val="0"/>
              </w:rPr>
              <w:t xml:space="preserve">Access Pattern / Purpose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Customer Profile</w:t>
            </w:r>
          </w:p>
        </w:tc>
        <w:tc>
          <w:tcPr/>
          <w:p w:rsidR="00000000" w:rsidDel="00000000" w:rsidP="00000000" w:rsidRDefault="00000000" w:rsidRPr="00000000" w14:paraId="00000011">
            <w:pPr>
              <w:rPr/>
            </w:pPr>
            <w:r w:rsidDel="00000000" w:rsidR="00000000" w:rsidRPr="00000000">
              <w:rPr>
                <w:rtl w:val="0"/>
              </w:rPr>
              <w:t xml:space="preserve">CUST#{cust_id}</w:t>
            </w:r>
          </w:p>
        </w:tc>
        <w:tc>
          <w:tcPr/>
          <w:p w:rsidR="00000000" w:rsidDel="00000000" w:rsidP="00000000" w:rsidRDefault="00000000" w:rsidRPr="00000000" w14:paraId="00000012">
            <w:pPr>
              <w:rPr/>
            </w:pPr>
            <w:r w:rsidDel="00000000" w:rsidR="00000000" w:rsidRPr="00000000">
              <w:rPr>
                <w:rtl w:val="0"/>
              </w:rPr>
              <w:t xml:space="preserve">PROFILE</w:t>
            </w:r>
          </w:p>
        </w:tc>
        <w:tc>
          <w:tcPr/>
          <w:p w:rsidR="00000000" w:rsidDel="00000000" w:rsidP="00000000" w:rsidRDefault="00000000" w:rsidRPr="00000000" w14:paraId="00000013">
            <w:pPr>
              <w:rPr/>
            </w:pPr>
            <w:r w:rsidDel="00000000" w:rsidR="00000000" w:rsidRPr="00000000">
              <w:rPr>
                <w:rtl w:val="0"/>
              </w:rPr>
              <w:t xml:space="preserve">Stores static demographic and lifetime value data.</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Support Ticket</w:t>
            </w:r>
          </w:p>
        </w:tc>
        <w:tc>
          <w:tcPr/>
          <w:p w:rsidR="00000000" w:rsidDel="00000000" w:rsidP="00000000" w:rsidRDefault="00000000" w:rsidRPr="00000000" w14:paraId="00000015">
            <w:pPr>
              <w:rPr/>
            </w:pPr>
            <w:r w:rsidDel="00000000" w:rsidR="00000000" w:rsidRPr="00000000">
              <w:rPr>
                <w:rtl w:val="0"/>
              </w:rPr>
              <w:t xml:space="preserve">CUST#{cust_id}</w:t>
            </w:r>
          </w:p>
        </w:tc>
        <w:tc>
          <w:tcPr/>
          <w:p w:rsidR="00000000" w:rsidDel="00000000" w:rsidP="00000000" w:rsidRDefault="00000000" w:rsidRPr="00000000" w14:paraId="00000016">
            <w:pPr>
              <w:rPr/>
            </w:pPr>
            <w:r w:rsidDel="00000000" w:rsidR="00000000" w:rsidRPr="00000000">
              <w:rPr>
                <w:rtl w:val="0"/>
              </w:rPr>
              <w:t xml:space="preserve">TICKET#{status}#{timestamp}</w:t>
            </w:r>
          </w:p>
        </w:tc>
        <w:tc>
          <w:tcPr/>
          <w:p w:rsidR="00000000" w:rsidDel="00000000" w:rsidP="00000000" w:rsidRDefault="00000000" w:rsidRPr="00000000" w14:paraId="00000017">
            <w:pPr>
              <w:rPr/>
            </w:pPr>
            <w:r w:rsidDel="00000000" w:rsidR="00000000" w:rsidRPr="00000000">
              <w:rPr>
                <w:rtl w:val="0"/>
              </w:rPr>
              <w:t xml:space="preserve">Allows instant retrieval of "OPEN" tickets for a specific user.</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Interaction Event</w:t>
            </w:r>
          </w:p>
        </w:tc>
        <w:tc>
          <w:tcPr/>
          <w:p w:rsidR="00000000" w:rsidDel="00000000" w:rsidP="00000000" w:rsidRDefault="00000000" w:rsidRPr="00000000" w14:paraId="00000019">
            <w:pPr>
              <w:rPr/>
            </w:pPr>
            <w:r w:rsidDel="00000000" w:rsidR="00000000" w:rsidRPr="00000000">
              <w:rPr>
                <w:rtl w:val="0"/>
              </w:rPr>
              <w:t xml:space="preserve">CUST#{cust_id}</w:t>
            </w:r>
          </w:p>
        </w:tc>
        <w:tc>
          <w:tcPr/>
          <w:p w:rsidR="00000000" w:rsidDel="00000000" w:rsidP="00000000" w:rsidRDefault="00000000" w:rsidRPr="00000000" w14:paraId="0000001A">
            <w:pPr>
              <w:rPr/>
            </w:pPr>
            <w:r w:rsidDel="00000000" w:rsidR="00000000" w:rsidRPr="00000000">
              <w:rPr>
                <w:rtl w:val="0"/>
              </w:rPr>
              <w:t xml:space="preserve">EVENT#{timestamp}#{channel}</w:t>
            </w:r>
          </w:p>
        </w:tc>
        <w:tc>
          <w:tcPr/>
          <w:p w:rsidR="00000000" w:rsidDel="00000000" w:rsidP="00000000" w:rsidRDefault="00000000" w:rsidRPr="00000000" w14:paraId="0000001B">
            <w:pPr>
              <w:rPr/>
            </w:pPr>
            <w:r w:rsidDel="00000000" w:rsidR="00000000" w:rsidRPr="00000000">
              <w:rPr>
                <w:rtl w:val="0"/>
              </w:rPr>
              <w:t xml:space="preserve">Captures heterogeneous events as immutable ledgers.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AI Inference</w:t>
            </w:r>
          </w:p>
        </w:tc>
        <w:tc>
          <w:tcPr/>
          <w:p w:rsidR="00000000" w:rsidDel="00000000" w:rsidP="00000000" w:rsidRDefault="00000000" w:rsidRPr="00000000" w14:paraId="0000001D">
            <w:pPr>
              <w:rPr/>
            </w:pPr>
            <w:r w:rsidDel="00000000" w:rsidR="00000000" w:rsidRPr="00000000">
              <w:rPr>
                <w:rtl w:val="0"/>
              </w:rPr>
              <w:t xml:space="preserve">CUST#{cust_id}</w:t>
            </w:r>
          </w:p>
        </w:tc>
        <w:tc>
          <w:tcPr/>
          <w:p w:rsidR="00000000" w:rsidDel="00000000" w:rsidP="00000000" w:rsidRDefault="00000000" w:rsidRPr="00000000" w14:paraId="0000001E">
            <w:pPr>
              <w:rPr/>
            </w:pPr>
            <w:r w:rsidDel="00000000" w:rsidR="00000000" w:rsidRPr="00000000">
              <w:rPr>
                <w:rtl w:val="0"/>
              </w:rPr>
              <w:t xml:space="preserve">INSIGHT#{type}#{timestamp}</w:t>
            </w:r>
          </w:p>
        </w:tc>
        <w:tc>
          <w:tcPr/>
          <w:p w:rsidR="00000000" w:rsidDel="00000000" w:rsidP="00000000" w:rsidRDefault="00000000" w:rsidRPr="00000000" w14:paraId="0000001F">
            <w:pPr>
              <w:rPr/>
            </w:pPr>
            <w:r w:rsidDel="00000000" w:rsidR="00000000" w:rsidRPr="00000000">
              <w:rPr>
                <w:rtl w:val="0"/>
              </w:rPr>
              <w:t xml:space="preserve">Stores predictive churn-risk or sentiment scores.</w:t>
            </w:r>
          </w:p>
        </w:tc>
      </w:tr>
    </w:tbl>
    <w:p w:rsidR="00000000" w:rsidDel="00000000" w:rsidP="00000000" w:rsidRDefault="00000000" w:rsidRPr="00000000" w14:paraId="00000020">
      <w:pPr>
        <w:rPr/>
      </w:pPr>
      <w:r w:rsidDel="00000000" w:rsidR="00000000" w:rsidRPr="00000000">
        <w:rPr>
          <w:rtl w:val="0"/>
        </w:rPr>
        <w:br w:type="textWrapping"/>
        <w:t xml:space="preserve">Global Secondary Index (GSI-1): Analytics View</w:t>
      </w:r>
    </w:p>
    <w:p w:rsidR="00000000" w:rsidDel="00000000" w:rsidP="00000000" w:rsidRDefault="00000000" w:rsidRPr="00000000" w14:paraId="00000021">
      <w:pPr>
        <w:rPr/>
      </w:pPr>
      <w:r w:rsidDel="00000000" w:rsidR="00000000" w:rsidRPr="00000000">
        <w:rPr>
          <w:rtl w:val="0"/>
        </w:rPr>
        <w:t xml:space="preserve">• PK: EVENT_TYPE#{type} (e.g., EVENT_TYPE#COMPLAINT)</w:t>
        <w:br w:type="textWrapping"/>
        <w:t xml:space="preserve">• SK: TIMESTAMP#{timestamp}</w:t>
        <w:br w:type="textWrapping"/>
        <w:t xml:space="preserve">• Purpose: Enables platform-wide analytics across specific event types without scanning individual user profiles.</w:t>
      </w:r>
    </w:p>
    <w:p w:rsidR="00000000" w:rsidDel="00000000" w:rsidP="00000000" w:rsidRDefault="00000000" w:rsidRPr="00000000" w14:paraId="00000022">
      <w:pPr>
        <w:pStyle w:val="Heading1"/>
        <w:rPr/>
      </w:pPr>
      <w:r w:rsidDel="00000000" w:rsidR="00000000" w:rsidRPr="00000000">
        <w:rPr>
          <w:rtl w:val="0"/>
        </w:rPr>
        <w:t xml:space="preserve">4. Core API Contracts</w:t>
      </w:r>
    </w:p>
    <w:p w:rsidR="00000000" w:rsidDel="00000000" w:rsidP="00000000" w:rsidRDefault="00000000" w:rsidRPr="00000000" w14:paraId="00000023">
      <w:pPr>
        <w:rPr/>
      </w:pPr>
      <w:r w:rsidDel="00000000" w:rsidR="00000000" w:rsidRPr="00000000">
        <w:rPr>
          <w:rtl w:val="0"/>
        </w:rPr>
        <w:t xml:space="preserve">The FastAPI application enforces strict interaction contracts. Transactional integrity is maintained using DynamoDB TransactWriteItems in the repository layer.</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Endpoint</w:t>
            </w:r>
          </w:p>
        </w:tc>
        <w:tc>
          <w:tcPr/>
          <w:p w:rsidR="00000000" w:rsidDel="00000000" w:rsidP="00000000" w:rsidRDefault="00000000" w:rsidRPr="00000000" w14:paraId="00000025">
            <w:pPr>
              <w:rPr/>
            </w:pPr>
            <w:r w:rsidDel="00000000" w:rsidR="00000000" w:rsidRPr="00000000">
              <w:rPr>
                <w:rtl w:val="0"/>
              </w:rPr>
              <w:t xml:space="preserve">Method</w:t>
            </w:r>
          </w:p>
        </w:tc>
        <w:tc>
          <w:tcPr/>
          <w:p w:rsidR="00000000" w:rsidDel="00000000" w:rsidP="00000000" w:rsidRDefault="00000000" w:rsidRPr="00000000" w14:paraId="00000026">
            <w:pPr>
              <w:rPr/>
            </w:pPr>
            <w:r w:rsidDel="00000000" w:rsidR="00000000" w:rsidRPr="00000000">
              <w:rPr>
                <w:rtl w:val="0"/>
              </w:rPr>
              <w:t xml:space="preserve">Architectural Purpose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/customers</w:t>
            </w:r>
          </w:p>
        </w:tc>
        <w:tc>
          <w:tcPr/>
          <w:p w:rsidR="00000000" w:rsidDel="00000000" w:rsidP="00000000" w:rsidRDefault="00000000" w:rsidRPr="00000000" w14:paraId="00000028">
            <w:pPr>
              <w:rPr/>
            </w:pPr>
            <w:r w:rsidDel="00000000" w:rsidR="00000000" w:rsidRPr="00000000">
              <w:rPr>
                <w:rtl w:val="0"/>
              </w:rPr>
              <w:t xml:space="preserve">POST</w:t>
            </w:r>
          </w:p>
        </w:tc>
        <w:tc>
          <w:tcPr/>
          <w:p w:rsidR="00000000" w:rsidDel="00000000" w:rsidP="00000000" w:rsidRDefault="00000000" w:rsidRPr="00000000" w14:paraId="00000029">
            <w:pPr>
              <w:rPr/>
            </w:pPr>
            <w:r w:rsidDel="00000000" w:rsidR="00000000" w:rsidRPr="00000000">
              <w:rPr>
                <w:rtl w:val="0"/>
              </w:rPr>
              <w:t xml:space="preserve">Ingests base data and establishes the root CUST#{id} partition.</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/customers/{id}/events</w:t>
            </w:r>
          </w:p>
        </w:tc>
        <w:tc>
          <w:tcPr/>
          <w:p w:rsidR="00000000" w:rsidDel="00000000" w:rsidP="00000000" w:rsidRDefault="00000000" w:rsidRPr="00000000" w14:paraId="0000002B">
            <w:pPr>
              <w:rPr/>
            </w:pPr>
            <w:r w:rsidDel="00000000" w:rsidR="00000000" w:rsidRPr="00000000">
              <w:rPr>
                <w:rtl w:val="0"/>
              </w:rPr>
              <w:t xml:space="preserve">POST</w:t>
            </w:r>
          </w:p>
        </w:tc>
        <w:tc>
          <w:tcPr/>
          <w:p w:rsidR="00000000" w:rsidDel="00000000" w:rsidP="00000000" w:rsidRDefault="00000000" w:rsidRPr="00000000" w14:paraId="0000002C">
            <w:pPr>
              <w:rPr/>
            </w:pPr>
            <w:r w:rsidDel="00000000" w:rsidR="00000000" w:rsidRPr="00000000">
              <w:rPr>
                <w:rtl w:val="0"/>
              </w:rPr>
              <w:t xml:space="preserve">Polymorphic ingestion. Uses Pydantic Union discriminators to route and validate varied channel data dynamically.</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/customers/{id}/timeline</w:t>
            </w:r>
          </w:p>
        </w:tc>
        <w:tc>
          <w:tcPr/>
          <w:p w:rsidR="00000000" w:rsidDel="00000000" w:rsidP="00000000" w:rsidRDefault="00000000" w:rsidRPr="00000000" w14:paraId="0000002E">
            <w:pPr>
              <w:rPr/>
            </w:pPr>
            <w:r w:rsidDel="00000000" w:rsidR="00000000" w:rsidRPr="00000000">
              <w:rPr>
                <w:rtl w:val="0"/>
              </w:rPr>
              <w:t xml:space="preserve">GET</w:t>
            </w:r>
          </w:p>
        </w:tc>
        <w:tc>
          <w:tcPr/>
          <w:p w:rsidR="00000000" w:rsidDel="00000000" w:rsidP="00000000" w:rsidRDefault="00000000" w:rsidRPr="00000000" w14:paraId="0000002F">
            <w:pPr>
              <w:rPr/>
            </w:pPr>
            <w:r w:rsidDel="00000000" w:rsidR="00000000" w:rsidRPr="00000000">
              <w:rPr>
                <w:rtl w:val="0"/>
              </w:rPr>
              <w:t xml:space="preserve">Queries the partition to retrieve all EVENT and TICKET items, merging channels into one unified UI payload.</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/tickets/{id}/resolve</w:t>
            </w:r>
          </w:p>
        </w:tc>
        <w:tc>
          <w:tcPr/>
          <w:p w:rsidR="00000000" w:rsidDel="00000000" w:rsidP="00000000" w:rsidRDefault="00000000" w:rsidRPr="00000000" w14:paraId="00000031">
            <w:pPr>
              <w:rPr/>
            </w:pPr>
            <w:r w:rsidDel="00000000" w:rsidR="00000000" w:rsidRPr="00000000">
              <w:rPr>
                <w:rtl w:val="0"/>
              </w:rPr>
              <w:t xml:space="preserve">POST</w:t>
            </w:r>
          </w:p>
        </w:tc>
        <w:tc>
          <w:tcPr/>
          <w:p w:rsidR="00000000" w:rsidDel="00000000" w:rsidP="00000000" w:rsidRDefault="00000000" w:rsidRPr="00000000" w14:paraId="00000032">
            <w:pPr>
              <w:rPr/>
            </w:pPr>
            <w:r w:rsidDel="00000000" w:rsidR="00000000" w:rsidRPr="00000000">
              <w:rPr>
                <w:rtl w:val="0"/>
              </w:rPr>
              <w:t xml:space="preserve">Uses TransactWriteItems to mark a ticket resolved while simultaneously writing an audit EVENT record.</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/customers/bulk-analyze</w:t>
            </w:r>
          </w:p>
        </w:tc>
        <w:tc>
          <w:tcPr/>
          <w:p w:rsidR="00000000" w:rsidDel="00000000" w:rsidP="00000000" w:rsidRDefault="00000000" w:rsidRPr="00000000" w14:paraId="00000034">
            <w:pPr>
              <w:rPr/>
            </w:pPr>
            <w:r w:rsidDel="00000000" w:rsidR="00000000" w:rsidRPr="00000000">
              <w:rPr>
                <w:rtl w:val="0"/>
              </w:rPr>
              <w:t xml:space="preserve">POST</w:t>
            </w:r>
          </w:p>
        </w:tc>
        <w:tc>
          <w:tcPr/>
          <w:p w:rsidR="00000000" w:rsidDel="00000000" w:rsidP="00000000" w:rsidRDefault="00000000" w:rsidRPr="00000000" w14:paraId="00000035">
            <w:pPr>
              <w:rPr/>
            </w:pPr>
            <w:r w:rsidDel="00000000" w:rsidR="00000000" w:rsidRPr="00000000">
              <w:rPr>
                <w:rtl w:val="0"/>
              </w:rPr>
              <w:t xml:space="preserve">Triggers asynchronous background workers for batch AI processing pipelines.</w:t>
            </w:r>
          </w:p>
        </w:tc>
      </w:tr>
    </w:tbl>
    <w:p w:rsidR="00000000" w:rsidDel="00000000" w:rsidP="00000000" w:rsidRDefault="00000000" w:rsidRPr="00000000" w14:paraId="00000036">
      <w:pPr>
        <w:pStyle w:val="Heading1"/>
        <w:rPr/>
      </w:pPr>
      <w:r w:rsidDel="00000000" w:rsidR="00000000" w:rsidRPr="00000000">
        <w:rPr>
          <w:rtl w:val="0"/>
        </w:rPr>
        <w:t xml:space="preserve">5. Future Scope: AI Integration &amp; Infrastructure</w:t>
      </w:r>
    </w:p>
    <w:p w:rsidR="00000000" w:rsidDel="00000000" w:rsidP="00000000" w:rsidRDefault="00000000" w:rsidRPr="00000000" w14:paraId="00000037">
      <w:pPr>
        <w:rPr/>
      </w:pPr>
      <w:r w:rsidDel="00000000" w:rsidR="00000000" w:rsidRPr="00000000">
        <w:rPr>
          <w:rtl w:val="0"/>
        </w:rPr>
        <w:t xml:space="preserve">Phase 2 of the project involves predictive analytics. The research and algorithmic design phase will utilize a sequential pipeline, leveraging NotebookLM to analyze technical literature, followed by Gemini for system mapping. </w:t>
      </w:r>
    </w:p>
    <w:p w:rsidR="00000000" w:rsidDel="00000000" w:rsidP="00000000" w:rsidRDefault="00000000" w:rsidRPr="00000000" w14:paraId="00000038">
      <w:pPr>
        <w:rPr/>
      </w:pPr>
      <w:r w:rsidDel="00000000" w:rsidR="00000000" w:rsidRPr="00000000">
        <w:rPr>
          <w:rtl w:val="0"/>
        </w:rPr>
        <w:t xml:space="preserve">To handle the intensive computational requirements of classifying sentiment and predicting churn without incurring massive cloud costs, the system is designed to orchestrate local AI research workstations. The FastAPI backend will queue inferences to be processed on local server nodes equipped with high-parameter hardware (e.g., RTX 3090/4090 GPU arrays).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