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Surat Perjanjian Kerja Sama Penyelenggaraan Acara (Venue dan Makan-Minum)</w:t>
      </w:r>
    </w:p>
    <w:p>
      <w:pPr>
        <w:jc w:val="center"/>
      </w:pPr>
      <w:r>
        <w:rPr>
          <w:b w:val="0"/>
        </w:rPr>
        <w:t>Teman Cerita x Lyfe at 30s: Book Launching "Kita Tidak Pernah Benar-Benar Siap Menjadi Dewasa"</w:t>
      </w:r>
    </w:p>
    <w:p>
      <w:pPr>
        <w:jc w:val="center"/>
      </w:pPr>
      <w:r>
        <w:rPr>
          <w:b w:val="0"/>
          <w:highlight w:val="yellow"/>
        </w:rPr>
        <w:t>[nomor SPK]</w:t>
      </w:r>
    </w:p>
    <w:p>
      <w:r>
        <w:rPr>
          <w:b w:val="0"/>
          <w:i/>
        </w:rPr>
        <w:t>DRAFT v2 berdasarkan penawaran tertulis Kanteen n Co. Kolom kuning wajib diisi atau dikonfirmasi tertulis sebelum ditandatangani.</w:t>
      </w:r>
    </w:p>
    <w:p>
      <w:r>
        <w:rPr>
          <w:b w:val="0"/>
        </w:rPr>
        <w:t xml:space="preserve">Pada hari ini, </w:t>
      </w:r>
      <w:r>
        <w:rPr>
          <w:b w:val="0"/>
          <w:highlight w:val="yellow"/>
        </w:rPr>
        <w:t>[hari]</w:t>
      </w:r>
      <w:r>
        <w:rPr>
          <w:b w:val="0"/>
        </w:rPr>
        <w:t xml:space="preserve">, tanggal </w:t>
      </w:r>
      <w:r>
        <w:rPr>
          <w:b w:val="0"/>
          <w:highlight w:val="yellow"/>
        </w:rPr>
        <w:t>[tanggal]</w:t>
      </w:r>
      <w:r>
        <w:rPr>
          <w:b w:val="0"/>
        </w:rPr>
        <w:t xml:space="preserve"> Oktober 2026, yang bertanda tangan di bawah ini:</w:t>
      </w:r>
    </w:p>
    <w:p>
      <w:r>
        <w:rPr>
          <w:b w:val="0"/>
        </w:rPr>
        <w:t>PT Indo Medika Resolusi (Teman Journey), beralamat di Jl. Masjid Annur No. 8, Menteng Dalam, Tebet, Jakarta Selatan 12870, diwakili oleh Riskia Ramadhina Sukriananda, selaku Kepala Teman Journey, selanjutnya disebut PIHAK PERTAMA.</w:t>
      </w:r>
    </w:p>
    <w:p>
      <w:r>
        <w:rPr>
          <w:b w:val="0"/>
          <w:highlight w:val="yellow"/>
        </w:rPr>
        <w:t>[nama badan usaha pengelola Kanteen n Co]</w:t>
      </w:r>
      <w:r>
        <w:rPr>
          <w:b w:val="0"/>
        </w:rPr>
        <w:t xml:space="preserve">, pengelola Kanteen n Co di TMG Hotel, Jl. Dr. Saharjo No. 194-196, Menteng Dalam, Tebet, Jakarta 12960, diwakili oleh </w:t>
      </w:r>
      <w:r>
        <w:rPr>
          <w:b w:val="0"/>
          <w:highlight w:val="yellow"/>
        </w:rPr>
        <w:t>[nama dan jabatan]</w:t>
      </w:r>
      <w:r>
        <w:rPr>
          <w:b w:val="0"/>
        </w:rPr>
        <w:t>, selanjutnya disebut PIHAK KEDUA.</w:t>
      </w:r>
    </w:p>
    <w:p>
      <w:r>
        <w:rPr>
          <w:b w:val="0"/>
        </w:rPr>
        <w:t>PIHAK PERTAMA dan PIHAK KEDUA, bersama-sama disebut PARA PIHAK, sepakat membuat perjanjian dengan ketentuan berikut.</w:t>
      </w:r>
    </w:p>
    <w:p>
      <w:r>
        <w:rPr>
          <w:b/>
        </w:rPr>
        <w:t>Pasal 1 - Ruang Lingkup</w:t>
      </w:r>
    </w:p>
    <w:p>
      <w:r>
        <w:rPr>
          <w:b w:val="0"/>
        </w:rPr>
        <w:t>PIHAK KEDUA menyediakan ruangan, fasilitas, dan makan-minum untuk acara PIHAK PERTAMA dengan rincian:</w:t>
      </w:r>
    </w:p>
    <w:tbl>
      <w:tblPr>
        <w:tblStyle w:val="TableGrid"/>
        <w:tblW w:type="auto" w:w="0"/>
        <w:tblLook w:firstColumn="1" w:firstRow="1" w:lastColumn="0" w:lastRow="0" w:noHBand="0" w:noVBand="1" w:val="04A0"/>
      </w:tblPr>
      <w:tblGrid>
        <w:gridCol w:w="4320"/>
        <w:gridCol w:w="4320"/>
      </w:tblGrid>
      <w:tr>
        <w:tc>
          <w:tcPr>
            <w:tcW w:type="dxa" w:w="4320"/>
          </w:tcPr>
          <w:p>
            <w:r>
              <w:rPr>
                <w:b/>
              </w:rPr>
              <w:t>Nama acara</w:t>
            </w:r>
          </w:p>
        </w:tc>
        <w:tc>
          <w:tcPr>
            <w:tcW w:type="dxa" w:w="4320"/>
          </w:tcPr>
          <w:p>
            <w:r>
              <w:rPr>
                <w:b w:val="0"/>
              </w:rPr>
              <w:t>Teman Cerita x Lyfe at 30s: Book Launching "Kita Tidak Pernah Benar-Benar Siap Menjadi Dewasa"</w:t>
            </w:r>
          </w:p>
        </w:tc>
      </w:tr>
      <w:tr>
        <w:tc>
          <w:tcPr>
            <w:tcW w:type="dxa" w:w="4320"/>
          </w:tcPr>
          <w:p>
            <w:r>
              <w:rPr>
                <w:b/>
              </w:rPr>
              <w:t>Tanggal dan waktu</w:t>
            </w:r>
          </w:p>
        </w:tc>
        <w:tc>
          <w:tcPr>
            <w:tcW w:type="dxa" w:w="4320"/>
          </w:tcPr>
          <w:p>
            <w:r>
              <w:rPr>
                <w:b w:val="0"/>
              </w:rPr>
              <w:t xml:space="preserve">Sabtu, 31 Oktober 2026. Acara pukul 10.00 - 11.30 WIB; akses ruangan pukul </w:t>
            </w:r>
            <w:r>
              <w:rPr>
                <w:b w:val="0"/>
                <w:highlight w:val="yellow"/>
              </w:rPr>
              <w:t>[09.00]</w:t>
            </w:r>
            <w:r>
              <w:rPr>
                <w:b w:val="0"/>
              </w:rPr>
              <w:t xml:space="preserve"> - </w:t>
            </w:r>
            <w:r>
              <w:rPr>
                <w:b w:val="0"/>
                <w:highlight w:val="yellow"/>
              </w:rPr>
              <w:t>[13.00]</w:t>
            </w:r>
            <w:r>
              <w:rPr>
                <w:b w:val="0"/>
              </w:rPr>
              <w:t xml:space="preserve"> WIB (3 jam venue gratis, termasuk persiapan dan book signing)</w:t>
            </w:r>
          </w:p>
        </w:tc>
      </w:tr>
      <w:tr>
        <w:tc>
          <w:tcPr>
            <w:tcW w:type="dxa" w:w="4320"/>
          </w:tcPr>
          <w:p>
            <w:r>
              <w:rPr>
                <w:b/>
              </w:rPr>
              <w:t>Ruangan</w:t>
            </w:r>
          </w:p>
        </w:tc>
        <w:tc>
          <w:tcPr>
            <w:tcW w:type="dxa" w:w="4320"/>
          </w:tcPr>
          <w:p>
            <w:r>
              <w:rPr>
                <w:b w:val="0"/>
                <w:highlight w:val="yellow"/>
              </w:rPr>
              <w:t>[nama ruangan / area]</w:t>
            </w:r>
            <w:r>
              <w:rPr>
                <w:b w:val="0"/>
              </w:rPr>
              <w:t>, tertutup untuk umum selama sesi</w:t>
            </w:r>
          </w:p>
        </w:tc>
      </w:tr>
      <w:tr>
        <w:tc>
          <w:tcPr>
            <w:tcW w:type="dxa" w:w="4320"/>
          </w:tcPr>
          <w:p>
            <w:r>
              <w:rPr>
                <w:b/>
              </w:rPr>
              <w:t>Jumlah peserta</w:t>
            </w:r>
          </w:p>
        </w:tc>
        <w:tc>
          <w:tcPr>
            <w:tcW w:type="dxa" w:w="4320"/>
          </w:tcPr>
          <w:p>
            <w:r>
              <w:rPr>
                <w:b w:val="0"/>
              </w:rPr>
              <w:t xml:space="preserve">Minimal 12, maksimal 20 peserta, ditambah hingga </w:t>
            </w:r>
            <w:r>
              <w:rPr>
                <w:b w:val="0"/>
                <w:highlight w:val="yellow"/>
              </w:rPr>
              <w:t>[5]</w:t>
            </w:r>
            <w:r>
              <w:rPr>
                <w:b w:val="0"/>
              </w:rPr>
              <w:t xml:space="preserve"> orang tim dan narasumber</w:t>
            </w:r>
          </w:p>
        </w:tc>
      </w:tr>
      <w:tr>
        <w:tc>
          <w:tcPr>
            <w:tcW w:type="dxa" w:w="4320"/>
          </w:tcPr>
          <w:p>
            <w:r>
              <w:rPr>
                <w:b/>
              </w:rPr>
              <w:t>Kegiatan</w:t>
            </w:r>
          </w:p>
        </w:tc>
        <w:tc>
          <w:tcPr>
            <w:tcW w:type="dxa" w:w="4320"/>
          </w:tcPr>
          <w:p>
            <w:r>
              <w:rPr>
                <w:b w:val="0"/>
              </w:rPr>
              <w:t>Sesi reflektif kelompok, bincang buku, tanya jawab, dan book signing</w:t>
            </w:r>
          </w:p>
        </w:tc>
      </w:tr>
    </w:tbl>
    <w:p/>
    <w:p>
      <w:r>
        <w:rPr>
          <w:b/>
        </w:rPr>
        <w:t>Pasal 2 - Biaya dan Bagi Hasil</w:t>
      </w:r>
    </w:p>
    <w:p>
      <w:pPr>
        <w:ind w:left="454" w:hanging="340"/>
      </w:pPr>
      <w:r>
        <w:rPr>
          <w:b w:val="0"/>
        </w:rPr>
        <w:t>1. Venue gratis selama 3 jam. Tidak ada sewa ruangan, biaya lembur, atau minimum spend.</w:t>
      </w:r>
    </w:p>
    <w:p>
      <w:pPr>
        <w:ind w:left="454" w:hanging="340"/>
      </w:pPr>
      <w:r>
        <w:rPr>
          <w:b w:val="0"/>
        </w:rPr>
        <w:t>2. Paket makan-minum: Pick &amp; Sip Rp50.000 per peserta (1 kopi dari 5 pilihan dan 1 treats dari 3 pilihan). Harga sudah nett, termasuk pajak dan service charge. Peserta dapat meningkatkan ke Community Brunch Rp75.000 per peserta dengan membayar selisih sendiri.</w:t>
      </w:r>
    </w:p>
    <w:p>
      <w:pPr>
        <w:ind w:left="454" w:hanging="340"/>
      </w:pPr>
      <w:r>
        <w:rPr>
          <w:b w:val="0"/>
        </w:rPr>
        <w:t xml:space="preserve">3. Kerja sama ini tidak mengandung bagi hasil atas pendapatan tiket PIHAK PERTAMA. </w:t>
      </w:r>
      <w:r>
        <w:rPr>
          <w:b w:val="0"/>
          <w:highlight w:val="yellow"/>
        </w:rPr>
        <w:t>[Alternatif yang disepakati tertulis, bila ada: bagi hasil sebesar [ ]</w:t>
      </w:r>
      <w:r>
        <w:rPr>
          <w:b w:val="0"/>
        </w:rPr>
        <w:t>% dari profit bersih acara setelah seluruh biaya PIHAK PERTAMA, dengan batas atas Rp</w:t>
      </w:r>
      <w:r>
        <w:rPr>
          <w:b w:val="0"/>
          <w:highlight w:val="yellow"/>
        </w:rPr>
        <w:t>[ ]</w:t>
      </w:r>
      <w:r>
        <w:rPr>
          <w:b w:val="0"/>
        </w:rPr>
        <w:t xml:space="preserve">, dihitung dan dibagikan paling lambat </w:t>
      </w:r>
      <w:r>
        <w:rPr>
          <w:b w:val="0"/>
          <w:highlight w:val="yellow"/>
        </w:rPr>
        <w:t>[14]</w:t>
      </w:r>
      <w:r>
        <w:rPr>
          <w:b w:val="0"/>
        </w:rPr>
        <w:t xml:space="preserve"> hari setelah acara berdasarkan laporan tertulis.]</w:t>
      </w:r>
    </w:p>
    <w:p>
      <w:pPr>
        <w:ind w:left="454" w:hanging="340"/>
      </w:pPr>
      <w:r>
        <w:rPr>
          <w:b w:val="0"/>
        </w:rPr>
        <w:t>4. Tidak ada biaya lain selain yang tertulis di Pasal ini dan Lampiran. Tambahan layanan hanya sah bila disetujui PIHAK PERTAMA secara tertulis (pesan WhatsApp atau email cukup) sebelum acara.</w:t>
      </w:r>
    </w:p>
    <w:p>
      <w:pPr>
        <w:ind w:left="454" w:hanging="340"/>
      </w:pPr>
      <w:r>
        <w:rPr>
          <w:b w:val="0"/>
        </w:rPr>
        <w:t>5. Buku, activity kit, display, dan materi acara yang dibawa PIHAK PERTAMA atau narasumber tidak dikenai biaya tambahan.</w:t>
      </w:r>
    </w:p>
    <w:p>
      <w:r>
        <w:rPr>
          <w:b/>
        </w:rPr>
        <w:t>Pasal 3 - Jumlah Peserta dan Tagihan</w:t>
      </w:r>
    </w:p>
    <w:p>
      <w:pPr>
        <w:ind w:left="454" w:hanging="340"/>
      </w:pPr>
      <w:r>
        <w:rPr>
          <w:b w:val="0"/>
        </w:rPr>
        <w:t>1. PIHAK PERTAMA menyampaikan perkiraan jumlah peserta saat perjanjian ini ditandatangani.</w:t>
      </w:r>
    </w:p>
    <w:p>
      <w:pPr>
        <w:ind w:left="454" w:hanging="340"/>
      </w:pPr>
      <w:r>
        <w:rPr>
          <w:b w:val="0"/>
        </w:rPr>
        <w:t>2. Jumlah peserta final disampaikan paling lambat H-3 (Rabu, 28 Oktober 2026, pukul 17.00 WIB). Tagihan dihitung dari jumlah peserta yang hadir, tidak lebih dari kapasitas maksimal 20 peserta.</w:t>
      </w:r>
    </w:p>
    <w:p>
      <w:pPr>
        <w:ind w:left="454" w:hanging="340"/>
      </w:pPr>
      <w:r>
        <w:rPr>
          <w:b w:val="0"/>
        </w:rPr>
        <w:t>3. Penambahan peserta setelah H-3 dilayani sejauh dapur dan ruangan memungkinkan, dengan harga per peserta yang sama.</w:t>
      </w:r>
    </w:p>
    <w:p>
      <w:r>
        <w:rPr>
          <w:b/>
        </w:rPr>
        <w:t>Pasal 4 - Pembayaran</w:t>
      </w:r>
    </w:p>
    <w:p>
      <w:pPr>
        <w:ind w:left="454" w:hanging="340"/>
      </w:pPr>
      <w:r>
        <w:rPr>
          <w:b w:val="0"/>
        </w:rPr>
        <w:t xml:space="preserve">1. Tidak ada uang muka. </w:t>
      </w:r>
      <w:r>
        <w:rPr>
          <w:b w:val="0"/>
          <w:highlight w:val="yellow"/>
        </w:rPr>
        <w:t>[Bila PIHAK KEDUA mewajibkan uang muka: Rp[ ]</w:t>
      </w:r>
      <w:r>
        <w:rPr>
          <w:b w:val="0"/>
        </w:rPr>
        <w:t>, dapat dikembalikan penuh sampai H-5.]</w:t>
      </w:r>
    </w:p>
    <w:p>
      <w:pPr>
        <w:ind w:left="454" w:hanging="340"/>
      </w:pPr>
      <w:r>
        <w:rPr>
          <w:b w:val="0"/>
        </w:rPr>
        <w:t xml:space="preserve">2. Pelunasan dibayar paling lambat </w:t>
      </w:r>
      <w:r>
        <w:rPr>
          <w:b w:val="0"/>
          <w:highlight w:val="yellow"/>
        </w:rPr>
        <w:t>[7]</w:t>
      </w:r>
      <w:r>
        <w:rPr>
          <w:b w:val="0"/>
        </w:rPr>
        <w:t xml:space="preserve"> hari setelah acara, berdasarkan invoice resmi dari PIHAK KEDUA.</w:t>
      </w:r>
    </w:p>
    <w:p>
      <w:pPr>
        <w:ind w:left="454" w:hanging="340"/>
      </w:pPr>
      <w:r>
        <w:rPr>
          <w:b w:val="0"/>
        </w:rPr>
        <w:t xml:space="preserve">3. Pembayaran dilakukan ke rekening </w:t>
      </w:r>
      <w:r>
        <w:rPr>
          <w:b w:val="0"/>
          <w:highlight w:val="yellow"/>
        </w:rPr>
        <w:t>[bank, nomor rekening, atas nama]</w:t>
      </w:r>
      <w:r>
        <w:rPr>
          <w:b w:val="0"/>
        </w:rPr>
        <w:t>.</w:t>
      </w:r>
    </w:p>
    <w:p>
      <w:r>
        <w:rPr>
          <w:b/>
        </w:rPr>
        <w:t>Pasal 5 - Pembatalan dan Perubahan Jadwal</w:t>
      </w:r>
    </w:p>
    <w:p>
      <w:pPr>
        <w:ind w:left="454" w:hanging="340"/>
      </w:pPr>
      <w:r>
        <w:rPr>
          <w:b w:val="0"/>
        </w:rPr>
        <w:t>1. PIHAK PERTAMA dapat membatalkan atau menjadwal ulang tanpa biaya sampai H-5 (Senin, 26 Oktober 2026, pukul 17.00 WIB).</w:t>
      </w:r>
    </w:p>
    <w:p>
      <w:pPr>
        <w:ind w:left="454" w:hanging="340"/>
      </w:pPr>
      <w:r>
        <w:rPr>
          <w:b w:val="0"/>
        </w:rPr>
        <w:t xml:space="preserve">2. Pembatalan setelah H-5 dikenai biaya paling banyak </w:t>
      </w:r>
      <w:r>
        <w:rPr>
          <w:b w:val="0"/>
          <w:highlight w:val="yellow"/>
        </w:rPr>
        <w:t>[ ]</w:t>
      </w:r>
      <w:r>
        <w:rPr>
          <w:b w:val="0"/>
        </w:rPr>
        <w:t>% dari makan-minum berdasarkan perkiraan peserta, dan tidak ada biaya atas venue.</w:t>
      </w:r>
    </w:p>
    <w:p>
      <w:pPr>
        <w:ind w:left="454" w:hanging="340"/>
      </w:pPr>
      <w:r>
        <w:rPr>
          <w:b w:val="0"/>
        </w:rPr>
        <w:t>3. Bila PIHAK KEDUA tidak dapat menyediakan ruangan atau layanan pada waktu yang disepakati, PIHAK KEDUA mengembalikan seluruh pembayaran yang telah diterima, menyediakan ruangan pengganti setara pada hari yang sama bila mungkin, dan tidak mengenakan biaya apa pun.</w:t>
      </w:r>
    </w:p>
    <w:p>
      <w:pPr>
        <w:ind w:left="454" w:hanging="340"/>
      </w:pPr>
      <w:r>
        <w:rPr>
          <w:b w:val="0"/>
        </w:rPr>
        <w:t>4. Keadaan kahar (bencana, gangguan keamanan, kebijakan pemerintah, atau gangguan fasilitas yang bukan kelalaian para pihak) tidak dianggap kelalaian. Pihak terdampak memberi tahu pihak lain paling lambat 1x24 jam, dan para pihak menjadwal ulang tanpa biaya pembatalan.</w:t>
      </w:r>
    </w:p>
    <w:p>
      <w:r>
        <w:rPr>
          <w:b/>
        </w:rPr>
        <w:t>Pasal 6 - Fasilitas</w:t>
      </w:r>
    </w:p>
    <w:p>
      <w:r>
        <w:rPr>
          <w:b w:val="0"/>
        </w:rPr>
        <w:t xml:space="preserve">PIHAK KEDUA menyediakan tanpa biaya tambahan: layar, proyektor, dan mikrofon; valet parking untuk peserta dan narasumber; voucher diskon 15% Kanteen n Co untuk peserta; serta </w:t>
      </w:r>
      <w:r>
        <w:rPr>
          <w:b w:val="0"/>
          <w:highlight w:val="yellow"/>
        </w:rPr>
        <w:t>[kursi dan meja untuk 20 peserta]</w:t>
      </w:r>
      <w:r>
        <w:rPr>
          <w:b w:val="0"/>
        </w:rPr>
        <w:t xml:space="preserve">, </w:t>
      </w:r>
      <w:r>
        <w:rPr>
          <w:b w:val="0"/>
          <w:highlight w:val="yellow"/>
        </w:rPr>
        <w:t>[meja book signing dan display buku]</w:t>
      </w:r>
      <w:r>
        <w:rPr>
          <w:b w:val="0"/>
        </w:rPr>
        <w:t xml:space="preserve">, </w:t>
      </w:r>
      <w:r>
        <w:rPr>
          <w:b w:val="0"/>
          <w:highlight w:val="yellow"/>
        </w:rPr>
        <w:t>[WiFi]</w:t>
      </w:r>
      <w:r>
        <w:rPr>
          <w:b w:val="0"/>
        </w:rPr>
        <w:t xml:space="preserve">, dan </w:t>
      </w:r>
      <w:r>
        <w:rPr>
          <w:b w:val="0"/>
          <w:highlight w:val="yellow"/>
        </w:rPr>
        <w:t>[air minum]</w:t>
      </w:r>
      <w:r>
        <w:rPr>
          <w:b w:val="0"/>
        </w:rPr>
        <w:t>. PIHAK PERTAMA boleh memasang rollup banner di area acara.</w:t>
      </w:r>
    </w:p>
    <w:p>
      <w:r>
        <w:rPr>
          <w:b/>
        </w:rPr>
        <w:t>Pasal 7 - Kerahasiaan dan Privasi Acara</w:t>
      </w:r>
    </w:p>
    <w:p>
      <w:pPr>
        <w:ind w:left="454" w:hanging="340"/>
      </w:pPr>
      <w:r>
        <w:rPr>
          <w:b w:val="0"/>
        </w:rPr>
        <w:t>1. Sesi berbagi cerita bersifat tertutup. Selama sesi, area acara tidak dapat dimasuki tamu lain. Staf PIHAK KEDUA masuk hanya untuk menyajikan makanan dan minuman pada waktu yang disepakati.</w:t>
      </w:r>
    </w:p>
    <w:p>
      <w:pPr>
        <w:ind w:left="454" w:hanging="340"/>
      </w:pPr>
      <w:r>
        <w:rPr>
          <w:b w:val="0"/>
        </w:rPr>
        <w:t>2. PIHAK KEDUA dan stafnya tidak merekam atau mempublikasikan isi sesi. Dokumentasi diproduksi oleh PIHAK PERTAMA sesuai persetujuan peserta.</w:t>
      </w:r>
    </w:p>
    <w:p>
      <w:r>
        <w:rPr>
          <w:b/>
        </w:rPr>
        <w:t>Pasal 8 - Promosi</w:t>
      </w:r>
    </w:p>
    <w:p>
      <w:pPr>
        <w:ind w:left="454" w:hanging="340"/>
      </w:pPr>
      <w:r>
        <w:rPr>
          <w:b w:val="0"/>
        </w:rPr>
        <w:t xml:space="preserve">1. PIHAK KEDUA mempromosikan acara melalui TV internal TMG Hotel dan akun Instagram @tmghoteljakarta serta @kanteennco, dengan menandai @temanjourney dan @lyfeat30s, sesuai rincian di Lampiran: </w:t>
      </w:r>
      <w:r>
        <w:rPr>
          <w:b w:val="0"/>
          <w:highlight w:val="yellow"/>
        </w:rPr>
        <w:t>[format, jumlah, dan tanggal tayang]</w:t>
      </w:r>
      <w:r>
        <w:rPr>
          <w:b w:val="0"/>
        </w:rPr>
        <w:t>.</w:t>
      </w:r>
    </w:p>
    <w:p>
      <w:pPr>
        <w:ind w:left="454" w:hanging="340"/>
      </w:pPr>
      <w:r>
        <w:rPr>
          <w:b w:val="0"/>
        </w:rPr>
        <w:t>2. PIHAK PERTAMA menyebut Kanteen n Co sebagai tempat acara dalam materi promosinya dan menandai akun Kanteen n Co.</w:t>
      </w:r>
    </w:p>
    <w:p>
      <w:pPr>
        <w:ind w:left="454" w:hanging="340"/>
      </w:pPr>
      <w:r>
        <w:rPr>
          <w:b w:val="0"/>
        </w:rPr>
        <w:t>3. Materi yang memuat nama atau logo salah satu pihak disetujui pihak tersebut sebelum tayang.</w:t>
      </w:r>
    </w:p>
    <w:p>
      <w:r>
        <w:rPr>
          <w:b/>
        </w:rPr>
        <w:t>Pasal 9 - Tanggung Jawab</w:t>
      </w:r>
    </w:p>
    <w:p>
      <w:r>
        <w:rPr>
          <w:b w:val="0"/>
        </w:rPr>
        <w:t>Masing-masing pihak bertanggung jawab atas kerugian yang timbul dari kelalaiannya sendiri. PIHAK KEDUA bertanggung jawab atas keamanan fasilitas dan kebersihan ruangan. PIHAK PERTAMA bertanggung jawab atas barang bawaan dan peserta acara selama sesi.</w:t>
      </w:r>
    </w:p>
    <w:p>
      <w:r>
        <w:rPr>
          <w:b/>
        </w:rPr>
        <w:t>Pasal 10 - Jangka Waktu dan Penyelesaian Perselisihan</w:t>
      </w:r>
    </w:p>
    <w:p>
      <w:pPr>
        <w:ind w:left="454" w:hanging="340"/>
      </w:pPr>
      <w:r>
        <w:rPr>
          <w:b w:val="0"/>
        </w:rPr>
        <w:t>1. Perjanjian berlaku sejak ditandatangani sampai pelunasan selesai.</w:t>
      </w:r>
    </w:p>
    <w:p>
      <w:pPr>
        <w:ind w:left="454" w:hanging="340"/>
      </w:pPr>
      <w:r>
        <w:rPr>
          <w:b w:val="0"/>
        </w:rPr>
        <w:t>2. Perselisihan diselesaikan secara musyawarah. Bila tidak tercapai mufakat, PARA PIHAK memilih domisili hukum di Pengadilan Negeri Jakarta Selatan.</w:t>
      </w:r>
    </w:p>
    <w:p>
      <w:pPr>
        <w:ind w:left="454" w:hanging="340"/>
      </w:pPr>
      <w:r>
        <w:rPr>
          <w:b w:val="0"/>
        </w:rPr>
        <w:t>3. Perubahan perjanjian hanya sah bila dibuat tertulis dan disetujui PARA PIHAK.</w:t>
      </w:r>
    </w:p>
    <w:p>
      <w:pPr>
        <w:ind w:left="454" w:hanging="340"/>
      </w:pPr>
      <w:r>
        <w:rPr>
          <w:b w:val="0"/>
        </w:rPr>
        <w:t>4. Perjanjian ini dibuat rangkap 2 (dua), masing-masing bermeterai cukup dan berkekuatan hukum yang sama.</w:t>
      </w:r>
    </w:p>
    <w:p/>
    <w:p>
      <w:r>
        <w:rPr>
          <w:b/>
        </w:rPr>
        <w:t>Lampiran - Rincian Biaya dan Promosi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Harga satuan (Rp)</w:t>
            </w:r>
          </w:p>
        </w:tc>
        <w:tc>
          <w:tcPr>
            <w:tcW w:type="dxa" w:w="2160"/>
          </w:tcPr>
          <w:p>
            <w:r>
              <w:rPr>
                <w:b/>
              </w:rPr>
              <w:t>Jumlah</w:t>
            </w:r>
          </w:p>
        </w:tc>
        <w:tc>
          <w:tcPr>
            <w:tcW w:type="dxa" w:w="2160"/>
          </w:tcPr>
          <w:p>
            <w:r>
              <w:rPr>
                <w:b/>
              </w:rPr>
              <w:t>Total 12 / 16 / 20 peserta (Rp)</w:t>
            </w:r>
          </w:p>
        </w:tc>
      </w:tr>
      <w:tr>
        <w:tc>
          <w:tcPr>
            <w:tcW w:type="dxa" w:w="2160"/>
          </w:tcPr>
          <w:p>
            <w:r>
              <w:rPr>
                <w:b w:val="0"/>
              </w:rPr>
              <w:t>Venue (3 jam)</w:t>
            </w:r>
          </w:p>
        </w:tc>
        <w:tc>
          <w:tcPr>
            <w:tcW w:type="dxa" w:w="2160"/>
          </w:tcPr>
          <w:p>
            <w:r>
              <w:rPr>
                <w:b w:val="0"/>
              </w:rPr>
              <w:t>0</w:t>
            </w:r>
          </w:p>
        </w:tc>
        <w:tc>
          <w:tcPr>
            <w:tcW w:type="dxa" w:w="2160"/>
          </w:tcPr>
          <w:p>
            <w:r>
              <w:rPr>
                <w:b w:val="0"/>
              </w:rPr>
              <w:t>1</w:t>
            </w:r>
          </w:p>
        </w:tc>
        <w:tc>
          <w:tcPr>
            <w:tcW w:type="dxa" w:w="2160"/>
          </w:tcPr>
          <w:p>
            <w:r>
              <w:rPr>
                <w:b w:val="0"/>
              </w:rPr>
              <w:t>0</w:t>
            </w:r>
          </w:p>
        </w:tc>
      </w:tr>
      <w:tr>
        <w:tc>
          <w:tcPr>
            <w:tcW w:type="dxa" w:w="2160"/>
          </w:tcPr>
          <w:p>
            <w:r>
              <w:rPr>
                <w:b w:val="0"/>
              </w:rPr>
              <w:t>Pick &amp; Sip per peserta (nett)</w:t>
            </w:r>
          </w:p>
        </w:tc>
        <w:tc>
          <w:tcPr>
            <w:tcW w:type="dxa" w:w="2160"/>
          </w:tcPr>
          <w:p>
            <w:r>
              <w:rPr>
                <w:b w:val="0"/>
              </w:rPr>
              <w:t>50.000</w:t>
            </w:r>
          </w:p>
        </w:tc>
        <w:tc>
          <w:tcPr>
            <w:tcW w:type="dxa" w:w="2160"/>
          </w:tcPr>
          <w:p>
            <w:r>
              <w:rPr>
                <w:b w:val="0"/>
              </w:rPr>
              <w:t>12-20</w:t>
            </w:r>
          </w:p>
        </w:tc>
        <w:tc>
          <w:tcPr>
            <w:tcW w:type="dxa" w:w="2160"/>
          </w:tcPr>
          <w:p>
            <w:r>
              <w:rPr>
                <w:b w:val="0"/>
              </w:rPr>
              <w:t>600.000 / 800.000 / 1.000.000</w:t>
            </w:r>
          </w:p>
        </w:tc>
      </w:tr>
      <w:tr>
        <w:tc>
          <w:tcPr>
            <w:tcW w:type="dxa" w:w="2160"/>
          </w:tcPr>
          <w:p>
            <w:r>
              <w:rPr>
                <w:b w:val="0"/>
              </w:rPr>
              <w:t>Minimum spend</w:t>
            </w:r>
          </w:p>
        </w:tc>
        <w:tc>
          <w:tcPr>
            <w:tcW w:type="dxa" w:w="2160"/>
          </w:tcPr>
          <w:p>
            <w:r>
              <w:rPr>
                <w:b w:val="0"/>
              </w:rPr>
              <w:t>tidak ada</w:t>
            </w:r>
          </w:p>
        </w:tc>
        <w:tc>
          <w:tcPr>
            <w:tcW w:type="dxa" w:w="2160"/>
          </w:tcPr>
          <w:p>
            <w:r>
              <w:rPr>
                <w:b w:val="0"/>
              </w:rPr>
              <w:t>-</w:t>
            </w:r>
          </w:p>
        </w:tc>
        <w:tc>
          <w:tcPr>
            <w:tcW w:type="dxa" w:w="2160"/>
          </w:tcPr>
          <w:p>
            <w:r>
              <w:rPr>
                <w:b w:val="0"/>
              </w:rPr>
              <w:t>0</w:t>
            </w:r>
          </w:p>
        </w:tc>
      </w:tr>
      <w:tr>
        <w:tc>
          <w:tcPr>
            <w:tcW w:type="dxa" w:w="2160"/>
          </w:tcPr>
          <w:p>
            <w:r>
              <w:rPr>
                <w:b w:val="0"/>
              </w:rPr>
              <w:t>Pajak dan service charge</w:t>
            </w:r>
          </w:p>
        </w:tc>
        <w:tc>
          <w:tcPr>
            <w:tcW w:type="dxa" w:w="2160"/>
          </w:tcPr>
          <w:p>
            <w:r>
              <w:rPr>
                <w:b w:val="0"/>
              </w:rPr>
              <w:t>termasuk (nett)</w:t>
            </w:r>
          </w:p>
        </w:tc>
        <w:tc>
          <w:tcPr>
            <w:tcW w:type="dxa" w:w="2160"/>
          </w:tcPr>
          <w:p>
            <w:r>
              <w:rPr>
                <w:b w:val="0"/>
              </w:rPr>
              <w:t>-</w:t>
            </w:r>
          </w:p>
        </w:tc>
        <w:tc>
          <w:tcPr>
            <w:tcW w:type="dxa" w:w="2160"/>
          </w:tcPr>
          <w:p>
            <w:r>
              <w:rPr>
                <w:b w:val="0"/>
              </w:rPr>
              <w:t>0</w:t>
            </w:r>
          </w:p>
        </w:tc>
      </w:tr>
      <w:tr>
        <w:tc>
          <w:tcPr>
            <w:tcW w:type="dxa" w:w="2160"/>
          </w:tcPr>
          <w:p>
            <w:r>
              <w:rPr>
                <w:b w:val="0"/>
              </w:rPr>
              <w:t>Lembur, AV, valet, lainnya</w:t>
            </w:r>
          </w:p>
        </w:tc>
        <w:tc>
          <w:tcPr>
            <w:tcW w:type="dxa" w:w="2160"/>
          </w:tcPr>
          <w:p>
            <w:r>
              <w:rPr>
                <w:b w:val="0"/>
              </w:rPr>
              <w:t>0</w:t>
            </w:r>
          </w:p>
        </w:tc>
        <w:tc>
          <w:tcPr>
            <w:tcW w:type="dxa" w:w="2160"/>
          </w:tcPr>
          <w:p>
            <w:r>
              <w:rPr>
                <w:b w:val="0"/>
              </w:rPr>
              <w:t>-</w:t>
            </w:r>
          </w:p>
        </w:tc>
        <w:tc>
          <w:tcPr>
            <w:tcW w:type="dxa" w:w="2160"/>
          </w:tcPr>
          <w:p>
            <w:r>
              <w:rPr>
                <w:b w:val="0"/>
              </w:rPr>
              <w:t>0</w:t>
            </w:r>
          </w:p>
        </w:tc>
      </w:tr>
      <w:tr>
        <w:tc>
          <w:tcPr>
            <w:tcW w:type="dxa" w:w="2160"/>
          </w:tcPr>
          <w:p>
            <w:r>
              <w:rPr>
                <w:b w:val="0"/>
              </w:rPr>
              <w:t>TOTAL</w:t>
            </w:r>
          </w:p>
        </w:tc>
        <w:tc>
          <w:tcPr>
            <w:tcW w:type="dxa" w:w="2160"/>
          </w:tcPr>
          <w:p/>
        </w:tc>
        <w:tc>
          <w:tcPr>
            <w:tcW w:type="dxa" w:w="2160"/>
          </w:tcPr>
          <w:p/>
        </w:tc>
        <w:tc>
          <w:tcPr>
            <w:tcW w:type="dxa" w:w="2160"/>
          </w:tcPr>
          <w:p>
            <w:r>
              <w:rPr>
                <w:b w:val="0"/>
              </w:rPr>
              <w:t>600.000 / 800.000 / 1.000.000</w:t>
            </w:r>
          </w:p>
        </w:tc>
      </w:tr>
    </w:tbl>
    <w:p/>
    <w:p>
      <w:r>
        <w:rPr>
          <w:b w:val="0"/>
        </w:rPr>
        <w:t xml:space="preserve">Promosi PIHAK KEDUA: </w:t>
      </w:r>
      <w:r>
        <w:rPr>
          <w:b w:val="0"/>
          <w:highlight w:val="yellow"/>
        </w:rPr>
        <w:t>[TV internal: format/durasi/tanggal]</w:t>
      </w:r>
      <w:r>
        <w:rPr>
          <w:b w:val="0"/>
        </w:rPr>
        <w:t xml:space="preserve"> - </w:t>
      </w:r>
      <w:r>
        <w:rPr>
          <w:b w:val="0"/>
          <w:highlight w:val="yellow"/>
        </w:rPr>
        <w:t>[IG @tmghoteljakarta: format/tanggal]</w:t>
      </w:r>
      <w:r>
        <w:rPr>
          <w:b w:val="0"/>
        </w:rPr>
        <w:t xml:space="preserve"> - </w:t>
      </w:r>
      <w:r>
        <w:rPr>
          <w:b w:val="0"/>
          <w:highlight w:val="yellow"/>
        </w:rPr>
        <w:t>[IG @kanteennco: format/tanggal]</w:t>
      </w:r>
      <w:r>
        <w:rPr>
          <w:b w:val="0"/>
        </w:rPr>
        <w:t>.</w:t>
      </w:r>
    </w:p>
    <w:p/>
    <w:tbl>
      <w:tblPr>
        <w:tblStyle w:val="TableGrid"/>
        <w:tblW w:type="auto" w:w="0"/>
        <w:tblLook w:firstColumn="1" w:firstRow="1" w:lastColumn="0" w:lastRow="0" w:noHBand="0" w:noVBand="1" w:val="04A0"/>
      </w:tblPr>
      <w:tblGrid>
        <w:gridCol w:w="4320"/>
        <w:gridCol w:w="4320"/>
      </w:tblGrid>
      <w:tr>
        <w:tc>
          <w:tcPr>
            <w:tcW w:type="dxa" w:w="4320"/>
          </w:tcPr>
          <w:p>
            <w:r>
              <w:rPr>
                <w:b/>
              </w:rPr>
              <w:t>PIHAK PERTAMA</w:t>
            </w:r>
          </w:p>
        </w:tc>
        <w:tc>
          <w:tcPr>
            <w:tcW w:type="dxa" w:w="4320"/>
          </w:tcPr>
          <w:p>
            <w:r>
              <w:rPr>
                <w:b/>
              </w:rPr>
              <w:t>PIHAK KEDUA</w:t>
            </w:r>
          </w:p>
        </w:tc>
      </w:tr>
      <w:tr>
        <w:tc>
          <w:tcPr>
            <w:tcW w:type="dxa" w:w="4320"/>
          </w:tcPr>
          <w:p>
            <w:r>
              <w:rPr>
                <w:b w:val="0"/>
              </w:rPr>
              <w:t>PT Indo Medika Resolusi (Teman Journey)</w:t>
              <w:br/>
              <w:br/>
              <w:br/>
            </w:r>
            <w:r>
              <w:rPr>
                <w:b w:val="0"/>
                <w:highlight w:val="yellow"/>
              </w:rPr>
              <w:t>[tanda tangan]</w:t>
            </w:r>
            <w:r>
              <w:rPr>
                <w:b w:val="0"/>
              </w:rPr>
              <w:br/>
              <w:br/>
              <w:t>Riskia Ramadhina Sukriananda</w:t>
              <w:br/>
              <w:t>Kepala Teman Journey</w:t>
            </w:r>
          </w:p>
        </w:tc>
        <w:tc>
          <w:tcPr>
            <w:tcW w:type="dxa" w:w="4320"/>
          </w:tcPr>
          <w:p>
            <w:r>
              <w:rPr>
                <w:b w:val="0"/>
                <w:highlight w:val="yellow"/>
              </w:rPr>
              <w:t>[nama badan usaha]</w:t>
            </w:r>
            <w:r>
              <w:rPr>
                <w:b w:val="0"/>
              </w:rPr>
              <w:t xml:space="preserve"> (Kanteen n Co)</w:t>
              <w:br/>
              <w:br/>
              <w:br/>
            </w:r>
            <w:r>
              <w:rPr>
                <w:b w:val="0"/>
                <w:highlight w:val="yellow"/>
              </w:rPr>
              <w:t>[tanda tangan]</w:t>
            </w:r>
            <w:r>
              <w:rPr>
                <w:b w:val="0"/>
              </w:rPr>
              <w:br/>
              <w:br/>
            </w:r>
            <w:r>
              <w:rPr>
                <w:b w:val="0"/>
                <w:highlight w:val="yellow"/>
              </w:rPr>
              <w:t>[nama]</w:t>
            </w:r>
            <w:r>
              <w:rPr>
                <w:b w:val="0"/>
              </w:rPr>
              <w:br/>
            </w:r>
            <w:r>
              <w:rPr>
                <w:b w:val="0"/>
                <w:highlight w:val="yellow"/>
              </w:rPr>
              <w:t>[jabatan]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