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Teman Journey 2027 Financial Review</w:t>
      </w:r>
    </w:p>
    <w:p>
      <w:pPr/>
      <w:r>
        <w:t xml:space="preserve">Oct 5, 2026</w:t>
      </w:r>
      <w:r>
        <w:t xml:space="preserve"> · </w:t>
      </w:r>
      <w:r>
        <w:t xml:space="preserve">@Galih</w:t>
      </w:r>
    </w:p>
    <w:p>
      <w:pPr/>
      <w:r>
        <w:t xml:space="preserve">With the new prices, the 2027 plan makes Rp378m net profit on Rp1.50bn revenue (25%), after paying both founders. Cash never falls below Rp161m, even in the worst case tested. Many inputs are still estimates, so this document lists each one for a finance reviewer to check.</w:t>
      </w:r>
    </w:p>
    <w:p>
      <w:pPr>
        <w:pStyle w:val="Heading2"/>
      </w:pPr>
      <w:r>
        <w:t xml:space="preserve">The business and the question</w:t>
      </w:r>
    </w:p>
    <w:p>
      <w:pPr/>
      <w:r>
        <w:t xml:space="preserve">Teman Journey (PT Indo Medika Resolusi) is a small psychology bureau in Jakarta. It is moving from selling to individuals (B2C) to selling to institutions (B2B). Its main product is train-the-trainer (ToT) programs: Teman Journey trains a group of trainers, who then train many others.</w:t>
      </w:r>
    </w:p>
    <w:p>
      <w:pPr>
        <w:pStyle w:val="ListParagraph"/>
        <w:numPr>
          <w:ilvl w:val="0"/>
          <w:numId w:val="2"/>
        </w:numPr>
      </w:pPr>
      <w:r>
        <w:rPr>
          <w:b/>
        </w:rPr>
        <w:t xml:space="preserve">Main client today:</w:t>
      </w:r>
      <w:r>
        <w:t xml:space="preserve"> Bank Indonesia (BI), about 70% of revenue. BI buys through its central office (about 45%) and its regional offices, called KPW (about 55%).</w:t>
      </w:r>
    </w:p>
    <w:p>
      <w:pPr>
        <w:pStyle w:val="ListParagraph"/>
        <w:numPr>
          <w:ilvl w:val="0"/>
          <w:numId w:val="2"/>
        </w:numPr>
      </w:pPr>
      <w:r>
        <w:rPr>
          <w:b/>
        </w:rPr>
        <w:t xml:space="preserve">Other clients:</w:t>
      </w:r>
      <w:r>
        <w:t xml:space="preserve"> about 4 small corporate clients that buy counseling and assessment each quarter, plus B2C events and counseling.</w:t>
      </w:r>
    </w:p>
    <w:p>
      <w:pPr>
        <w:pStyle w:val="ListParagraph"/>
        <w:numPr>
          <w:ilvl w:val="0"/>
          <w:numId w:val="2"/>
        </w:numPr>
      </w:pPr>
      <w:r>
        <w:rPr>
          <w:b/>
        </w:rPr>
        <w:t xml:space="preserve">Next targets:</w:t>
      </w:r>
      <w:r>
        <w:t xml:space="preserve"> other regulators (LPS, OJK), then state-owned banks (BRI, Mandiri), then private banks (BCA and others).</w:t>
      </w:r>
    </w:p>
    <w:p>
      <w:pPr>
        <w:pStyle w:val="ListParagraph"/>
        <w:numPr>
          <w:ilvl w:val="0"/>
          <w:numId w:val="2"/>
        </w:numPr>
      </w:pPr>
      <w:r>
        <w:rPr>
          <w:b/>
        </w:rPr>
        <w:t xml:space="preserve">Sister company:</w:t>
      </w:r>
      <w:r>
        <w:t xml:space="preserve"> Coreitera, a psychometric assessment platform under the same founders. It charges Teman Journey a fee for each assessment used.</w:t>
      </w:r>
    </w:p>
    <w:p>
      <w:pPr>
        <w:pStyle w:val="ListParagraph"/>
        <w:numPr>
          <w:ilvl w:val="0"/>
          <w:numId w:val="2"/>
        </w:numPr>
      </w:pPr>
      <w:r>
        <w:rPr>
          <w:b/>
        </w:rPr>
        <w:t xml:space="preserve">Cash today:</w:t>
      </w:r>
      <w:r>
        <w:t xml:space="preserve"> Rp210m (October 2026).</w:t>
      </w:r>
    </w:p>
    <w:p>
      <w:pPr/>
      <w:r>
        <w:t xml:space="preserve">The review answers three questions for 2027. Is the plan profitable after paying both founders? Is cash safe month by month? Can the team deliver the volume? The founders' 2027 goal is to be profitable on their own money first, and to raise outside money only after the business has grown.</w:t>
      </w:r>
    </w:p>
    <w:p>
      <w:pPr>
        <w:pStyle w:val="Heading2"/>
      </w:pPr>
      <w:r>
        <w:t xml:space="preserve">How the model works</w:t>
      </w:r>
    </w:p>
    <w:p>
      <w:pPr/>
      <w:r>
        <w:t xml:space="preserve">The model is a monthly Excel workbook from October 2026 to December 2027. It is built bottom-up: every figure comes from a number of events times a price or a cost. Every result cell is a formula, so changing one input updates the whole model.</w:t>
      </w:r>
    </w:p>
    <w:p>
      <w:pPr/>
      <w:r>
        <w:t xml:space="preserve">It rests on three simple equations:</w:t>
      </w:r>
    </w:p>
    <w:p>
      <w:pPr>
        <w:pStyle w:val="ListParagraph"/>
        <w:numPr>
          <w:ilvl w:val="0"/>
          <w:numId w:val="3"/>
        </w:numPr>
      </w:pPr>
      <w:r>
        <w:rPr>
          <w:b/>
        </w:rPr>
        <w:t xml:space="preserve">Profit per event</w:t>
      </w:r>
      <w:r>
        <w:t xml:space="preserve"> = price minus the cost to deliver that event (facilitator fees, travel, materials). This is also called contribution.</w:t>
      </w:r>
    </w:p>
    <w:p>
      <w:pPr>
        <w:pStyle w:val="ListParagraph"/>
        <w:numPr>
          <w:ilvl w:val="0"/>
          <w:numId w:val="3"/>
        </w:numPr>
      </w:pPr>
      <w:r>
        <w:rPr>
          <w:b/>
        </w:rPr>
        <w:t xml:space="preserve">Fixed cost rises in steps, not in a straight line.</w:t>
      </w:r>
      <w:r>
        <w:t xml:space="preserve"> Each new hire is switched on by a rule. For example, a Project Manager is hired when B2B events average 4 or more a month over 3 months.</w:t>
      </w:r>
    </w:p>
    <w:p>
      <w:pPr>
        <w:pStyle w:val="ListParagraph"/>
        <w:numPr>
          <w:ilvl w:val="0"/>
          <w:numId w:val="3"/>
        </w:numPr>
      </w:pPr>
      <w:r>
        <w:rPr>
          <w:b/>
        </w:rPr>
        <w:t xml:space="preserve">Cash is not the same as profit.</w:t>
      </w:r>
      <w:r>
        <w:t xml:space="preserve"> Money arrives when clients pay, not when the event happens. The model uses each client's payment pattern (same month, after 30 days, or after 60 days). It also checks month-end cash against a safety floor of one month of costs.</w:t>
      </w:r>
    </w:p>
    <w:p>
      <w:pPr/>
      <w:r>
        <w:t xml:space="preserve">The workbook has nine sheets:</w:t>
      </w:r>
    </w:p>
    <w:p>
      <w:pPr>
        <w:pStyle w:val="ListParagraph"/>
        <w:numPr>
          <w:ilvl w:val="0"/>
          <w:numId w:val="4"/>
        </w:numPr>
      </w:pPr>
      <w:r>
        <w:rPr>
          <w:b/>
        </w:rPr>
        <w:t xml:space="preserve">Summary:</w:t>
      </w:r>
      <w:r>
        <w:t xml:space="preserve"> the answers, plus a table comparing the scenarios.</w:t>
      </w:r>
    </w:p>
    <w:p>
      <w:pPr>
        <w:pStyle w:val="ListParagraph"/>
        <w:numPr>
          <w:ilvl w:val="0"/>
          <w:numId w:val="4"/>
        </w:numPr>
      </w:pPr>
      <w:r>
        <w:rPr>
          <w:b/>
        </w:rPr>
        <w:t xml:space="preserve">Inputs:</w:t>
      </w:r>
      <w:r>
        <w:t xml:space="preserve"> every assumption in one place, each marked Known, Your plan, or Estimate.</w:t>
      </w:r>
    </w:p>
    <w:p>
      <w:pPr>
        <w:pStyle w:val="ListParagraph"/>
        <w:numPr>
          <w:ilvl w:val="0"/>
          <w:numId w:val="4"/>
        </w:numPr>
      </w:pPr>
      <w:r>
        <w:rPr>
          <w:b/>
        </w:rPr>
        <w:t xml:space="preserve">Volume:</w:t>
      </w:r>
      <w:r>
        <w:t xml:space="preserve"> events per month by product, taken from the founders' own plan.</w:t>
      </w:r>
    </w:p>
    <w:p>
      <w:pPr>
        <w:pStyle w:val="ListParagraph"/>
        <w:numPr>
          <w:ilvl w:val="0"/>
          <w:numId w:val="4"/>
        </w:numPr>
      </w:pPr>
      <w:r>
        <w:rPr>
          <w:b/>
        </w:rPr>
        <w:t xml:space="preserve">Unit_Economics:</w:t>
      </w:r>
      <w:r>
        <w:t xml:space="preserve"> price, cost and profit for one event of each product.</w:t>
      </w:r>
    </w:p>
    <w:p>
      <w:pPr>
        <w:pStyle w:val="ListParagraph"/>
        <w:numPr>
          <w:ilvl w:val="0"/>
          <w:numId w:val="4"/>
        </w:numPr>
      </w:pPr>
      <w:r>
        <w:rPr>
          <w:b/>
        </w:rPr>
        <w:t xml:space="preserve">Rate_Card:</w:t>
      </w:r>
      <w:r>
        <w:t xml:space="preserve"> the new prices by client type, and how many events the business could lose before the price rise stops paying off.</w:t>
      </w:r>
    </w:p>
    <w:p>
      <w:pPr>
        <w:pStyle w:val="ListParagraph"/>
        <w:numPr>
          <w:ilvl w:val="0"/>
          <w:numId w:val="4"/>
        </w:numPr>
      </w:pPr>
      <w:r>
        <w:rPr>
          <w:b/>
        </w:rPr>
        <w:t xml:space="preserve">Capacity_OPEX:</w:t>
      </w:r>
      <w:r>
        <w:t xml:space="preserve"> how many facilitators are needed, and when each fixed cost starts.</w:t>
      </w:r>
    </w:p>
    <w:p>
      <w:pPr>
        <w:pStyle w:val="ListParagraph"/>
        <w:numPr>
          <w:ilvl w:val="0"/>
          <w:numId w:val="4"/>
        </w:numPr>
      </w:pPr>
      <w:r>
        <w:rPr>
          <w:b/>
        </w:rPr>
        <w:t xml:space="preserve">PnL:</w:t>
      </w:r>
      <w:r>
        <w:t xml:space="preserve"> monthly profit and loss.</w:t>
      </w:r>
    </w:p>
    <w:p>
      <w:pPr>
        <w:pStyle w:val="ListParagraph"/>
        <w:numPr>
          <w:ilvl w:val="0"/>
          <w:numId w:val="4"/>
        </w:numPr>
      </w:pPr>
      <w:r>
        <w:rPr>
          <w:b/>
        </w:rPr>
        <w:t xml:space="preserve">CashFlow:</w:t>
      </w:r>
      <w:r>
        <w:t xml:space="preserve"> monthly cash in, cash out and cash balance.</w:t>
      </w:r>
    </w:p>
    <w:p>
      <w:pPr>
        <w:pStyle w:val="ListParagraph"/>
        <w:numPr>
          <w:ilvl w:val="0"/>
          <w:numId w:val="4"/>
        </w:numPr>
      </w:pPr>
      <w:r>
        <w:rPr>
          <w:b/>
        </w:rPr>
        <w:t xml:space="preserve">To_Fill:</w:t>
      </w:r>
      <w:r>
        <w:t xml:space="preserve"> the 50 estimates that still need real numbers.</w:t>
      </w:r>
    </w:p>
    <w:p>
      <w:pPr/>
      <w:r>
        <w:t xml:space="preserve">Two switches on the Inputs sheet let a reviewer test the plan: one for the price plan (old or new prices), and one for the scenario (base case or one of three bad cases).</w:t>
      </w:r>
    </w:p>
    <w:p>
      <w:pPr>
        <w:pStyle w:val="Heading2"/>
      </w:pPr>
      <w:r>
        <w:t xml:space="preserve">Key inputs and where they come from</w:t>
      </w:r>
    </w:p>
    <w:p>
      <w:pPr/>
      <w:r>
        <w:t xml:space="preserve">The numbers that move the result most are below. "Founder" means the founders gave the number. "Estimate" means an industry estimate is used until a real number is given. All money is in Rp million.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Input</w:t>
            </w:r>
          </w:p>
        </w:tc>
        <w:tc>
          <w:tcPr>
            <w:tcW w:w="3120" w:type="dxa"/>
            <w:shd w:val="clear" w:color="auto" w:fill="F2F2F2"/>
          </w:tcPr>
          <w:p>
            <w:pPr/>
            <w:r>
              <w:t xml:space="preserve">Value</w:t>
            </w:r>
          </w:p>
        </w:tc>
        <w:tc>
          <w:tcPr>
            <w:tcW w:w="3120" w:type="dxa"/>
            <w:shd w:val="clear" w:color="auto" w:fill="F2F2F2"/>
          </w:tcPr>
          <w:p>
            <w:pPr/>
            <w:r>
              <w:t xml:space="preserve">Source</w:t>
            </w:r>
          </w:p>
        </w:tc>
      </w:tr>
      <w:tr>
        <w:tc>
          <w:tcPr>
            <w:tcW w:w="3120" w:type="dxa"/>
          </w:tcPr>
          <w:p>
            <w:pPr/>
            <w:r>
              <w:t xml:space="preserve">Cash at 1 Oct 2026</w:t>
            </w:r>
          </w:p>
        </w:tc>
        <w:tc>
          <w:tcPr>
            <w:tcW w:w="3120" w:type="dxa"/>
          </w:tcPr>
          <w:p>
            <w:pPr/>
            <w:r>
              <w:t xml:space="preserve">210</w:t>
            </w:r>
          </w:p>
        </w:tc>
        <w:tc>
          <w:tcPr>
            <w:tcW w:w="3120" w:type="dxa"/>
          </w:tcPr>
          <w:p>
            <w:pPr/>
            <w:r>
              <w:t xml:space="preserve">Founder</w:t>
            </w:r>
          </w:p>
        </w:tc>
      </w:tr>
      <w:tr>
        <w:tc>
          <w:tcPr>
            <w:tcW w:w="3120" w:type="dxa"/>
          </w:tcPr>
          <w:p>
            <w:pPr/>
            <w:r>
              <w:t xml:space="preserve">Event volume per month, 2027</w:t>
            </w:r>
          </w:p>
        </w:tc>
        <w:tc>
          <w:tcPr>
            <w:tcW w:w="3120" w:type="dxa"/>
          </w:tcPr>
          <w:p>
            <w:pPr/>
            <w:r>
              <w:t xml:space="preserve">26 B2B events a year (5 Flagship, 17 KPW/LPS, 4 bank) + B2C</w:t>
            </w:r>
          </w:p>
        </w:tc>
        <w:tc>
          <w:tcPr>
            <w:tcW w:w="3120" w:type="dxa"/>
          </w:tcPr>
          <w:p>
            <w:pPr/>
            <w:r>
              <w:t xml:space="preserve">Founder's own plan (not signed contracts)</w:t>
            </w:r>
          </w:p>
        </w:tc>
      </w:tr>
      <w:tr>
        <w:tc>
          <w:tcPr>
            <w:tcW w:w="3120" w:type="dxa"/>
          </w:tcPr>
          <w:p>
            <w:pPr/>
            <w:r>
              <w:t xml:space="preserve">Delivery cost: Flagship 3-day ToT / KPW 1-day / bank 1-day event</w:t>
            </w:r>
          </w:p>
        </w:tc>
        <w:tc>
          <w:tcPr>
            <w:tcW w:w="3120" w:type="dxa"/>
          </w:tcPr>
          <w:p>
            <w:pPr/>
            <w:r>
              <w:t xml:space="preserve">25 / 8 / 12 per event</w:t>
            </w:r>
          </w:p>
        </w:tc>
        <w:tc>
          <w:tcPr>
            <w:tcW w:w="3120" w:type="dxa"/>
          </w:tcPr>
          <w:p>
            <w:pPr/>
            <w:r>
              <w:t xml:space="preserve">Founder</w:t>
            </w:r>
          </w:p>
        </w:tc>
      </w:tr>
      <w:tr>
        <w:tc>
          <w:tcPr>
            <w:tcW w:w="3120" w:type="dxa"/>
          </w:tcPr>
          <w:p>
            <w:pPr/>
            <w:r>
              <w:t xml:space="preserve">Facilitators: per event, and max events each per month</w:t>
            </w:r>
          </w:p>
        </w:tc>
        <w:tc>
          <w:tcPr>
            <w:tcW w:w="3120" w:type="dxa"/>
          </w:tcPr>
          <w:p>
            <w:pPr/>
            <w:r>
              <w:t xml:space="preserve">2–4 people; 2 events</w:t>
            </w:r>
          </w:p>
        </w:tc>
        <w:tc>
          <w:tcPr>
            <w:tcW w:w="3120" w:type="dxa"/>
          </w:tcPr>
          <w:p>
            <w:pPr/>
            <w:r>
              <w:t xml:space="preserve">Founder</w:t>
            </w:r>
          </w:p>
        </w:tc>
      </w:tr>
      <w:tr>
        <w:tc>
          <w:tcPr>
            <w:tcW w:w="3120" w:type="dxa"/>
          </w:tcPr>
          <w:p>
            <w:pPr/>
            <w:r>
              <w:t xml:space="preserve">Base fixed cost (6 staff, software, ads, office)</w:t>
            </w:r>
          </w:p>
        </w:tc>
        <w:tc>
          <w:tcPr>
            <w:tcW w:w="3120" w:type="dxa"/>
          </w:tcPr>
          <w:p>
            <w:pPr/>
            <w:r>
              <w:t xml:space="preserve">about 20.7 a month</w:t>
            </w:r>
          </w:p>
        </w:tc>
        <w:tc>
          <w:tcPr>
            <w:tcW w:w="3120" w:type="dxa"/>
          </w:tcPr>
          <w:p>
            <w:pPr/>
            <w:r>
              <w:t xml:space="preserve">Founder's 2027 budget; admin raised to 3.0</w:t>
            </w:r>
          </w:p>
        </w:tc>
      </w:tr>
      <w:tr>
        <w:tc>
          <w:tcPr>
            <w:tcW w:w="3120" w:type="dxa"/>
          </w:tcPr>
          <w:p>
            <w:pPr/>
            <w:r>
              <w:t xml:space="preserve">Founder salaries from Jan 2027</w:t>
            </w:r>
          </w:p>
        </w:tc>
        <w:tc>
          <w:tcPr>
            <w:tcW w:w="3120" w:type="dxa"/>
          </w:tcPr>
          <w:p>
            <w:pPr/>
            <w:r>
              <w:t xml:space="preserve">15 + 10 a month</w:t>
            </w:r>
          </w:p>
        </w:tc>
        <w:tc>
          <w:tcPr>
            <w:tcW w:w="3120" w:type="dxa"/>
          </w:tcPr>
          <w:p>
            <w:pPr/>
            <w:r>
              <w:t xml:space="preserve">Founder</w:t>
            </w:r>
          </w:p>
        </w:tc>
      </w:tr>
      <w:tr>
        <w:tc>
          <w:tcPr>
            <w:tcW w:w="3120" w:type="dxa"/>
          </w:tcPr>
          <w:p>
            <w:pPr/>
            <w:r>
              <w:t xml:space="preserve">Project Manager</w:t>
            </w:r>
          </w:p>
        </w:tc>
        <w:tc>
          <w:tcPr>
            <w:tcW w:w="3120" w:type="dxa"/>
          </w:tcPr>
          <w:p>
            <w:pPr/>
            <w:r>
              <w:t xml:space="preserve">5 a month, from Dec 2026</w:t>
            </w:r>
          </w:p>
        </w:tc>
        <w:tc>
          <w:tcPr>
            <w:tcW w:w="3120" w:type="dxa"/>
          </w:tcPr>
          <w:p>
            <w:pPr/>
            <w:r>
              <w:t xml:space="preserve">Founder (salary); hiring rule is an estimate</w:t>
            </w:r>
          </w:p>
        </w:tc>
      </w:tr>
      <w:tr>
        <w:tc>
          <w:tcPr>
            <w:tcW w:w="3120" w:type="dxa"/>
          </w:tcPr>
          <w:p>
            <w:pPr/>
            <w:r>
              <w:t xml:space="preserve">Account Manager</w:t>
            </w:r>
          </w:p>
        </w:tc>
        <w:tc>
          <w:tcPr>
            <w:tcW w:w="3120" w:type="dxa"/>
          </w:tcPr>
          <w:p>
            <w:pPr/>
            <w:r>
              <w:t xml:space="preserve">none, founders sell</w:t>
            </w:r>
          </w:p>
        </w:tc>
        <w:tc>
          <w:tcPr>
            <w:tcW w:w="3120" w:type="dxa"/>
          </w:tcPr>
          <w:p>
            <w:pPr/>
            <w:r>
              <w:t xml:space="preserve">Founder</w:t>
            </w:r>
          </w:p>
        </w:tc>
      </w:tr>
      <w:tr>
        <w:tc>
          <w:tcPr>
            <w:tcW w:w="3120" w:type="dxa"/>
          </w:tcPr>
          <w:p>
            <w:pPr/>
            <w:r>
              <w:t xml:space="preserve">Accountant / tax consultant</w:t>
            </w:r>
          </w:p>
        </w:tc>
        <w:tc>
          <w:tcPr>
            <w:tcW w:w="3120" w:type="dxa"/>
          </w:tcPr>
          <w:p>
            <w:pPr/>
            <w:r>
              <w:t xml:space="preserve">1.5 a month</w:t>
            </w:r>
          </w:p>
        </w:tc>
        <w:tc>
          <w:tcPr>
            <w:tcW w:w="3120" w:type="dxa"/>
          </w:tcPr>
          <w:p>
            <w:pPr/>
            <w:r>
              <w:t xml:space="preserve">Estimate</w:t>
            </w:r>
          </w:p>
        </w:tc>
      </w:tr>
      <w:tr>
        <w:tc>
          <w:tcPr>
            <w:tcW w:w="3120" w:type="dxa"/>
          </w:tcPr>
          <w:p>
            <w:pPr/>
            <w:r>
              <w:t xml:space="preserve">Sales travel</w:t>
            </w:r>
          </w:p>
        </w:tc>
        <w:tc>
          <w:tcPr>
            <w:tcW w:w="3120" w:type="dxa"/>
          </w:tcPr>
          <w:p>
            <w:pPr/>
            <w:r>
              <w:t xml:space="preserve">2 a month</w:t>
            </w:r>
          </w:p>
        </w:tc>
        <w:tc>
          <w:tcPr>
            <w:tcW w:w="3120" w:type="dxa"/>
          </w:tcPr>
          <w:p>
            <w:pPr/>
            <w:r>
              <w:t xml:space="preserve">Estimate</w:t>
            </w:r>
          </w:p>
        </w:tc>
      </w:tr>
      <w:tr>
        <w:tc>
          <w:tcPr>
            <w:tcW w:w="3120" w:type="dxa"/>
          </w:tcPr>
          <w:p>
            <w:pPr/>
            <w:r>
              <w:t xml:space="preserve">BI payment timing</w:t>
            </w:r>
          </w:p>
        </w:tc>
        <w:tc>
          <w:tcPr>
            <w:tcW w:w="3120" w:type="dxa"/>
          </w:tcPr>
          <w:p>
            <w:pPr/>
            <w:r>
              <w:t xml:space="preserve">paid on the 1st of the month; KPW pays in the same cycle if invoiced before payday</w:t>
            </w:r>
          </w:p>
        </w:tc>
        <w:tc>
          <w:tcPr>
            <w:tcW w:w="3120" w:type="dxa"/>
          </w:tcPr>
          <w:p>
            <w:pPr/>
            <w:r>
              <w:t xml:space="preserve">Founder</w:t>
            </w:r>
          </w:p>
        </w:tc>
      </w:tr>
      <w:tr>
        <w:tc>
          <w:tcPr>
            <w:tcW w:w="3120" w:type="dxa"/>
          </w:tcPr>
          <w:p>
            <w:pPr/>
            <w:r>
              <w:t xml:space="preserve">Payment mix, BI central office</w:t>
            </w:r>
          </w:p>
        </w:tc>
        <w:tc>
          <w:tcPr>
            <w:tcW w:w="3120" w:type="dxa"/>
          </w:tcPr>
          <w:p>
            <w:pPr/>
            <w:r>
              <w:t xml:space="preserve">60% same month, 30% after 30 days, 10% after 60 days</w:t>
            </w:r>
          </w:p>
        </w:tc>
        <w:tc>
          <w:tcPr>
            <w:tcW w:w="3120" w:type="dxa"/>
          </w:tcPr>
          <w:p>
            <w:pPr/>
            <w:r>
              <w:t xml:space="preserve">Estimate (founder: never later than 60 days)</w:t>
            </w:r>
          </w:p>
        </w:tc>
      </w:tr>
      <w:tr>
        <w:tc>
          <w:tcPr>
            <w:tcW w:w="3120" w:type="dxa"/>
          </w:tcPr>
          <w:p>
            <w:pPr/>
            <w:r>
              <w:t xml:space="preserve">Payment mix, new bank clients</w:t>
            </w:r>
          </w:p>
        </w:tc>
        <w:tc>
          <w:tcPr>
            <w:tcW w:w="3120" w:type="dxa"/>
          </w:tcPr>
          <w:p>
            <w:pPr/>
            <w:r>
              <w:t xml:space="preserve">20% / 50% / 30%</w:t>
            </w:r>
          </w:p>
        </w:tc>
        <w:tc>
          <w:tcPr>
            <w:tcW w:w="3120" w:type="dxa"/>
          </w:tcPr>
          <w:p>
            <w:pPr/>
            <w:r>
              <w:t xml:space="preserve">Estimate (slower than BI)</w:t>
            </w:r>
          </w:p>
        </w:tc>
      </w:tr>
      <w:tr>
        <w:tc>
          <w:tcPr>
            <w:tcW w:w="3120" w:type="dxa"/>
          </w:tcPr>
          <w:p>
            <w:pPr/>
            <w:r>
              <w:t xml:space="preserve">Income tax</w:t>
            </w:r>
          </w:p>
        </w:tc>
        <w:tc>
          <w:tcPr>
            <w:tcW w:w="3120" w:type="dxa"/>
          </w:tcPr>
          <w:p>
            <w:pPr/>
            <w:r>
              <w:t xml:space="preserve">0.5% of revenue, paid the next month</w:t>
            </w:r>
          </w:p>
        </w:tc>
        <w:tc>
          <w:tcPr>
            <w:tcW w:w="3120" w:type="dxa"/>
          </w:tcPr>
          <w:p>
            <w:pPr/>
            <w:r>
              <w:t xml:space="preserve">Estimate (assumes the small-business final tax)</w:t>
            </w:r>
          </w:p>
        </w:tc>
      </w:tr>
      <w:tr>
        <w:tc>
          <w:tcPr>
            <w:tcW w:w="3120" w:type="dxa"/>
          </w:tcPr>
          <w:p>
            <w:pPr/>
            <w:r>
              <w:t xml:space="preserve">Who pays travel for regional events</w:t>
            </w:r>
          </w:p>
        </w:tc>
        <w:tc>
          <w:tcPr>
            <w:tcW w:w="3120" w:type="dxa"/>
          </w:tcPr>
          <w:p>
            <w:pPr/>
            <w:r>
              <w:t xml:space="preserve">the client</w:t>
            </w:r>
          </w:p>
        </w:tc>
        <w:tc>
          <w:tcPr>
            <w:tcW w:w="3120" w:type="dxa"/>
          </w:tcPr>
          <w:p>
            <w:pPr/>
            <w:r>
              <w:t xml:space="preserve">Estimate (the Rp8m KPW cost only covers fees)</w:t>
            </w:r>
          </w:p>
        </w:tc>
      </w:tr>
      <w:tr>
        <w:tc>
          <w:tcPr>
            <w:tcW w:w="3120" w:type="dxa"/>
          </w:tcPr>
          <w:p>
            <w:pPr/>
            <w:r>
              <w:t xml:space="preserve">Coreitera fee per assessment</w:t>
            </w:r>
          </w:p>
        </w:tc>
        <w:tc>
          <w:tcPr>
            <w:tcW w:w="3120" w:type="dxa"/>
          </w:tcPr>
          <w:p>
            <w:pPr/>
            <w:r>
              <w:t xml:space="preserve">0.075 per participant</w:t>
            </w:r>
          </w:p>
        </w:tc>
        <w:tc>
          <w:tcPr>
            <w:tcW w:w="3120" w:type="dxa"/>
          </w:tcPr>
          <w:p>
            <w:pPr/>
            <w:r>
              <w:t xml:space="preserve">Estimate</w:t>
            </w:r>
          </w:p>
        </w:tc>
      </w:tr>
    </w:tbl>
    <w:p>
      <w:pPr/>
      <w:r>
        <w:t xml:space="preserve">The full list of 50 estimates is on the To_Fill sheet of the workbook.</w:t>
      </w:r>
    </w:p>
    <w:p>
      <w:pPr>
        <w:pStyle w:val="Heading2"/>
      </w:pPr>
      <w:r>
        <w:t xml:space="preserve">2027 results</w:t>
      </w:r>
    </w:p>
    <w:p>
      <w:pPr/>
      <w:r>
        <w:t xml:space="preserve">The new prices double net profit, from Rp152m to Rp378m, with the same events and the same costs. Both versions pay the founders.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2027, Rp million</w:t>
            </w:r>
          </w:p>
        </w:tc>
        <w:tc>
          <w:tcPr>
            <w:tcW w:w="3120" w:type="dxa"/>
            <w:shd w:val="clear" w:color="auto" w:fill="F2F2F2"/>
          </w:tcPr>
          <w:p>
            <w:pPr/>
            <w:r>
              <w:t xml:space="preserve">Old prices</w:t>
            </w:r>
          </w:p>
        </w:tc>
        <w:tc>
          <w:tcPr>
            <w:tcW w:w="3120" w:type="dxa"/>
            <w:shd w:val="clear" w:color="auto" w:fill="F2F2F2"/>
          </w:tcPr>
          <w:p>
            <w:pPr/>
            <w:r>
              <w:t xml:space="preserve">New prices</w:t>
            </w:r>
          </w:p>
        </w:tc>
      </w:tr>
      <w:tr>
        <w:tc>
          <w:tcPr>
            <w:tcW w:w="3120" w:type="dxa"/>
          </w:tcPr>
          <w:p>
            <w:pPr/>
            <w:r>
              <w:t xml:space="preserve">Revenue</w:t>
            </w:r>
          </w:p>
        </w:tc>
        <w:tc>
          <w:tcPr>
            <w:tcW w:w="3120" w:type="dxa"/>
          </w:tcPr>
          <w:p>
            <w:pPr/>
            <w:r>
              <w:t xml:space="preserve">1,208</w:t>
            </w:r>
          </w:p>
        </w:tc>
        <w:tc>
          <w:tcPr>
            <w:tcW w:w="3120" w:type="dxa"/>
          </w:tcPr>
          <w:p>
            <w:pPr/>
            <w:r>
              <w:t xml:space="preserve">1,502</w:t>
            </w:r>
          </w:p>
        </w:tc>
      </w:tr>
      <w:tr>
        <w:tc>
          <w:tcPr>
            <w:tcW w:w="3120" w:type="dxa"/>
          </w:tcPr>
          <w:p>
            <w:pPr/>
            <w:r>
              <w:t xml:space="preserve">Delivery cost</w:t>
            </w:r>
          </w:p>
        </w:tc>
        <w:tc>
          <w:tcPr>
            <w:tcW w:w="3120" w:type="dxa"/>
          </w:tcPr>
          <w:p>
            <w:pPr/>
            <w:r>
              <w:t xml:space="preserve">418</w:t>
            </w:r>
          </w:p>
        </w:tc>
        <w:tc>
          <w:tcPr>
            <w:tcW w:w="3120" w:type="dxa"/>
          </w:tcPr>
          <w:p>
            <w:pPr/>
            <w:r>
              <w:t xml:space="preserve">483</w:t>
            </w:r>
          </w:p>
        </w:tc>
      </w:tr>
      <w:tr>
        <w:tc>
          <w:tcPr>
            <w:tcW w:w="3120" w:type="dxa"/>
          </w:tcPr>
          <w:p>
            <w:pPr/>
            <w:r>
              <w:t xml:space="preserve">Gross profit</w:t>
            </w:r>
          </w:p>
        </w:tc>
        <w:tc>
          <w:tcPr>
            <w:tcW w:w="3120" w:type="dxa"/>
          </w:tcPr>
          <w:p>
            <w:pPr/>
            <w:r>
              <w:t xml:space="preserve">790 (65%)</w:t>
            </w:r>
          </w:p>
        </w:tc>
        <w:tc>
          <w:tcPr>
            <w:tcW w:w="3120" w:type="dxa"/>
          </w:tcPr>
          <w:p>
            <w:pPr/>
            <w:r>
              <w:t xml:space="preserve">1,018 (68%)</w:t>
            </w:r>
          </w:p>
        </w:tc>
      </w:tr>
      <w:tr>
        <w:tc>
          <w:tcPr>
            <w:tcW w:w="3120" w:type="dxa"/>
          </w:tcPr>
          <w:p>
            <w:pPr/>
            <w:r>
              <w:t xml:space="preserve">Fixed cost (incl. founders 300)</w:t>
            </w:r>
          </w:p>
        </w:tc>
        <w:tc>
          <w:tcPr>
            <w:tcW w:w="3120" w:type="dxa"/>
          </w:tcPr>
          <w:p>
            <w:pPr/>
            <w:r>
              <w:t xml:space="preserve">632</w:t>
            </w:r>
          </w:p>
        </w:tc>
        <w:tc>
          <w:tcPr>
            <w:tcW w:w="3120" w:type="dxa"/>
          </w:tcPr>
          <w:p>
            <w:pPr/>
            <w:r>
              <w:t xml:space="preserve">632</w:t>
            </w:r>
          </w:p>
        </w:tc>
      </w:tr>
      <w:tr>
        <w:tc>
          <w:tcPr>
            <w:tcW w:w="3120" w:type="dxa"/>
          </w:tcPr>
          <w:p>
            <w:pPr/>
            <w:r>
              <w:t xml:space="preserve">Income tax</w:t>
            </w:r>
          </w:p>
        </w:tc>
        <w:tc>
          <w:tcPr>
            <w:tcW w:w="3120" w:type="dxa"/>
          </w:tcPr>
          <w:p>
            <w:pPr/>
            <w:r>
              <w:t xml:space="preserve">6</w:t>
            </w:r>
          </w:p>
        </w:tc>
        <w:tc>
          <w:tcPr>
            <w:tcW w:w="3120" w:type="dxa"/>
          </w:tcPr>
          <w:p>
            <w:pPr/>
            <w:r>
              <w:t xml:space="preserve">8</w:t>
            </w:r>
          </w:p>
        </w:tc>
      </w:tr>
      <w:tr>
        <w:tc>
          <w:tcPr>
            <w:tcW w:w="3120" w:type="dxa"/>
          </w:tcPr>
          <w:p>
            <w:pPr/>
            <w:r>
              <w:rPr>
                <w:b/>
              </w:rPr>
              <w:t xml:space="preserve">Net profit</w:t>
            </w:r>
          </w:p>
        </w:tc>
        <w:tc>
          <w:tcPr>
            <w:tcW w:w="3120" w:type="dxa"/>
          </w:tcPr>
          <w:p>
            <w:pPr/>
            <w:r>
              <w:rPr>
                <w:b/>
              </w:rPr>
              <w:t xml:space="preserve">152 (12.5%)</w:t>
            </w:r>
          </w:p>
        </w:tc>
        <w:tc>
          <w:tcPr>
            <w:tcW w:w="3120" w:type="dxa"/>
          </w:tcPr>
          <w:p>
            <w:pPr/>
            <w:r>
              <w:rPr>
                <w:b/>
              </w:rPr>
              <w:t xml:space="preserve">378 (25%)</w:t>
            </w:r>
          </w:p>
        </w:tc>
      </w:tr>
      <w:tr>
        <w:tc>
          <w:tcPr>
            <w:tcW w:w="3120" w:type="dxa"/>
          </w:tcPr>
          <w:p>
            <w:pPr/>
            <w:r>
              <w:t xml:space="preserve">Lowest month-end cash, Oct 2026 – Dec 2027</w:t>
            </w:r>
          </w:p>
        </w:tc>
        <w:tc>
          <w:tcPr>
            <w:tcW w:w="3120" w:type="dxa"/>
          </w:tcPr>
          <w:p>
            <w:pPr/>
            <w:r>
              <w:t xml:space="preserve">204 (Oct 2026)</w:t>
            </w:r>
          </w:p>
        </w:tc>
        <w:tc>
          <w:tcPr>
            <w:tcW w:w="3120" w:type="dxa"/>
          </w:tcPr>
          <w:p>
            <w:pPr/>
            <w:r>
              <w:t xml:space="preserve">204 (Oct 2026)</w:t>
            </w:r>
          </w:p>
        </w:tc>
      </w:tr>
      <w:tr>
        <w:tc>
          <w:tcPr>
            <w:tcW w:w="3120" w:type="dxa"/>
          </w:tcPr>
          <w:p>
            <w:pPr/>
            <w:r>
              <w:t xml:space="preserve">Cash at end of 2027</w:t>
            </w:r>
          </w:p>
        </w:tc>
        <w:tc>
          <w:tcPr>
            <w:tcW w:w="3120" w:type="dxa"/>
          </w:tcPr>
          <w:p>
            <w:pPr/>
            <w:r>
              <w:t xml:space="preserve">522</w:t>
            </w:r>
          </w:p>
        </w:tc>
        <w:tc>
          <w:tcPr>
            <w:tcW w:w="3120" w:type="dxa"/>
          </w:tcPr>
          <w:p>
            <w:pPr/>
            <w:r>
              <w:t xml:space="preserve">733</w:t>
            </w:r>
          </w:p>
        </w:tc>
      </w:tr>
    </w:tbl>
    <w:p>
      <w:pPr/>
      <w:r>
        <w:t xml:space="preserve">The new prices start in January 2027, because work in Q4 2026 is already agreed at the old prices. That is why the lowest cash point is the same in both columns. Fixed cost is about Rp53m a month in 2027, so months with only B2C income (such as January and February) lose about Rp29m each. Cash earned in Q4 2026 covers those months.</w:t>
      </w:r>
    </w:p>
    <w:p>
      <w:pPr>
        <w:pStyle w:val="Heading2"/>
      </w:pPr>
      <w:r>
        <w:t xml:space="preserve">Stress tests</w:t>
      </w:r>
    </w:p>
    <w:p>
      <w:pPr/>
      <w:r>
        <w:t xml:space="preserve">With the new prices, the business stays profitable and cash stays above Rp160m in every case tested. The main risk is lower profit, not running out of cash.</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New prices, 2027</w:t>
            </w:r>
          </w:p>
        </w:tc>
        <w:tc>
          <w:tcPr>
            <w:tcW w:w="1872" w:type="dxa"/>
            <w:shd w:val="clear" w:color="auto" w:fill="F2F2F2"/>
          </w:tcPr>
          <w:p>
            <w:pPr/>
            <w:r>
              <w:t xml:space="preserve">Revenue</w:t>
            </w:r>
          </w:p>
        </w:tc>
        <w:tc>
          <w:tcPr>
            <w:tcW w:w="1872" w:type="dxa"/>
            <w:shd w:val="clear" w:color="auto" w:fill="F2F2F2"/>
          </w:tcPr>
          <w:p>
            <w:pPr/>
            <w:r>
              <w:t xml:space="preserve">Net profit</w:t>
            </w:r>
          </w:p>
        </w:tc>
        <w:tc>
          <w:tcPr>
            <w:tcW w:w="1872" w:type="dxa"/>
            <w:shd w:val="clear" w:color="auto" w:fill="F2F2F2"/>
          </w:tcPr>
          <w:p>
            <w:pPr/>
            <w:r>
              <w:t xml:space="preserve">Net margin</w:t>
            </w:r>
          </w:p>
        </w:tc>
        <w:tc>
          <w:tcPr>
            <w:tcW w:w="1872" w:type="dxa"/>
            <w:shd w:val="clear" w:color="auto" w:fill="F2F2F2"/>
          </w:tcPr>
          <w:p>
            <w:pPr/>
            <w:r>
              <w:t xml:space="preserve">Lowest cash (month)</w:t>
            </w:r>
          </w:p>
        </w:tc>
      </w:tr>
      <w:tr>
        <w:tc>
          <w:tcPr>
            <w:tcW w:w="1872" w:type="dxa"/>
          </w:tcPr>
          <w:p>
            <w:pPr/>
            <w:r>
              <w:t xml:space="preserve">Base plan</w:t>
            </w:r>
          </w:p>
        </w:tc>
        <w:tc>
          <w:tcPr>
            <w:tcW w:w="1872" w:type="dxa"/>
          </w:tcPr>
          <w:p>
            <w:pPr/>
            <w:r>
              <w:t xml:space="preserve">1,502</w:t>
            </w:r>
          </w:p>
        </w:tc>
        <w:tc>
          <w:tcPr>
            <w:tcW w:w="1872" w:type="dxa"/>
          </w:tcPr>
          <w:p>
            <w:pPr/>
            <w:r>
              <w:t xml:space="preserve">378</w:t>
            </w:r>
          </w:p>
        </w:tc>
        <w:tc>
          <w:tcPr>
            <w:tcW w:w="1872" w:type="dxa"/>
          </w:tcPr>
          <w:p>
            <w:pPr/>
            <w:r>
              <w:t xml:space="preserve">25%</w:t>
            </w:r>
          </w:p>
        </w:tc>
        <w:tc>
          <w:tcPr>
            <w:tcW w:w="1872" w:type="dxa"/>
          </w:tcPr>
          <w:p>
            <w:pPr/>
            <w:r>
              <w:t xml:space="preserve">204 (Oct 2026)</w:t>
            </w:r>
          </w:p>
        </w:tc>
      </w:tr>
      <w:tr>
        <w:tc>
          <w:tcPr>
            <w:tcW w:w="1872" w:type="dxa"/>
          </w:tcPr>
          <w:p>
            <w:pPr/>
            <w:r>
              <w:t xml:space="preserve">No new B2B event from Jan to Jun 2027</w:t>
            </w:r>
          </w:p>
        </w:tc>
        <w:tc>
          <w:tcPr>
            <w:tcW w:w="1872" w:type="dxa"/>
          </w:tcPr>
          <w:p>
            <w:pPr/>
            <w:r>
              <w:t xml:space="preserve">1,163</w:t>
            </w:r>
          </w:p>
        </w:tc>
        <w:tc>
          <w:tcPr>
            <w:tcW w:w="1872" w:type="dxa"/>
          </w:tcPr>
          <w:p>
            <w:pPr/>
            <w:r>
              <w:t xml:space="preserve">143</w:t>
            </w:r>
          </w:p>
        </w:tc>
        <w:tc>
          <w:tcPr>
            <w:tcW w:w="1872" w:type="dxa"/>
          </w:tcPr>
          <w:p>
            <w:pPr/>
            <w:r>
              <w:t xml:space="preserve">12%</w:t>
            </w:r>
          </w:p>
        </w:tc>
        <w:tc>
          <w:tcPr>
            <w:tcW w:w="1872" w:type="dxa"/>
          </w:tcPr>
          <w:p>
            <w:pPr/>
            <w:r>
              <w:t xml:space="preserve">180 (Jul 2027)</w:t>
            </w:r>
          </w:p>
        </w:tc>
      </w:tr>
      <w:tr>
        <w:tc>
          <w:tcPr>
            <w:tcW w:w="1872" w:type="dxa"/>
          </w:tcPr>
          <w:p>
            <w:pPr/>
            <w:r>
              <w:t xml:space="preserve">BI cuts its volume by 30%</w:t>
            </w:r>
          </w:p>
        </w:tc>
        <w:tc>
          <w:tcPr>
            <w:tcW w:w="1872" w:type="dxa"/>
          </w:tcPr>
          <w:p>
            <w:pPr/>
            <w:r>
              <w:t xml:space="preserve">1,228</w:t>
            </w:r>
          </w:p>
        </w:tc>
        <w:tc>
          <w:tcPr>
            <w:tcW w:w="1872" w:type="dxa"/>
          </w:tcPr>
          <w:p>
            <w:pPr/>
            <w:r>
              <w:t xml:space="preserve">253</w:t>
            </w:r>
          </w:p>
        </w:tc>
        <w:tc>
          <w:tcPr>
            <w:tcW w:w="1872" w:type="dxa"/>
          </w:tcPr>
          <w:p>
            <w:pPr/>
            <w:r>
              <w:t xml:space="preserve">21%</w:t>
            </w:r>
          </w:p>
        </w:tc>
        <w:tc>
          <w:tcPr>
            <w:tcW w:w="1872" w:type="dxa"/>
          </w:tcPr>
          <w:p>
            <w:pPr/>
            <w:r>
              <w:t xml:space="preserve">199 (Oct 2026)</w:t>
            </w:r>
          </w:p>
        </w:tc>
      </w:tr>
      <w:tr>
        <w:tc>
          <w:tcPr>
            <w:tcW w:w="1872" w:type="dxa"/>
          </w:tcPr>
          <w:p>
            <w:pPr/>
            <w:r>
              <w:t xml:space="preserve">Worst case: both of the above</w:t>
            </w:r>
          </w:p>
        </w:tc>
        <w:tc>
          <w:tcPr>
            <w:tcW w:w="1872" w:type="dxa"/>
          </w:tcPr>
          <w:p>
            <w:pPr/>
            <w:r>
              <w:t xml:space="preserve">971</w:t>
            </w:r>
          </w:p>
        </w:tc>
        <w:tc>
          <w:tcPr>
            <w:tcW w:w="1872" w:type="dxa"/>
          </w:tcPr>
          <w:p>
            <w:pPr/>
            <w:r>
              <w:t xml:space="preserve">74</w:t>
            </w:r>
          </w:p>
        </w:tc>
        <w:tc>
          <w:tcPr>
            <w:tcW w:w="1872" w:type="dxa"/>
          </w:tcPr>
          <w:p>
            <w:pPr/>
            <w:r>
              <w:t xml:space="preserve">8%</w:t>
            </w:r>
          </w:p>
        </w:tc>
        <w:tc>
          <w:tcPr>
            <w:tcW w:w="1872" w:type="dxa"/>
          </w:tcPr>
          <w:p>
            <w:pPr/>
            <w:r>
              <w:t xml:space="preserve">161 (Jul 2027)</w:t>
            </w:r>
          </w:p>
        </w:tc>
      </w:tr>
      <w:tr>
        <w:tc>
          <w:tcPr>
            <w:tcW w:w="1872" w:type="dxa"/>
          </w:tcPr>
          <w:p>
            <w:pPr/>
            <w:r>
              <w:t xml:space="preserve">For comparison: old prices, base plan</w:t>
            </w:r>
          </w:p>
        </w:tc>
        <w:tc>
          <w:tcPr>
            <w:tcW w:w="1872" w:type="dxa"/>
          </w:tcPr>
          <w:p>
            <w:pPr/>
            <w:r>
              <w:t xml:space="preserve">1,208</w:t>
            </w:r>
          </w:p>
        </w:tc>
        <w:tc>
          <w:tcPr>
            <w:tcW w:w="1872" w:type="dxa"/>
          </w:tcPr>
          <w:p>
            <w:pPr/>
            <w:r>
              <w:t xml:space="preserve">152</w:t>
            </w:r>
          </w:p>
        </w:tc>
        <w:tc>
          <w:tcPr>
            <w:tcW w:w="1872" w:type="dxa"/>
          </w:tcPr>
          <w:p>
            <w:pPr/>
            <w:r>
              <w:t xml:space="preserve">12.5%</w:t>
            </w:r>
          </w:p>
        </w:tc>
        <w:tc>
          <w:tcPr>
            <w:tcW w:w="1872" w:type="dxa"/>
          </w:tcPr>
          <w:p>
            <w:pPr/>
            <w:r>
              <w:t xml:space="preserve">204 (Oct 2026)</w:t>
            </w:r>
          </w:p>
        </w:tc>
      </w:tr>
    </w:tbl>
    <w:p>
      <w:pPr/>
      <w:r>
        <w:t xml:space="preserve">In the worst case, the old prices would give a loss of about Rp62m. Higher prices therefore protect the business as well as growing it. The cases were chosen because BI is 61% of 2027 revenue and Q4 is 40% of it, so a slow first half or a BI budget cut are the most likely shocks.</w:t>
      </w:r>
    </w:p>
    <w:p>
      <w:pPr>
        <w:pStyle w:val="Heading2"/>
      </w:pPr>
      <w:r>
        <w:t xml:space="preserve">Pricing and the benchmarks behind it</w:t>
      </w:r>
    </w:p>
    <w:p>
      <w:pPr/>
      <w:r>
        <w:t xml:space="preserve">The new rate card prices regulators close to their budget limits, and prices banks against the large training firms they use today. The aim is an "elite boutique" position: clearly cheaper than big firms, never the cheapest.</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Client type</w:t>
            </w:r>
          </w:p>
        </w:tc>
        <w:tc>
          <w:tcPr>
            <w:tcW w:w="1872" w:type="dxa"/>
            <w:shd w:val="clear" w:color="auto" w:fill="F2F2F2"/>
          </w:tcPr>
          <w:p>
            <w:pPr/>
            <w:r>
              <w:t xml:space="preserve">Product</w:t>
            </w:r>
          </w:p>
        </w:tc>
        <w:tc>
          <w:tcPr>
            <w:tcW w:w="1872" w:type="dxa"/>
            <w:shd w:val="clear" w:color="auto" w:fill="F2F2F2"/>
          </w:tcPr>
          <w:p>
            <w:pPr/>
            <w:r>
              <w:t xml:space="preserve">Old price</w:t>
            </w:r>
          </w:p>
        </w:tc>
        <w:tc>
          <w:tcPr>
            <w:tcW w:w="1872" w:type="dxa"/>
            <w:shd w:val="clear" w:color="auto" w:fill="F2F2F2"/>
          </w:tcPr>
          <w:p>
            <w:pPr/>
            <w:r>
              <w:t xml:space="preserve">New price (training + assessment)</w:t>
            </w:r>
          </w:p>
        </w:tc>
        <w:tc>
          <w:tcPr>
            <w:tcW w:w="1872" w:type="dxa"/>
            <w:shd w:val="clear" w:color="auto" w:fill="F2F2F2"/>
          </w:tcPr>
          <w:p>
            <w:pPr/>
            <w:r>
              <w:t xml:space="preserve">Price per day vs a large training firm</w:t>
            </w:r>
          </w:p>
        </w:tc>
      </w:tr>
      <w:tr>
        <w:tc>
          <w:tcPr>
            <w:tcW w:w="1872" w:type="dxa"/>
          </w:tcPr>
          <w:p>
            <w:pPr/>
            <w:r>
              <w:t xml:space="preserve">Regulator (BI, OJK, LPS)</w:t>
            </w:r>
          </w:p>
        </w:tc>
        <w:tc>
          <w:tcPr>
            <w:tcW w:w="1872" w:type="dxa"/>
          </w:tcPr>
          <w:p>
            <w:pPr/>
            <w:r>
              <w:t xml:space="preserve">Flagship ToT, 3 days</w:t>
            </w:r>
          </w:p>
        </w:tc>
        <w:tc>
          <w:tcPr>
            <w:tcW w:w="1872" w:type="dxa"/>
          </w:tcPr>
          <w:p>
            <w:pPr/>
            <w:r>
              <w:t xml:space="preserve">85</w:t>
            </w:r>
          </w:p>
        </w:tc>
        <w:tc>
          <w:tcPr>
            <w:tcW w:w="1872" w:type="dxa"/>
          </w:tcPr>
          <w:p>
            <w:pPr/>
            <w:r>
              <w:t xml:space="preserve">100 (94 + 6)</w:t>
            </w:r>
          </w:p>
        </w:tc>
        <w:tc>
          <w:tcPr>
            <w:tcW w:w="1872" w:type="dxa"/>
          </w:tcPr>
          <w:p>
            <w:pPr/>
            <w:r>
              <w:t xml:space="preserve">36%</w:t>
            </w:r>
          </w:p>
        </w:tc>
      </w:tr>
      <w:tr>
        <w:tc>
          <w:tcPr>
            <w:tcW w:w="1872" w:type="dxa"/>
          </w:tcPr>
          <w:p>
            <w:pPr/>
            <w:r>
              <w:t xml:space="preserve">Regulator (BI KPW, LPS)</w:t>
            </w:r>
          </w:p>
        </w:tc>
        <w:tc>
          <w:tcPr>
            <w:tcW w:w="1872" w:type="dxa"/>
          </w:tcPr>
          <w:p>
            <w:pPr/>
            <w:r>
              <w:t xml:space="preserve">Regional ToT, 1 day</w:t>
            </w:r>
          </w:p>
        </w:tc>
        <w:tc>
          <w:tcPr>
            <w:tcW w:w="1872" w:type="dxa"/>
          </w:tcPr>
          <w:p>
            <w:pPr/>
            <w:r>
              <w:t xml:space="preserve">20</w:t>
            </w:r>
          </w:p>
        </w:tc>
        <w:tc>
          <w:tcPr>
            <w:tcW w:w="1872" w:type="dxa"/>
          </w:tcPr>
          <w:p>
            <w:pPr/>
            <w:r>
              <w:t xml:space="preserve">28.5 (24 + 4.5)</w:t>
            </w:r>
          </w:p>
        </w:tc>
        <w:tc>
          <w:tcPr>
            <w:tcW w:w="1872" w:type="dxa"/>
          </w:tcPr>
          <w:p>
            <w:pPr/>
            <w:r>
              <w:t xml:space="preserve">27%</w:t>
            </w:r>
          </w:p>
        </w:tc>
      </w:tr>
      <w:tr>
        <w:tc>
          <w:tcPr>
            <w:tcW w:w="1872" w:type="dxa"/>
          </w:tcPr>
          <w:p>
            <w:pPr/>
            <w:r>
              <w:t xml:space="preserve">State-owned bank</w:t>
            </w:r>
          </w:p>
        </w:tc>
        <w:tc>
          <w:tcPr>
            <w:tcW w:w="1872" w:type="dxa"/>
          </w:tcPr>
          <w:p>
            <w:pPr/>
            <w:r>
              <w:t xml:space="preserve">1-day program</w:t>
            </w:r>
          </w:p>
        </w:tc>
        <w:tc>
          <w:tcPr>
            <w:tcW w:w="1872" w:type="dxa"/>
          </w:tcPr>
          <w:p>
            <w:pPr/>
            <w:r>
              <w:t xml:space="preserve">35</w:t>
            </w:r>
          </w:p>
        </w:tc>
        <w:tc>
          <w:tcPr>
            <w:tcW w:w="1872" w:type="dxa"/>
          </w:tcPr>
          <w:p>
            <w:pPr/>
            <w:r>
              <w:t xml:space="preserve">51 (45 + 6)</w:t>
            </w:r>
          </w:p>
        </w:tc>
        <w:tc>
          <w:tcPr>
            <w:tcW w:w="1872" w:type="dxa"/>
          </w:tcPr>
          <w:p>
            <w:pPr/>
            <w:r>
              <w:t xml:space="preserve">51%</w:t>
            </w:r>
          </w:p>
        </w:tc>
      </w:tr>
      <w:tr>
        <w:tc>
          <w:tcPr>
            <w:tcW w:w="1872" w:type="dxa"/>
          </w:tcPr>
          <w:p>
            <w:pPr/>
            <w:r>
              <w:t xml:space="preserve">Private bank</w:t>
            </w:r>
          </w:p>
        </w:tc>
        <w:tc>
          <w:tcPr>
            <w:tcW w:w="1872" w:type="dxa"/>
          </w:tcPr>
          <w:p>
            <w:pPr/>
            <w:r>
              <w:t xml:space="preserve">1-day program</w:t>
            </w:r>
          </w:p>
        </w:tc>
        <w:tc>
          <w:tcPr>
            <w:tcW w:w="1872" w:type="dxa"/>
          </w:tcPr>
          <w:p>
            <w:pPr/>
            <w:r>
              <w:t xml:space="preserve">35</w:t>
            </w:r>
          </w:p>
        </w:tc>
        <w:tc>
          <w:tcPr>
            <w:tcW w:w="1872" w:type="dxa"/>
          </w:tcPr>
          <w:p>
            <w:pPr/>
            <w:r>
              <w:t xml:space="preserve">61 (55 + 6)</w:t>
            </w:r>
          </w:p>
        </w:tc>
        <w:tc>
          <w:tcPr>
            <w:tcW w:w="1872" w:type="dxa"/>
          </w:tcPr>
          <w:p>
            <w:pPr/>
            <w:r>
              <w:t xml:space="preserve">63%</w:t>
            </w:r>
          </w:p>
        </w:tc>
      </w:tr>
    </w:tbl>
    <w:p>
      <w:pPr/>
      <w:r>
        <w:t xml:space="preserve">The assessment (before and after the training, with an impact report) is sold as its own line. BI has confirmed this is allowed. A new line item gets its own budget limit, so it does not fight the anchor set by past contract prices.</w:t>
      </w:r>
    </w:p>
    <w:p>
      <w:pPr/>
      <w:r>
        <w:t xml:space="preserve">The benchmarks used:</w:t>
      </w:r>
    </w:p>
    <w:p>
      <w:pPr>
        <w:pStyle w:val="ListParagraph"/>
        <w:numPr>
          <w:ilvl w:val="0"/>
          <w:numId w:val="5"/>
        </w:numPr>
      </w:pPr>
      <w:r>
        <w:rPr>
          <w:b/>
        </w:rPr>
        <w:t xml:space="preserve">Indonesian government cost standard (SBM 2026, Finance Ministry regulation PMK 32/2025).</w:t>
      </w:r>
      <w:r>
        <w:t xml:space="preserve"> An outside expert speaker can be paid up to Rp1.7m per hour, and an outside trainer Rp300k per 45-minute lesson. On these rates, a ministry's fee budget for a 1-day ToT is about Rp12.6m, and for a 3-day Flagship about Rp50m. The new prices are about 2x these fee budgets, which leaves room for design, management, materials and margin. BI, OJK and LPS have their own budgets and are not bound by SBM, so this is a guide only. The SBM 2027 rate tables (PMK 54/2026) were not found in public.</w:t>
      </w:r>
    </w:p>
    <w:p>
      <w:pPr>
        <w:pStyle w:val="ListParagraph"/>
        <w:numPr>
          <w:ilvl w:val="0"/>
          <w:numId w:val="5"/>
        </w:numPr>
      </w:pPr>
      <w:r>
        <w:rPr>
          <w:b/>
        </w:rPr>
        <w:t xml:space="preserve">Malaysia's HRD Corp cap.</w:t>
      </w:r>
      <w:r>
        <w:t xml:space="preserve"> This government training fund pays up to RM10,500 per day per group for in-house training, about Rp40m. Malaysia's income per person is about 2.5x Indonesia's, so the Rp24–35m day rates are in a fair range.</w:t>
      </w:r>
    </w:p>
    <w:p>
      <w:pPr>
        <w:pStyle w:val="ListParagraph"/>
        <w:numPr>
          <w:ilvl w:val="0"/>
          <w:numId w:val="5"/>
        </w:numPr>
      </w:pPr>
      <w:r>
        <w:rPr>
          <w:b/>
        </w:rPr>
        <w:t xml:space="preserve">Large training firms.</w:t>
      </w:r>
      <w:r>
        <w:t xml:space="preserve"> The founders say banks pay large trainers 2–3x Teman Journey's old rate (about Rp70–105m a day). This is not yet checked against a real quote.</w:t>
      </w:r>
    </w:p>
    <w:p>
      <w:pPr>
        <w:pStyle w:val="ListParagraph"/>
        <w:numPr>
          <w:ilvl w:val="0"/>
          <w:numId w:val="5"/>
        </w:numPr>
      </w:pPr>
      <w:r>
        <w:rPr>
          <w:b/>
        </w:rPr>
        <w:t xml:space="preserve">Price rule.</w:t>
      </w:r>
      <w:r>
        <w:t xml:space="preserve"> The founders' own rule is price at least 3x delivery cost. The check counts only cost paid outside the group, because the Coreitera fee stays with the same founders. All four new prices pass (3.6x to 5.1x).</w:t>
      </w:r>
    </w:p>
    <w:p>
      <w:pPr/>
      <w:r>
        <w:t xml:space="preserve">The Rate_Card sheet also shows how many events could be lost before the price rise stops paying off: 17% of Flagship events, 34% of KPW events, 36% of state-bank events and 50% of private-bank events.</w:t>
      </w:r>
    </w:p>
    <w:p>
      <w:pPr>
        <w:pStyle w:val="Heading2"/>
      </w:pPr>
      <w:r>
        <w:t xml:space="preserve">What decides whether the business can scale</w:t>
      </w:r>
    </w:p>
    <w:p>
      <w:pPr/>
      <w:r>
        <w:t xml:space="preserve">The model answers whether 2027 survives. It only partly answers whether the business can grow on its own money. The measures below come from the 2027 plan at new prices. The targets are suggested levels, not industry standards.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Measure</w:t>
            </w:r>
          </w:p>
        </w:tc>
        <w:tc>
          <w:tcPr>
            <w:tcW w:w="2340" w:type="dxa"/>
            <w:shd w:val="clear" w:color="auto" w:fill="F2F2F2"/>
          </w:tcPr>
          <w:p>
            <w:pPr/>
            <w:r>
              <w:t xml:space="preserve">2027 value</w:t>
            </w:r>
          </w:p>
        </w:tc>
        <w:tc>
          <w:tcPr>
            <w:tcW w:w="2340" w:type="dxa"/>
            <w:shd w:val="clear" w:color="auto" w:fill="F2F2F2"/>
          </w:tcPr>
          <w:p>
            <w:pPr/>
            <w:r>
              <w:t xml:space="preserve">Suggested target</w:t>
            </w:r>
          </w:p>
        </w:tc>
        <w:tc>
          <w:tcPr>
            <w:tcW w:w="2340" w:type="dxa"/>
            <w:shd w:val="clear" w:color="auto" w:fill="F2F2F2"/>
          </w:tcPr>
          <w:p>
            <w:pPr/>
            <w:r>
              <w:t xml:space="preserve">Why it matters</w:t>
            </w:r>
          </w:p>
        </w:tc>
      </w:tr>
      <w:tr>
        <w:tc>
          <w:tcPr>
            <w:tcW w:w="2340" w:type="dxa"/>
          </w:tcPr>
          <w:p>
            <w:pPr/>
            <w:r>
              <w:t xml:space="preserve">Break-even revenue (fixed cost ÷ gross margin)</w:t>
            </w:r>
          </w:p>
        </w:tc>
        <w:tc>
          <w:tcPr>
            <w:tcW w:w="2340" w:type="dxa"/>
          </w:tcPr>
          <w:p>
            <w:pPr/>
            <w:r>
              <w:t xml:space="preserve">Rp932m, 38% below plan</w:t>
            </w:r>
          </w:p>
        </w:tc>
        <w:tc>
          <w:tcPr>
            <w:tcW w:w="2340" w:type="dxa"/>
          </w:tcPr>
          <w:p>
            <w:pPr/>
            <w:r>
              <w:t xml:space="preserve">Plan at least 30% above break-even</w:t>
            </w:r>
          </w:p>
        </w:tc>
        <w:tc>
          <w:tcPr>
            <w:tcW w:w="2340" w:type="dxa"/>
          </w:tcPr>
          <w:p>
            <w:pPr/>
            <w:r>
              <w:t xml:space="preserve">How far sales can fall before a loss</w:t>
            </w:r>
          </w:p>
        </w:tc>
      </w:tr>
      <w:tr>
        <w:tc>
          <w:tcPr>
            <w:tcW w:w="2340" w:type="dxa"/>
          </w:tcPr>
          <w:p>
            <w:pPr/>
            <w:r>
              <w:t xml:space="preserve">Gross margin</w:t>
            </w:r>
          </w:p>
        </w:tc>
        <w:tc>
          <w:tcPr>
            <w:tcW w:w="2340" w:type="dxa"/>
          </w:tcPr>
          <w:p>
            <w:pPr/>
            <w:r>
              <w:t xml:space="preserve">68%</w:t>
            </w:r>
          </w:p>
        </w:tc>
        <w:tc>
          <w:tcPr>
            <w:tcW w:w="2340" w:type="dxa"/>
          </w:tcPr>
          <w:p>
            <w:pPr/>
            <w:r>
              <w:t xml:space="preserve">Above 60%</w:t>
            </w:r>
          </w:p>
        </w:tc>
        <w:tc>
          <w:tcPr>
            <w:tcW w:w="2340" w:type="dxa"/>
          </w:tcPr>
          <w:p>
            <w:pPr/>
            <w:r>
              <w:t xml:space="preserve">Room to pay fixed costs and grow</w:t>
            </w:r>
          </w:p>
        </w:tc>
      </w:tr>
      <w:tr>
        <w:tc>
          <w:tcPr>
            <w:tcW w:w="2340" w:type="dxa"/>
          </w:tcPr>
          <w:p>
            <w:pPr/>
            <w:r>
              <w:t xml:space="preserve">Gross profit per facilitator-day</w:t>
            </w:r>
          </w:p>
        </w:tc>
        <w:tc>
          <w:tcPr>
            <w:tcW w:w="2340" w:type="dxa"/>
          </w:tcPr>
          <w:p>
            <w:pPr/>
            <w:r>
              <w:t xml:space="preserve">Rp9.1m</w:t>
            </w:r>
          </w:p>
        </w:tc>
        <w:tc>
          <w:tcPr>
            <w:tcW w:w="2340" w:type="dxa"/>
          </w:tcPr>
          <w:p>
            <w:pPr/>
            <w:r>
              <w:t xml:space="preserve">Rising each year</w:t>
            </w:r>
          </w:p>
        </w:tc>
        <w:tc>
          <w:tcPr>
            <w:tcW w:w="2340" w:type="dxa"/>
          </w:tcPr>
          <w:p>
            <w:pPr/>
            <w:r>
              <w:t xml:space="preserve">Value of the scarcest resource: trained people's time</w:t>
            </w:r>
          </w:p>
        </w:tc>
      </w:tr>
      <w:tr>
        <w:tc>
          <w:tcPr>
            <w:tcW w:w="2340" w:type="dxa"/>
          </w:tcPr>
          <w:p>
            <w:pPr/>
            <w:r>
              <w:t xml:space="preserve">Facilitator pool in use</w:t>
            </w:r>
          </w:p>
        </w:tc>
        <w:tc>
          <w:tcPr>
            <w:tcW w:w="2340" w:type="dxa"/>
          </w:tcPr>
          <w:p>
            <w:pPr/>
            <w:r>
              <w:t xml:space="preserve">43% (72 of 168 possible placements)</w:t>
            </w:r>
          </w:p>
        </w:tc>
        <w:tc>
          <w:tcPr>
            <w:tcW w:w="2340" w:type="dxa"/>
          </w:tcPr>
          <w:p>
            <w:pPr/>
            <w:r>
              <w:t xml:space="preserve">60–80%</w:t>
            </w:r>
          </w:p>
        </w:tc>
        <w:tc>
          <w:tcPr>
            <w:tcW w:w="2340" w:type="dxa"/>
          </w:tcPr>
          <w:p>
            <w:pPr/>
            <w:r>
              <w:t xml:space="preserve">Room to grow before training more facilitators</w:t>
            </w:r>
          </w:p>
        </w:tc>
      </w:tr>
      <w:tr>
        <w:tc>
          <w:tcPr>
            <w:tcW w:w="2340" w:type="dxa"/>
          </w:tcPr>
          <w:p>
            <w:pPr/>
            <w:r>
              <w:t xml:space="preserve">Recurring revenue (bank EAP subscription)</w:t>
            </w:r>
          </w:p>
        </w:tc>
        <w:tc>
          <w:tcPr>
            <w:tcW w:w="2340" w:type="dxa"/>
          </w:tcPr>
          <w:p>
            <w:pPr/>
            <w:r>
              <w:t xml:space="preserve">12% of revenue</w:t>
            </w:r>
          </w:p>
        </w:tc>
        <w:tc>
          <w:tcPr>
            <w:tcW w:w="2340" w:type="dxa"/>
          </w:tcPr>
          <w:p>
            <w:pPr/>
            <w:r>
              <w:t xml:space="preserve">30% or more</w:t>
            </w:r>
          </w:p>
        </w:tc>
        <w:tc>
          <w:tcPr>
            <w:tcW w:w="2340" w:type="dxa"/>
          </w:tcPr>
          <w:p>
            <w:pPr/>
            <w:r>
              <w:t xml:space="preserve">Income that arrives without a new sale each month</w:t>
            </w:r>
          </w:p>
        </w:tc>
      </w:tr>
      <w:tr>
        <w:tc>
          <w:tcPr>
            <w:tcW w:w="2340" w:type="dxa"/>
          </w:tcPr>
          <w:p>
            <w:pPr/>
            <w:r>
              <w:t xml:space="preserve">Largest client (BI)</w:t>
            </w:r>
          </w:p>
        </w:tc>
        <w:tc>
          <w:tcPr>
            <w:tcW w:w="2340" w:type="dxa"/>
          </w:tcPr>
          <w:p>
            <w:pPr/>
            <w:r>
              <w:t xml:space="preserve">61% of revenue</w:t>
            </w:r>
          </w:p>
        </w:tc>
        <w:tc>
          <w:tcPr>
            <w:tcW w:w="2340" w:type="dxa"/>
          </w:tcPr>
          <w:p>
            <w:pPr/>
            <w:r>
              <w:t xml:space="preserve">Below 40%</w:t>
            </w:r>
          </w:p>
        </w:tc>
        <w:tc>
          <w:tcPr>
            <w:tcW w:w="2340" w:type="dxa"/>
          </w:tcPr>
          <w:p>
            <w:pPr/>
            <w:r>
              <w:t xml:space="preserve">One budget cut should not threaten the business</w:t>
            </w:r>
          </w:p>
        </w:tc>
      </w:tr>
      <w:tr>
        <w:tc>
          <w:tcPr>
            <w:tcW w:w="2340" w:type="dxa"/>
          </w:tcPr>
          <w:p>
            <w:pPr/>
            <w:r>
              <w:t xml:space="preserve">Revenue in Q4</w:t>
            </w:r>
          </w:p>
        </w:tc>
        <w:tc>
          <w:tcPr>
            <w:tcW w:w="2340" w:type="dxa"/>
          </w:tcPr>
          <w:p>
            <w:pPr/>
            <w:r>
              <w:t xml:space="preserve">40%</w:t>
            </w:r>
          </w:p>
        </w:tc>
        <w:tc>
          <w:tcPr>
            <w:tcW w:w="2340" w:type="dxa"/>
          </w:tcPr>
          <w:p>
            <w:pPr/>
            <w:r>
              <w:t xml:space="preserve">Below 30%</w:t>
            </w:r>
          </w:p>
        </w:tc>
        <w:tc>
          <w:tcPr>
            <w:tcW w:w="2340" w:type="dxa"/>
          </w:tcPr>
          <w:p>
            <w:pPr/>
            <w:r>
              <w:t xml:space="preserve">Uneven months need a larger cash buffer</w:t>
            </w:r>
          </w:p>
        </w:tc>
      </w:tr>
      <w:tr>
        <w:tc>
          <w:tcPr>
            <w:tcW w:w="2340" w:type="dxa"/>
          </w:tcPr>
          <w:p>
            <w:pPr/>
            <w:r>
              <w:t xml:space="preserve">Cash at end of 2027</w:t>
            </w:r>
          </w:p>
        </w:tc>
        <w:tc>
          <w:tcPr>
            <w:tcW w:w="2340" w:type="dxa"/>
          </w:tcPr>
          <w:p>
            <w:pPr/>
            <w:r>
              <w:t xml:space="preserve">Rp733m, about 14 months of fixed cost</w:t>
            </w:r>
          </w:p>
        </w:tc>
        <w:tc>
          <w:tcPr>
            <w:tcW w:w="2340" w:type="dxa"/>
          </w:tcPr>
          <w:p>
            <w:pPr/>
            <w:r>
              <w:t xml:space="preserve">At least 6 months</w:t>
            </w:r>
          </w:p>
        </w:tc>
        <w:tc>
          <w:tcPr>
            <w:tcW w:w="2340" w:type="dxa"/>
          </w:tcPr>
          <w:p>
            <w:pPr/>
            <w:r>
              <w:t xml:space="preserve">Money to fund growth without outside investors</w:t>
            </w:r>
          </w:p>
        </w:tc>
      </w:tr>
      <w:tr>
        <w:tc>
          <w:tcPr>
            <w:tcW w:w="2340" w:type="dxa"/>
          </w:tcPr>
          <w:p>
            <w:pPr/>
            <w:r>
              <w:t xml:space="preserve">Fixed cost per B2B event</w:t>
            </w:r>
          </w:p>
        </w:tc>
        <w:tc>
          <w:tcPr>
            <w:tcW w:w="2340" w:type="dxa"/>
          </w:tcPr>
          <w:p>
            <w:pPr/>
            <w:r>
              <w:t xml:space="preserve">Rp24m</w:t>
            </w:r>
          </w:p>
        </w:tc>
        <w:tc>
          <w:tcPr>
            <w:tcW w:w="2340" w:type="dxa"/>
          </w:tcPr>
          <w:p>
            <w:pPr/>
            <w:r>
              <w:t xml:space="preserve">Falling as volume grows</w:t>
            </w:r>
          </w:p>
        </w:tc>
        <w:tc>
          <w:tcPr>
            <w:tcW w:w="2340" w:type="dxa"/>
          </w:tcPr>
          <w:p>
            <w:pPr/>
            <w:r>
              <w:t xml:space="preserve">Shows whether the fixed team is used fully</w:t>
            </w:r>
          </w:p>
        </w:tc>
      </w:tr>
    </w:tbl>
    <w:p>
      <w:pPr/>
      <w:r>
        <w:t xml:space="preserve">Not yet calculated, in order of importance:</w:t>
      </w:r>
    </w:p>
    <w:p>
      <w:pPr>
        <w:pStyle w:val="ListParagraph"/>
        <w:numPr>
          <w:ilvl w:val="0"/>
          <w:numId w:val="6"/>
        </w:numPr>
      </w:pPr>
      <w:r>
        <w:rPr>
          <w:b/>
        </w:rPr>
        <w:t xml:space="preserve">Founder selling capacity.</w:t>
      </w:r>
      <w:r>
        <w:t xml:space="preserve"> The founders now do all the selling, and one founder studies in Singapore. The model does not limit how many deals the founders can win and run. This is likely the first real ceiling on growth.</w:t>
      </w:r>
    </w:p>
    <w:p>
      <w:pPr>
        <w:pStyle w:val="ListParagraph"/>
        <w:numPr>
          <w:ilvl w:val="0"/>
          <w:numId w:val="6"/>
        </w:numPr>
      </w:pPr>
      <w:r>
        <w:rPr>
          <w:b/>
        </w:rPr>
        <w:t xml:space="preserve">A three-year plan (2027–2029).</w:t>
      </w:r>
      <w:r>
        <w:t xml:space="preserve"> This would show when the next fixed-cost steps arrive (an Account Manager, more facilitators, a second PM), and how much profit is left to reinvest each year.</w:t>
      </w:r>
    </w:p>
    <w:p>
      <w:pPr>
        <w:pStyle w:val="ListParagraph"/>
        <w:numPr>
          <w:ilvl w:val="0"/>
          <w:numId w:val="6"/>
        </w:numPr>
      </w:pPr>
      <w:r>
        <w:rPr>
          <w:b/>
        </w:rPr>
        <w:t xml:space="preserve">Client retention and lifetime value.</w:t>
      </w:r>
      <w:r>
        <w:t xml:space="preserve"> How many repeat programs each client buys per year. This decides how much a new client is worth winning.</w:t>
      </w:r>
    </w:p>
    <w:p>
      <w:pPr>
        <w:pStyle w:val="ListParagraph"/>
        <w:numPr>
          <w:ilvl w:val="0"/>
          <w:numId w:val="6"/>
        </w:numPr>
      </w:pPr>
      <w:r>
        <w:rPr>
          <w:b/>
        </w:rPr>
        <w:t xml:space="preserve">Coreitera's own profit and loss.</w:t>
      </w:r>
      <w:r>
        <w:t xml:space="preserve"> The assessment fee is about Rp84m of Coreitera revenue in 2027. Its own costs are not in this model.</w:t>
      </w:r>
    </w:p>
    <w:p>
      <w:pPr>
        <w:pStyle w:val="ListParagraph"/>
        <w:numPr>
          <w:ilvl w:val="0"/>
          <w:numId w:val="6"/>
        </w:numPr>
      </w:pPr>
      <w:r>
        <w:rPr>
          <w:b/>
        </w:rPr>
        <w:t xml:space="preserve">A reinvestment rule.</w:t>
      </w:r>
      <w:r>
        <w:t xml:space="preserve"> How much profit to keep as a cash buffer and how much to put into growth.</w:t>
      </w:r>
    </w:p>
    <w:p>
      <w:pPr>
        <w:pStyle w:val="ListParagraph"/>
        <w:numPr>
          <w:ilvl w:val="0"/>
          <w:numId w:val="6"/>
        </w:numPr>
      </w:pPr>
      <w:r>
        <w:rPr>
          <w:b/>
        </w:rPr>
        <w:t xml:space="preserve">Balance sheet and full tax.</w:t>
      </w:r>
      <w:r>
        <w:t xml:space="preserve"> The model is profit and cash only. It has no balance sheet, and the tax treatment is simplified.</w:t>
      </w:r>
    </w:p>
    <w:p>
      <w:pPr>
        <w:pStyle w:val="Heading2"/>
      </w:pPr>
      <w:r>
        <w:t xml:space="preserve">Known weaknesses: what to check first</w:t>
      </w:r>
    </w:p>
    <w:p>
      <w:pPr/>
      <w:r>
        <w:t xml:space="preserve">These are the points most likely to change the answer. A reviewer can tick each one off.</w:t>
      </w:r>
    </w:p>
    <w:p>
      <w:pPr>
        <w:pStyle w:val="ListParagraph"/>
        <w:numPr>
          <w:ilvl w:val="0"/>
          <w:numId w:val="7"/>
        </w:numPr>
      </w:pPr>
      <w:r>
        <w:t xml:space="preserve">☐ </w:t>
      </w:r>
      <w:r>
        <w:rPr>
          <w:b/>
        </w:rPr>
        <w:t xml:space="preserve">Staff pay is below the Jakarta minimum wage, with no BPJS or holiday bonus (THR).</w:t>
      </w:r>
      <w:r>
        <w:t xml:space="preserve"> This is a founder decision. If five staff were paid the minimum wage (about Rp5.4m in 2025) plus about 18% for BPJS and THR, 2027 net profit would fall to about Rp140m (about 10%).</w:t>
      </w:r>
    </w:p>
    <w:p>
      <w:pPr>
        <w:pStyle w:val="ListParagraph"/>
        <w:numPr>
          <w:ilvl w:val="0"/>
          <w:numId w:val="7"/>
        </w:numPr>
      </w:pPr>
      <w:r>
        <w:t xml:space="preserve">☐ </w:t>
      </w:r>
      <w:r>
        <w:rPr>
          <w:b/>
        </w:rPr>
        <w:t xml:space="preserve">Volumes are a plan, not signed work.</w:t>
      </w:r>
      <w:r>
        <w:t xml:space="preserve"> Which Q4 2026 events are confirmed? Is the bank EAP subscription (Rp15m a month, 12% of revenue) actually running?</w:t>
      </w:r>
    </w:p>
    <w:p>
      <w:pPr>
        <w:pStyle w:val="ListParagraph"/>
        <w:numPr>
          <w:ilvl w:val="0"/>
          <w:numId w:val="7"/>
        </w:numPr>
      </w:pPr>
      <w:r>
        <w:t xml:space="preserve">☐ </w:t>
      </w:r>
      <w:r>
        <w:rPr>
          <w:b/>
        </w:rPr>
        <w:t xml:space="preserve">New prices are not yet accepted.</w:t>
      </w:r>
      <w:r>
        <w:t xml:space="preserve"> The regulator prices assume their budget limits are above the SBM guide. The private-bank price relies on the founders' 2–3x estimate.</w:t>
      </w:r>
    </w:p>
    <w:p>
      <w:pPr>
        <w:pStyle w:val="ListParagraph"/>
        <w:numPr>
          <w:ilvl w:val="0"/>
          <w:numId w:val="7"/>
        </w:numPr>
      </w:pPr>
      <w:r>
        <w:t xml:space="preserve">☐ </w:t>
      </w:r>
      <w:r>
        <w:rPr>
          <w:b/>
        </w:rPr>
        <w:t xml:space="preserve">Tax.</w:t>
      </w:r>
      <w:r>
        <w:t xml:space="preserve"> The model assumes the 0.5% final tax on revenue (PP 55/2022) applies, and that VAT passes through. Check eligibility and how BI, LPS and banks withhold tax.</w:t>
      </w:r>
    </w:p>
    <w:p>
      <w:pPr>
        <w:pStyle w:val="ListParagraph"/>
        <w:numPr>
          <w:ilvl w:val="0"/>
          <w:numId w:val="7"/>
        </w:numPr>
      </w:pPr>
      <w:r>
        <w:t xml:space="preserve">☐ </w:t>
      </w:r>
      <w:r>
        <w:rPr>
          <w:b/>
        </w:rPr>
        <w:t xml:space="preserve">Payment timing for new clients.</w:t>
      </w:r>
      <w:r>
        <w:t xml:space="preserve"> Bank payment patterns are estimates. Longer delays would lower the cash figures, but not profit.</w:t>
      </w:r>
    </w:p>
    <w:p>
      <w:pPr>
        <w:pStyle w:val="ListParagraph"/>
        <w:numPr>
          <w:ilvl w:val="0"/>
          <w:numId w:val="7"/>
        </w:numPr>
      </w:pPr>
      <w:r>
        <w:t xml:space="preserve">☐ </w:t>
      </w:r>
      <w:r>
        <w:rPr>
          <w:b/>
        </w:rPr>
        <w:t xml:space="preserve">Travel for regional events.</w:t>
      </w:r>
      <w:r>
        <w:t xml:space="preserve"> The model assumes BI pays it. If Teman Journey pays, each KPW event loses about Rp6m of profit.</w:t>
      </w:r>
    </w:p>
    <w:p>
      <w:pPr>
        <w:pStyle w:val="ListParagraph"/>
        <w:numPr>
          <w:ilvl w:val="0"/>
          <w:numId w:val="7"/>
        </w:numPr>
      </w:pPr>
      <w:r>
        <w:t xml:space="preserve">☐ </w:t>
      </w:r>
      <w:r>
        <w:rPr>
          <w:b/>
        </w:rPr>
        <w:t xml:space="preserve">Coreitera fee.</w:t>
      </w:r>
      <w:r>
        <w:t xml:space="preserve"> It is treated as an internal cost. If the two companies have different owners, the 3x price check should include it, and KPW would need Rp26m.</w:t>
      </w:r>
    </w:p>
    <w:p>
      <w:pPr>
        <w:pStyle w:val="ListParagraph"/>
        <w:numPr>
          <w:ilvl w:val="0"/>
          <w:numId w:val="7"/>
        </w:numPr>
      </w:pPr>
      <w:r>
        <w:t xml:space="preserve">☐ </w:t>
      </w:r>
      <w:r>
        <w:rPr>
          <w:b/>
        </w:rPr>
        <w:t xml:space="preserve">Monthly, not weekly.</w:t>
      </w:r>
      <w:r>
        <w:t xml:space="preserve"> BI pays on the 1st and salaries go out on the 25th. A weekly cash view would show the true low point inside each month.</w:t>
      </w:r>
    </w:p>
    <w:p>
      <w:pPr>
        <w:pStyle w:val="Heading2"/>
      </w:pPr>
      <w:r>
        <w:t xml:space="preserve">Sources</w:t>
      </w:r>
    </w:p>
    <w:p>
      <w:pPr>
        <w:pStyle w:val="ListParagraph"/>
        <w:numPr>
          <w:ilvl w:val="0"/>
          <w:numId w:val="8"/>
        </w:numPr>
      </w:pPr>
      <w:r>
        <w:t xml:space="preserve">Workbook: TemanJourney_Model_2027_v13.xlsx (founders' copy), built from the founders' earlier cash simulation (v10) and their 2027 budget.</w:t>
      </w:r>
    </w:p>
    <w:p>
      <w:pPr>
        <w:pStyle w:val="ListParagraph"/>
        <w:numPr>
          <w:ilvl w:val="0"/>
          <w:numId w:val="8"/>
        </w:numPr>
      </w:pPr>
      <w:hyperlink r:id="rId3" w:history="1">
        <w:r>
          <w:rPr>
            <w:rStyle w:val="Hyperlink"/>
          </w:rPr>
          <w:t xml:space="preserve">FullRatio – profit margin by industry</w:t>
        </w:r>
      </w:hyperlink>
      <w:r>
        <w:t xml:space="preserve"> (listed education and training firms: about 54% gross and 5% net margin; mostly companies outside ASEAN)</w:t>
      </w:r>
    </w:p>
    <w:p>
      <w:pPr>
        <w:pStyle w:val="ListParagraph"/>
        <w:numPr>
          <w:ilvl w:val="0"/>
          <w:numId w:val="8"/>
        </w:numPr>
      </w:pPr>
      <w:hyperlink r:id="rId4" w:history="1">
        <w:r>
          <w:rPr>
            <w:rStyle w:val="Hyperlink"/>
          </w:rPr>
          <w:t xml:space="preserve">HRD Corp – Allowable Cost Matrix, Jan 2026</w:t>
        </w:r>
      </w:hyperlink>
    </w:p>
    <w:p>
      <w:pPr>
        <w:pStyle w:val="ListParagraph"/>
        <w:numPr>
          <w:ilvl w:val="0"/>
          <w:numId w:val="8"/>
        </w:numPr>
      </w:pPr>
      <w:hyperlink r:id="rId5" w:history="1">
        <w:r>
          <w:rPr>
            <w:rStyle w:val="Hyperlink"/>
          </w:rPr>
          <w:t xml:space="preserve">PMK 32/2025 – SBM 2026</w:t>
        </w:r>
      </w:hyperlink>
    </w:p>
    <w:p>
      <w:pPr>
        <w:pStyle w:val="ListParagraph"/>
        <w:numPr>
          <w:ilvl w:val="0"/>
          <w:numId w:val="8"/>
        </w:numPr>
      </w:pPr>
      <w:hyperlink r:id="rId6" w:history="1">
        <w:r>
          <w:rPr>
            <w:rStyle w:val="Hyperlink"/>
          </w:rPr>
          <w:t xml:space="preserve">Rakyat Bengkulu – SBM 2026 speaker fee rates</w:t>
        </w:r>
      </w:hyperlink>
    </w:p>
    <w:p>
      <w:pPr>
        <w:pStyle w:val="ListParagraph"/>
        <w:numPr>
          <w:ilvl w:val="0"/>
          <w:numId w:val="8"/>
        </w:numPr>
      </w:pPr>
      <w:hyperlink r:id="rId7" w:history="1">
        <w:r>
          <w:rPr>
            <w:rStyle w:val="Hyperlink"/>
          </w:rPr>
          <w:t xml:space="preserve">Jumanto – expert speaker fee (Rp1.7m per hour)</w:t>
        </w:r>
      </w:hyperlink>
    </w:p>
    <w:p>
      <w:pPr>
        <w:pStyle w:val="ListParagraph"/>
        <w:numPr>
          <w:ilvl w:val="0"/>
          <w:numId w:val="8"/>
        </w:numPr>
      </w:pPr>
      <w:hyperlink r:id="rId8" w:history="1">
        <w:r>
          <w:rPr>
            <w:rStyle w:val="Hyperlink"/>
          </w:rPr>
          <w:t xml:space="preserve">Doyan Duit – SBM training fees (outside trainer Rp300k per lesson)</w:t>
        </w:r>
      </w:hyperlink>
    </w:p>
    <w:p>
      <w:pPr>
        <w:pStyle w:val="ListParagraph"/>
        <w:numPr>
          <w:ilvl w:val="0"/>
          <w:numId w:val="8"/>
        </w:numPr>
      </w:pPr>
      <w:hyperlink r:id="rId9" w:history="1">
        <w:r>
          <w:rPr>
            <w:rStyle w:val="Hyperlink"/>
          </w:rPr>
          <w:t xml:space="preserve">Komunitas Belajar – PMK 54/2026 (SBM 2027)</w:t>
        </w:r>
      </w:hyperlink>
    </w:p>
    <w:p>
      <w:pPr>
        <w:pStyle w:val="ListParagraph"/>
        <w:numPr>
          <w:ilvl w:val="0"/>
          <w:numId w:val="8"/>
        </w:numPr>
      </w:pPr>
      <w:hyperlink r:id="rId10" w:history="1">
        <w:r>
          <w:rPr>
            <w:rStyle w:val="Hyperlink"/>
          </w:rPr>
          <w:t xml:space="preserve">Kemenkeu – how a buyer sets its price limit (HPS), Perpres 12/2021 Article 26</w:t>
        </w:r>
      </w:hyperlink>
    </w:p>
    <w:p>
      <w:pP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0"/>
  </w:num>
  <w:num w:numId="6">
    <w:abstractNumId w:val="1"/>
    <w:lvlOverride w:ilvl="0">
      <w:startOverride w:val="1"/>
    </w:lvlOverride>
  </w:num>
  <w:num w:numId="7">
    <w:abstractNumId w:val="0"/>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fullratio.com/profit-margin-by-industry" TargetMode="External"/><Relationship Id="rId4" Type="http://schemas.openxmlformats.org/officeDocument/2006/relationships/hyperlink" Target="https://hrdcorp.gov.my/wp-content/uploads/2025/12/Jan-2026-Version_Allowable-Cost-Matrix-2025.pdf" TargetMode="External"/><Relationship Id="rId5" Type="http://schemas.openxmlformats.org/officeDocument/2006/relationships/hyperlink" Target="https://jdih.kemenkoinfra.go.id/pmk-322025-standar-biaya-masukan-tahun-anggaran-2026" TargetMode="External"/><Relationship Id="rId6" Type="http://schemas.openxmlformats.org/officeDocument/2006/relationships/hyperlink" Target="https://rakyatbengkulu.disway.id/news/read/715550/pmk-terbaru-atur-honorarium-narasumber-hingga-saksi-ahli-2026-tertinggi-capai-rp56-juta/15" TargetMode="External"/><Relationship Id="rId7" Type="http://schemas.openxmlformats.org/officeDocument/2006/relationships/hyperlink" Target="https://www.jumanto.net/honor-narasumber/" TargetMode="External"/><Relationship Id="rId8" Type="http://schemas.openxmlformats.org/officeDocument/2006/relationships/hyperlink" Target="https://doyanduit.com/news/satuan-honor-narasumber-di-aturan-honorarium-penyelenggaraan-kegiatan-pendidikan-dan-pelatihan-diklat-2025/" TargetMode="External"/><Relationship Id="rId9" Type="http://schemas.openxmlformats.org/officeDocument/2006/relationships/hyperlink" Target="https://www.komunitasbelajar.id/2026/08/pmk-54-tahun-2026-standar-biaya-masukan-sbm-2027.html" TargetMode="External"/><Relationship Id="rId10" Type="http://schemas.openxmlformats.org/officeDocument/2006/relationships/hyperlink" Target="https://klc2.kemenkeu.go.id/kms/knowledge/harga-perkiraan-sendiri-pasal-26-perpres-nomor-12-tahun-2021-39772a38/detail/"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Teman Journey 2027 Financial Review</dc:title>
  <dc:description>Claude Docs node/4b7c6063-b88b@11 docx-w6</dc:description>
  <cp:revision>11</cp:revision>
</cp:coreProperties>
</file>