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PERJANJIAN KEMITRAAN STRATEGIC PARTNERSHIP</w:t>
      </w:r>
    </w:p>
    <w:p>
      <w:pPr>
        <w:pStyle w:val="Subtitle"/>
      </w:pPr>
      <w:r>
        <w:t xml:space="preserve">Nomor: [___]/PKS-SP/TJ/[bulan]/[tahun]</w:t>
      </w:r>
    </w:p>
    <w:p>
      <w:pPr>
        <w:pStyle w:val="FirstParagraph"/>
      </w:pPr>
      <w:r>
        <w:t xml:space="preserve">Perjanjian Kemitraan ini (</w:t>
      </w:r>
      <w:r>
        <w:t xml:space="preserve">“Perjanjian”</w:t>
      </w:r>
      <w:r>
        <w:t xml:space="preserve">) dibuat dan ditandatangani di Jakarta pada hari [___], tanggal [___], oleh dan antara:</w:t>
      </w:r>
    </w:p>
    <w:p>
      <w:pPr>
        <w:pStyle w:val="BodyText"/>
      </w:pPr>
      <w:r>
        <w:t xml:space="preserve">I.</w:t>
      </w:r>
      <w:r>
        <w:t xml:space="preserve"> </w:t>
      </w:r>
      <w:r>
        <w:rPr>
          <w:b/>
          <w:bCs/>
        </w:rPr>
        <w:t xml:space="preserve">PT INDO MEDIKA RESOLUSI</w:t>
      </w:r>
      <w:r>
        <w:t xml:space="preserve">, perseroan terbatas yang menjalankan layanan psikologi dengan nama Teman Journey, beralamat di Jl. Masjid Annur No. 8, Menteng Dalam, Tebet, Jakarta Selatan 12870, dalam hal ini diwakili oleh Riskia Ramadhina Sukriananda, M.Psi., Psikolog, selaku Direktur [CEK: jabatan dan kewenangan menandatangani sesuai akta pendirian/perubahan terakhir], yang bertindak untuk dan atas nama PT Indo Medika Resolusi, selanjutnya disebut</w:t>
      </w:r>
      <w:r>
        <w:t xml:space="preserve"> </w:t>
      </w:r>
      <w:r>
        <w:rPr>
          <w:b/>
          <w:bCs/>
        </w:rPr>
        <w:t xml:space="preserve">“TEMAN JOURNEY”</w:t>
      </w:r>
      <w:r>
        <w:t xml:space="preserve">.</w:t>
      </w:r>
    </w:p>
    <w:p>
      <w:pPr>
        <w:pStyle w:val="Compact"/>
        <w:numPr>
          <w:ilvl w:val="0"/>
          <w:numId w:val="1001"/>
        </w:numPr>
      </w:pPr>
      <w:r>
        <w:rPr>
          <w:b/>
          <w:bCs/>
        </w:rPr>
        <w:t xml:space="preserve">Iza Nur Aviva</w:t>
      </w:r>
      <w:r>
        <w:t xml:space="preserve">, pemegang NIK [___], NPWP [___], beralamat di [___], nomor telepon [___], surel [___], bertindak untuk dan atas nama diri sendiri, selanjutnya disebut</w:t>
      </w:r>
      <w:r>
        <w:t xml:space="preserve"> </w:t>
      </w:r>
      <w:r>
        <w:rPr>
          <w:b/>
          <w:bCs/>
        </w:rPr>
        <w:t xml:space="preserve">“MITRA”</w:t>
      </w:r>
      <w:r>
        <w:t xml:space="preserve">.</w:t>
      </w:r>
    </w:p>
    <w:p>
      <w:pPr>
        <w:pStyle w:val="FirstParagraph"/>
      </w:pPr>
      <w:r>
        <w:t xml:space="preserve">TEMAN JOURNEY dan MITRA secara bersama-sama disebut</w:t>
      </w:r>
      <w:r>
        <w:t xml:space="preserve"> </w:t>
      </w:r>
      <w:r>
        <w:t xml:space="preserve">“Para Pihak”</w:t>
      </w:r>
      <w:r>
        <w:t xml:space="preserve"> </w:t>
      </w:r>
      <w:r>
        <w:t xml:space="preserve">dan masing-masing</w:t>
      </w:r>
      <w:r>
        <w:t xml:space="preserve"> </w:t>
      </w:r>
      <w:r>
        <w:t xml:space="preserve">“Pihak”</w:t>
      </w:r>
      <w:r>
        <w:t xml:space="preserve">.</w:t>
      </w:r>
    </w:p>
    <w:p>
      <w:pPr>
        <w:pStyle w:val="BodyText"/>
      </w:pPr>
      <w:r>
        <w:t xml:space="preserve">Para Pihak terlebih dahulu menerangkan bahwa:</w:t>
      </w:r>
    </w:p>
    <w:p>
      <w:pPr>
        <w:pStyle w:val="Compact"/>
        <w:numPr>
          <w:ilvl w:val="0"/>
          <w:numId w:val="1002"/>
        </w:numPr>
      </w:pPr>
      <w:r>
        <w:t xml:space="preserve">TEMAN JOURNEY menyediakan layanan asesmen psikologi, konseling, psikoedukasi, pelatihan, Mental Health Check-Up, dan program kesejahteraan karyawan kepada individu dan organisasi;</w:t>
      </w:r>
    </w:p>
    <w:p>
      <w:pPr>
        <w:pStyle w:val="Compact"/>
        <w:numPr>
          <w:ilvl w:val="0"/>
          <w:numId w:val="1002"/>
        </w:numPr>
      </w:pPr>
      <w:r>
        <w:t xml:space="preserve">MITRA memiliki jejaring dan keahlian dalam membangun kerja sama bisnis;</w:t>
      </w:r>
    </w:p>
    <w:p>
      <w:pPr>
        <w:pStyle w:val="Compact"/>
        <w:numPr>
          <w:ilvl w:val="0"/>
          <w:numId w:val="1002"/>
        </w:numPr>
      </w:pPr>
      <w:r>
        <w:t xml:space="preserve">Para Pihak sepakat menjalin kemitraan untuk membuka dan mengembangkan kerja sama dengan pihak ketiga, dengan ketentuan sebagai berikut.</w:t>
      </w:r>
    </w:p>
    <w:bookmarkStart w:id="9" w:name="pasal-1---definisi"/>
    <w:p>
      <w:pPr>
        <w:pStyle w:val="Heading2"/>
      </w:pPr>
      <w:r>
        <w:t xml:space="preserve">Pasal 1 - Definisi</w:t>
      </w:r>
    </w:p>
    <w:p>
      <w:pPr>
        <w:pStyle w:val="Compact"/>
        <w:numPr>
          <w:ilvl w:val="0"/>
          <w:numId w:val="1003"/>
        </w:numPr>
      </w:pPr>
      <w:r>
        <w:rPr>
          <w:b/>
          <w:bCs/>
        </w:rPr>
        <w:t xml:space="preserve">Klien</w:t>
      </w:r>
      <w:r>
        <w:t xml:space="preserve"> </w:t>
      </w:r>
      <w:r>
        <w:t xml:space="preserve">adalah pihak ketiga (perusahaan, institusi pendidikan, instansi pemerintah, komunitas, atau brand) yang menjalin kerja sama berbayar dengan TEMAN JOURNEY melalui upaya MITRA. Untuk institusi yang memiliki beberapa unit kerja (misalnya kantor pusat, kantor perwakilan, atau cabang), seluruh unit kerja dari institusi yang sama dihitung sebagai satu Klien.</w:t>
      </w:r>
    </w:p>
    <w:p>
      <w:pPr>
        <w:pStyle w:val="Compact"/>
        <w:numPr>
          <w:ilvl w:val="0"/>
          <w:numId w:val="1003"/>
        </w:numPr>
      </w:pPr>
      <w:r>
        <w:rPr>
          <w:b/>
          <w:bCs/>
        </w:rPr>
        <w:t xml:space="preserve">SPK</w:t>
      </w:r>
      <w:r>
        <w:t xml:space="preserve"> </w:t>
      </w:r>
      <w:r>
        <w:t xml:space="preserve">adalah Surat Perjanjian Kerja atau dokumen kerja sama lain antara TEMAN JOURNEY dan Klien yang ditandatangani pejabat berwenang TEMAN JOURNEY.</w:t>
      </w:r>
    </w:p>
    <w:p>
      <w:pPr>
        <w:pStyle w:val="Compact"/>
        <w:numPr>
          <w:ilvl w:val="0"/>
          <w:numId w:val="1003"/>
        </w:numPr>
      </w:pPr>
      <w:r>
        <w:rPr>
          <w:b/>
          <w:bCs/>
        </w:rPr>
        <w:t xml:space="preserve">Event</w:t>
      </w:r>
      <w:r>
        <w:t xml:space="preserve"> </w:t>
      </w:r>
      <w:r>
        <w:t xml:space="preserve">adalah seluruh layanan berbayar yang dilaksanakan TEMAN JOURNEY untuk Klien berdasarkan satu SPK. Satu SPK dihitung sebagai satu Event, berapa pun jumlah termin pembayaran atau tagihannya, termasuk kontrak tahunan yang dibayar per kuartal atau per semester.</w:t>
      </w:r>
    </w:p>
    <w:p>
      <w:pPr>
        <w:pStyle w:val="Compact"/>
        <w:numPr>
          <w:ilvl w:val="0"/>
          <w:numId w:val="1003"/>
        </w:numPr>
      </w:pPr>
      <w:r>
        <w:rPr>
          <w:b/>
          <w:bCs/>
        </w:rPr>
        <w:t xml:space="preserve">Daftar Harga</w:t>
      </w:r>
      <w:r>
        <w:t xml:space="preserve"> </w:t>
      </w:r>
      <w:r>
        <w:t xml:space="preserve">adalah daftar harga dasar layanan TEMAN JOURNEY dalam Lampiran C, termasuk perubahannya yang diberitahukan secara tertulis.</w:t>
      </w:r>
      <w:r>
        <w:t xml:space="preserve"> </w:t>
      </w:r>
      <w:r>
        <w:rPr>
          <w:b/>
          <w:bCs/>
        </w:rPr>
        <w:t xml:space="preserve">Harga Daftar</w:t>
      </w:r>
      <w:r>
        <w:t xml:space="preserve"> </w:t>
      </w:r>
      <w:r>
        <w:t xml:space="preserve">suatu Event adalah harga layanan dalam SPK menurut Daftar Harga.</w:t>
      </w:r>
    </w:p>
    <w:p>
      <w:pPr>
        <w:pStyle w:val="Compact"/>
        <w:numPr>
          <w:ilvl w:val="0"/>
          <w:numId w:val="1003"/>
        </w:numPr>
      </w:pPr>
      <w:r>
        <w:rPr>
          <w:b/>
          <w:bCs/>
        </w:rPr>
        <w:t xml:space="preserve">Harga Event</w:t>
      </w:r>
      <w:r>
        <w:t xml:space="preserve"> </w:t>
      </w:r>
      <w:r>
        <w:t xml:space="preserve">adalah nilai layanan dalam SPK, tidak termasuk Pajak Pertambahan Nilai (PPN) dan tidak termasuk biaya perjalanan atau biaya lain yang ditagihkan terpisah kepada Klien sebesar biaya aktual.</w:t>
      </w:r>
    </w:p>
    <w:p>
      <w:pPr>
        <w:pStyle w:val="Compact"/>
        <w:numPr>
          <w:ilvl w:val="0"/>
          <w:numId w:val="1003"/>
        </w:numPr>
      </w:pPr>
      <w:r>
        <w:rPr>
          <w:b/>
          <w:bCs/>
        </w:rPr>
        <w:t xml:space="preserve">Selisih di Atas Harga Daftar</w:t>
      </w:r>
      <w:r>
        <w:t xml:space="preserve"> </w:t>
      </w:r>
      <w:r>
        <w:t xml:space="preserve">adalah Harga Event dikurangi Harga Daftar, apabila hasilnya positif.</w:t>
      </w:r>
    </w:p>
    <w:p>
      <w:pPr>
        <w:pStyle w:val="Compact"/>
        <w:numPr>
          <w:ilvl w:val="0"/>
          <w:numId w:val="1003"/>
        </w:numPr>
      </w:pPr>
      <w:r>
        <w:rPr>
          <w:b/>
          <w:bCs/>
        </w:rPr>
        <w:t xml:space="preserve">EAP</w:t>
      </w:r>
      <w:r>
        <w:t xml:space="preserve"> </w:t>
      </w:r>
      <w:r>
        <w:t xml:space="preserve">(Employee Assistance Program) adalah program kesejahteraan karyawan berupa paket konseling, Mental Health Check-Up, laporan agregat, dan/atau psikoedukasi sebagaimana tercantum dalam Lampiran C bagian B.</w:t>
      </w:r>
      <w:r>
        <w:t xml:space="preserve"> </w:t>
      </w:r>
      <w:r>
        <w:rPr>
          <w:b/>
          <w:bCs/>
        </w:rPr>
        <w:t xml:space="preserve">EAP Tahunan</w:t>
      </w:r>
      <w:r>
        <w:t xml:space="preserve"> </w:t>
      </w:r>
      <w:r>
        <w:t xml:space="preserve">adalah EAP dengan masa kontrak paling sedikit 12 (dua belas) bulan.</w:t>
      </w:r>
    </w:p>
    <w:p>
      <w:pPr>
        <w:pStyle w:val="Compact"/>
        <w:numPr>
          <w:ilvl w:val="0"/>
          <w:numId w:val="1003"/>
        </w:numPr>
      </w:pPr>
      <w:r>
        <w:rPr>
          <w:b/>
          <w:bCs/>
        </w:rPr>
        <w:t xml:space="preserve">Biaya Standar</w:t>
      </w:r>
      <w:r>
        <w:t xml:space="preserve"> </w:t>
      </w:r>
      <w:r>
        <w:t xml:space="preserve">adalah biaya pelaksanaan Event yang dihitung dari kuantitas layanan dalam SPK dikalikan tarif dalam Lampiran B. Biaya di luar Lampiran B hanya dapat diperhitungkan apabila tercantum dalam estimasi biaya Event yang disampaikan kepada MITRA sebelum SPK ditandatangani.</w:t>
      </w:r>
    </w:p>
    <w:p>
      <w:pPr>
        <w:pStyle w:val="Compact"/>
        <w:numPr>
          <w:ilvl w:val="0"/>
          <w:numId w:val="1003"/>
        </w:numPr>
      </w:pPr>
      <w:r>
        <w:rPr>
          <w:b/>
          <w:bCs/>
        </w:rPr>
        <w:t xml:space="preserve">Pajak yang Dipotong Klien</w:t>
      </w:r>
      <w:r>
        <w:t xml:space="preserve"> </w:t>
      </w:r>
      <w:r>
        <w:t xml:space="preserve">adalah Pajak Penghasilan yang dipotong oleh Klien atas pembayaran Harga Event (misalnya PPh Pasal 23), sesuai bukti potong.</w:t>
      </w:r>
    </w:p>
    <w:p>
      <w:pPr>
        <w:pStyle w:val="Compact"/>
        <w:numPr>
          <w:ilvl w:val="0"/>
          <w:numId w:val="1003"/>
        </w:numPr>
      </w:pPr>
      <w:r>
        <w:rPr>
          <w:b/>
          <w:bCs/>
        </w:rPr>
        <w:t xml:space="preserve">Profit Bersih Event</w:t>
      </w:r>
      <w:r>
        <w:t xml:space="preserve"> </w:t>
      </w:r>
      <w:r>
        <w:t xml:space="preserve">adalah Harga Daftar dikurangi Biaya Standar dan Pajak yang Dipotong Klien atas Harga Daftar. Tidak ada pengurangan lain di luar ketiga komponen tersebut.</w:t>
      </w:r>
    </w:p>
    <w:p>
      <w:pPr>
        <w:pStyle w:val="Compact"/>
        <w:numPr>
          <w:ilvl w:val="0"/>
          <w:numId w:val="1003"/>
        </w:numPr>
      </w:pPr>
      <w:r>
        <w:rPr>
          <w:b/>
          <w:bCs/>
        </w:rPr>
        <w:t xml:space="preserve">Margin Bersih Event</w:t>
      </w:r>
      <w:r>
        <w:t xml:space="preserve"> </w:t>
      </w:r>
      <w:r>
        <w:t xml:space="preserve">adalah Profit Bersih Event dibagi Harga Daftar, dinyatakan dalam persen.</w:t>
      </w:r>
    </w:p>
    <w:p>
      <w:pPr>
        <w:pStyle w:val="Compact"/>
        <w:numPr>
          <w:ilvl w:val="0"/>
          <w:numId w:val="1003"/>
        </w:numPr>
      </w:pPr>
      <w:r>
        <w:rPr>
          <w:b/>
          <w:bCs/>
        </w:rPr>
        <w:t xml:space="preserve">Deal Penutupan</w:t>
      </w:r>
      <w:r>
        <w:t xml:space="preserve"> </w:t>
      </w:r>
      <w:r>
        <w:t xml:space="preserve">adalah SPK dengan Harga Event paling sedikit Rp10.000.000 (sepuluh juta rupiah) yang memenuhi kriteria penutupan dalam Pasal 5 ayat (2) atau Pasal 6 ayat (1). Deal Penutupan dihitung secara kumulatif dari seluruh Klien MITRA sejak Perjanjian ini ditandatangani, termasuk selama perpanjangannya.</w:t>
      </w:r>
    </w:p>
    <w:p>
      <w:pPr>
        <w:pStyle w:val="Compact"/>
        <w:numPr>
          <w:ilvl w:val="0"/>
          <w:numId w:val="1003"/>
        </w:numPr>
      </w:pPr>
      <w:r>
        <w:rPr>
          <w:b/>
          <w:bCs/>
        </w:rPr>
        <w:t xml:space="preserve">Semester</w:t>
      </w:r>
      <w:r>
        <w:t xml:space="preserve"> </w:t>
      </w:r>
      <w:r>
        <w:t xml:space="preserve">adalah periode 6 (enam) bulan yang dimulai pada tanggal Perjanjian ini ditandatangani, dan setiap periode 6 (enam) bulan berikutnya selama Perjanjian berlaku.</w:t>
      </w:r>
    </w:p>
    <w:p>
      <w:pPr>
        <w:pStyle w:val="Compact"/>
        <w:numPr>
          <w:ilvl w:val="0"/>
          <w:numId w:val="1003"/>
        </w:numPr>
      </w:pPr>
      <w:r>
        <w:rPr>
          <w:b/>
          <w:bCs/>
        </w:rPr>
        <w:t xml:space="preserve">Daftar Prospek</w:t>
      </w:r>
      <w:r>
        <w:t xml:space="preserve"> </w:t>
      </w:r>
      <w:r>
        <w:t xml:space="preserve">adalah catatan calon Klien yang didaftarkan MITRA dan dikonfirmasi oleh TEMAN JOURNEY.</w:t>
      </w:r>
    </w:p>
    <w:bookmarkEnd w:id="9"/>
    <w:bookmarkStart w:id="10" w:name="pasal-2---ruang-lingkup-kemitraan"/>
    <w:p>
      <w:pPr>
        <w:pStyle w:val="Heading2"/>
      </w:pPr>
      <w:r>
        <w:t xml:space="preserve">Pasal 2 - Ruang Lingkup Kemitraan</w:t>
      </w:r>
    </w:p>
    <w:p>
      <w:pPr>
        <w:pStyle w:val="Compact"/>
        <w:numPr>
          <w:ilvl w:val="0"/>
          <w:numId w:val="1004"/>
        </w:numPr>
      </w:pPr>
      <w:r>
        <w:t xml:space="preserve">MITRA melakukan upaya membuka, menegosiasikan, dan memelihara kerja sama antara TEMAN JOURNEY dan Klien, sebagaimana diuraikan dalam dokumen Kualifikasi &amp; Lingkup Peran yang menjadi lampiran tidak terpisahkan dari Perjanjian ini.</w:t>
      </w:r>
    </w:p>
    <w:p>
      <w:pPr>
        <w:pStyle w:val="Compact"/>
        <w:numPr>
          <w:ilvl w:val="0"/>
          <w:numId w:val="1004"/>
        </w:numPr>
      </w:pPr>
      <w:r>
        <w:t xml:space="preserve">TEMAN JOURNEY menyediakan materi penawaran, profil layanan, templat proposal, Daftar Harga, perhitungan biaya, serta pelaksanaan layanan kepada Klien.</w:t>
      </w:r>
    </w:p>
    <w:p>
      <w:pPr>
        <w:pStyle w:val="Compact"/>
        <w:numPr>
          <w:ilvl w:val="0"/>
          <w:numId w:val="1004"/>
        </w:numPr>
      </w:pPr>
      <w:r>
        <w:t xml:space="preserve">Pelaksanaan layanan psikologi kepada Klien sepenuhnya menjadi tanggung jawab TEMAN JOURNEY dan psikolog yang ditunjuknya.</w:t>
      </w:r>
    </w:p>
    <w:bookmarkEnd w:id="10"/>
    <w:bookmarkStart w:id="11" w:name="pasal-3---hubungan-hukum"/>
    <w:p>
      <w:pPr>
        <w:pStyle w:val="Heading2"/>
      </w:pPr>
      <w:r>
        <w:t xml:space="preserve">Pasal 3 - Hubungan Hukum</w:t>
      </w:r>
    </w:p>
    <w:p>
      <w:pPr>
        <w:pStyle w:val="Compact"/>
        <w:numPr>
          <w:ilvl w:val="0"/>
          <w:numId w:val="1005"/>
        </w:numPr>
      </w:pPr>
      <w:r>
        <w:t xml:space="preserve">Perjanjian ini merupakan hubungan kemitraan. Perjanjian ini tidak menimbulkan hubungan kerja antara TEMAN JOURNEY dan MITRA, dan MITRA bukan karyawan TEMAN JOURNEY.</w:t>
      </w:r>
    </w:p>
    <w:p>
      <w:pPr>
        <w:pStyle w:val="Compact"/>
        <w:numPr>
          <w:ilvl w:val="0"/>
          <w:numId w:val="1005"/>
        </w:numPr>
      </w:pPr>
      <w:r>
        <w:t xml:space="preserve">MITRA bebas menentukan waktu, tempat, dan cara melaksanakan kegiatannya, serta menggunakan perangkat kerjanya sendiri.</w:t>
      </w:r>
    </w:p>
    <w:p>
      <w:pPr>
        <w:pStyle w:val="Compact"/>
        <w:numPr>
          <w:ilvl w:val="0"/>
          <w:numId w:val="1005"/>
        </w:numPr>
      </w:pPr>
      <w:r>
        <w:t xml:space="preserve">MITRA tidak menerima gaji, tunjangan, atau fasilitas karyawan. Imbal hasil MITRA hanya berupa komisi, bagi hasil, dan bonus sebagaimana diatur dalam Pasal 5 sampai Pasal 8.</w:t>
      </w:r>
    </w:p>
    <w:p>
      <w:pPr>
        <w:pStyle w:val="Compact"/>
        <w:numPr>
          <w:ilvl w:val="0"/>
          <w:numId w:val="1005"/>
        </w:numPr>
      </w:pPr>
      <w:r>
        <w:t xml:space="preserve">MITRA bertanggung jawab atas kepesertaan jaminan sosial dan kewajiban perpajakan pribadinya, kecuali pemotongan pajak yang wajib dilakukan TEMAN JOURNEY menurut peraturan perundang-undangan.</w:t>
      </w:r>
    </w:p>
    <w:bookmarkEnd w:id="11"/>
    <w:bookmarkStart w:id="12" w:name="X9248fcb640ae99e06f5cb1014d3bf68f6403a67"/>
    <w:p>
      <w:pPr>
        <w:pStyle w:val="Heading2"/>
      </w:pPr>
      <w:r>
        <w:t xml:space="preserve">Pasal 4 - Pendaftaran Prospek, Atribusi, dan Harga</w:t>
      </w:r>
    </w:p>
    <w:p>
      <w:pPr>
        <w:pStyle w:val="Compact"/>
        <w:numPr>
          <w:ilvl w:val="0"/>
          <w:numId w:val="1006"/>
        </w:numPr>
      </w:pPr>
      <w:r>
        <w:t xml:space="preserve">Sebelum melakukan pendekatan intensif, MITRA wajib mendaftarkan calon Klien ke Daftar Prospek. TEMAN JOURNEY mengonfirmasi atau menolak pendaftaran paling lambat 3 (tiga) hari kerja.</w:t>
      </w:r>
    </w:p>
    <w:p>
      <w:pPr>
        <w:pStyle w:val="Compact"/>
        <w:numPr>
          <w:ilvl w:val="0"/>
          <w:numId w:val="1006"/>
        </w:numPr>
      </w:pPr>
      <w:r>
        <w:t xml:space="preserve">Pendaftaran ditolak apabila calon Klien, termasuk unit kerja lain dari institusi yang sama, sudah berhubungan aktif dengan TEMAN JOURNEY atau sudah didaftarkan pihak lain. TEMAN JOURNEY dapat menyetujui pengecualian secara tertulis untuk unit kerja tertentu.</w:t>
      </w:r>
    </w:p>
    <w:p>
      <w:pPr>
        <w:pStyle w:val="Compact"/>
        <w:numPr>
          <w:ilvl w:val="0"/>
          <w:numId w:val="1006"/>
        </w:numPr>
      </w:pPr>
      <w:r>
        <w:t xml:space="preserve">Calon Klien yang terkonfirmasi menjadi atribusi MITRA selama 6 (enam) bulan sejak konfirmasi. Apabila dalam jangka waktu tersebut tidak terjadi SPK, atribusi berakhir kecuali diperpanjang secara tertulis.</w:t>
      </w:r>
    </w:p>
    <w:p>
      <w:pPr>
        <w:pStyle w:val="Compact"/>
        <w:numPr>
          <w:ilvl w:val="0"/>
          <w:numId w:val="1006"/>
        </w:numPr>
      </w:pPr>
      <w:r>
        <w:t xml:space="preserve">Komisi, bagi hasil, dan bonus hanya berlaku untuk Klien yang tercatat sebagai atribusi MITRA pada saat SPK ditandatangani.</w:t>
      </w:r>
    </w:p>
    <w:p>
      <w:pPr>
        <w:pStyle w:val="Compact"/>
        <w:numPr>
          <w:ilvl w:val="0"/>
          <w:numId w:val="1006"/>
        </w:numPr>
      </w:pPr>
      <w:r>
        <w:rPr>
          <w:b/>
          <w:bCs/>
        </w:rPr>
        <w:t xml:space="preserve">Harga pembuka.</w:t>
      </w:r>
      <w:r>
        <w:t xml:space="preserve"> </w:t>
      </w:r>
      <w:r>
        <w:t xml:space="preserve">MITRA wajib membuka setiap penawaran dengan Harga Daftar.</w:t>
      </w:r>
    </w:p>
    <w:p>
      <w:pPr>
        <w:pStyle w:val="Compact"/>
        <w:numPr>
          <w:ilvl w:val="0"/>
          <w:numId w:val="1006"/>
        </w:numPr>
      </w:pPr>
      <w:r>
        <w:rPr>
          <w:b/>
          <w:bCs/>
        </w:rPr>
        <w:t xml:space="preserve">Larangan di bawah Harga Daftar.</w:t>
      </w:r>
      <w:r>
        <w:t xml:space="preserve"> </w:t>
      </w:r>
      <w:r>
        <w:t xml:space="preserve">MITRA tidak boleh menawarkan atau menyepakati harga di bawah Harga Daftar, termasuk harga percontohan, tanpa persetujuan tertulis Direktur TEMAN JOURNEY sebelum penawaran disampaikan kepada Klien.</w:t>
      </w:r>
    </w:p>
    <w:p>
      <w:pPr>
        <w:pStyle w:val="Compact"/>
        <w:numPr>
          <w:ilvl w:val="0"/>
          <w:numId w:val="1006"/>
        </w:numPr>
      </w:pPr>
      <w:r>
        <w:rPr>
          <w:b/>
          <w:bCs/>
        </w:rPr>
        <w:t xml:space="preserve">Harga di atas Harga Daftar.</w:t>
      </w:r>
      <w:r>
        <w:t xml:space="preserve"> </w:t>
      </w:r>
      <w:r>
        <w:t xml:space="preserve">MITRA boleh menawarkan harga di atas Harga Daftar paling tinggi 20% (dua puluh persen) tanpa persetujuan. Penawaran lebih dari 20% di atas Harga Daftar wajib mendapat persetujuan tertulis Direktur TEMAN JOURNEY.</w:t>
      </w:r>
    </w:p>
    <w:p>
      <w:pPr>
        <w:pStyle w:val="Compact"/>
        <w:numPr>
          <w:ilvl w:val="0"/>
          <w:numId w:val="1006"/>
        </w:numPr>
      </w:pPr>
      <w:r>
        <w:t xml:space="preserve">Seluruh harga dalam penawaran belum termasuk PPN. Apabila TEMAN JOURNEY telah dikukuhkan sebagai Pengusaha Kena Pajak, PPN ditagihkan kepada Klien di atas Harga Event sesuai peraturan yang berlaku.</w:t>
      </w:r>
    </w:p>
    <w:bookmarkEnd w:id="12"/>
    <w:bookmarkStart w:id="13" w:name="pasal-5---komisi-layanan-non-eap"/>
    <w:p>
      <w:pPr>
        <w:pStyle w:val="Heading2"/>
      </w:pPr>
      <w:r>
        <w:t xml:space="preserve">Pasal 5 - Komisi Layanan Non-EAP</w:t>
      </w:r>
    </w:p>
    <w:p>
      <w:pPr>
        <w:numPr>
          <w:ilvl w:val="0"/>
          <w:numId w:val="1007"/>
        </w:numPr>
      </w:pPr>
      <w:r>
        <w:t xml:space="preserve">Pasal ini berlaku untuk pelatihan, program pelatih (Training of Trainers), program bank, asesmen, psikoedukasi, event publik, dan layanan lain yang bukan EAP.</w:t>
      </w:r>
    </w:p>
    <w:p>
      <w:pPr>
        <w:numPr>
          <w:ilvl w:val="0"/>
          <w:numId w:val="1007"/>
        </w:numPr>
      </w:pPr>
      <w:r>
        <w:t xml:space="preserve">MITRA berhak atas komisi berupa persentase dari Profit Bersih Event, dengan tingkat sebagai berikut:</w:t>
      </w:r>
    </w:p>
    <w:tbl>
      <w:tblPr>
        <w:tblStyle w:val="Table"/>
        <w:tblW w:type="pct" w:w="5000"/>
        <w:jc w:val="left"/>
        <w:tblInd w:w="720" w:type="dxa"/>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Tingkat</w:t>
            </w:r>
          </w:p>
        </w:tc>
        <w:tc>
          <w:tcPr/>
          <w:p>
            <w:pPr>
              <w:pStyle w:val="Compact"/>
            </w:pPr>
            <w:r>
              <w:t xml:space="preserve">Kriteria</w:t>
            </w:r>
          </w:p>
        </w:tc>
        <w:tc>
          <w:tcPr/>
          <w:p>
            <w:pPr>
              <w:pStyle w:val="Compact"/>
            </w:pPr>
            <w:r>
              <w:t xml:space="preserve">Komisi</w:t>
            </w:r>
          </w:p>
        </w:tc>
      </w:tr>
      <w:tr>
        <w:tc>
          <w:tcPr/>
          <w:p>
            <w:pPr>
              <w:pStyle w:val="Compact"/>
            </w:pPr>
            <w:r>
              <w:t xml:space="preserve">1. Penutupan</w:t>
            </w:r>
          </w:p>
        </w:tc>
        <w:tc>
          <w:tcPr/>
          <w:p>
            <w:pPr>
              <w:pStyle w:val="Compact"/>
            </w:pPr>
            <w:r>
              <w:t xml:space="preserve">MITRA memperkenalkan Klien atau memimpin pembahasan kerja sama baru dengan Klien, menyampaikan proposal yang disetujui TEMAN JOURNEY, hadir dalam pertemuan negosiasi harga, dan memperoleh SPK yang ditandatangani. Berlaku untuk Deal Penutupan ke-1 sampai ke-4</w:t>
            </w:r>
          </w:p>
        </w:tc>
        <w:tc>
          <w:tcPr/>
          <w:p>
            <w:pPr>
              <w:pStyle w:val="Compact"/>
            </w:pPr>
            <w:r>
              <w:t xml:space="preserve">10%</w:t>
            </w:r>
          </w:p>
        </w:tc>
      </w:tr>
      <w:tr>
        <w:tc>
          <w:tcPr/>
          <w:p>
            <w:pPr>
              <w:pStyle w:val="Compact"/>
            </w:pPr>
            <w:r>
              <w:t xml:space="preserve">2. Penutupan Lanjutan</w:t>
            </w:r>
          </w:p>
        </w:tc>
        <w:tc>
          <w:tcPr/>
          <w:p>
            <w:pPr>
              <w:pStyle w:val="Compact"/>
            </w:pPr>
            <w:r>
              <w:t xml:space="preserve">Kriteria sama dengan Tingkat 1, untuk Deal Penutupan ke-5 dan seterusnya</w:t>
            </w:r>
          </w:p>
        </w:tc>
        <w:tc>
          <w:tcPr/>
          <w:p>
            <w:pPr>
              <w:pStyle w:val="Compact"/>
            </w:pPr>
            <w:r>
              <w:t xml:space="preserve">12,5%</w:t>
            </w:r>
          </w:p>
        </w:tc>
      </w:tr>
      <w:tr>
        <w:tc>
          <w:tcPr/>
          <w:p>
            <w:pPr>
              <w:pStyle w:val="Compact"/>
            </w:pPr>
            <w:r>
              <w:t xml:space="preserve">3. Perpanjangan</w:t>
            </w:r>
          </w:p>
        </w:tc>
        <w:tc>
          <w:tcPr/>
          <w:p>
            <w:pPr>
              <w:pStyle w:val="Compact"/>
            </w:pPr>
            <w:r>
              <w:t xml:space="preserve">SPK lanjutan atau perpanjangan dengan Klien yang sama yang tidak memenuhi kriteria Tingkat 1, dengan syarat dalam Pasal 8</w:t>
            </w:r>
          </w:p>
        </w:tc>
        <w:tc>
          <w:tcPr/>
          <w:p>
            <w:pPr>
              <w:pStyle w:val="Compact"/>
            </w:pPr>
            <w:r>
              <w:t xml:space="preserve">2,5%</w:t>
            </w:r>
          </w:p>
        </w:tc>
      </w:tr>
    </w:tbl>
    <w:p>
      <w:pPr>
        <w:numPr>
          <w:ilvl w:val="0"/>
          <w:numId w:val="1007"/>
        </w:numPr>
      </w:pPr>
      <w:r>
        <w:t xml:space="preserve">Apabila MITRA hanya memperkenalkan Klien tanpa memenuhi kriteria Tingkat 1, MITRA tidak berhak atas komisi, kecuali disepakati lain secara tertulis untuk SPK tertentu. Tarif Tingkat 2 berlaku mulai Deal Penutupan ke-5 dan tidak berlaku surut terhadap Deal Penutupan ke-1 sampai ke-4. SPK yang memenuhi kriteria penutupan tetapi Harga Event-nya di bawah Rp10.000.000 tetap mendapat komisi sesuai tingkatnya, tetapi tidak dihitung dalam jumlah Deal Penutupan.</w:t>
      </w:r>
    </w:p>
    <w:p>
      <w:pPr>
        <w:numPr>
          <w:ilvl w:val="0"/>
          <w:numId w:val="1007"/>
        </w:numPr>
      </w:pPr>
      <w:r>
        <w:t xml:space="preserve">Tingkat komisi untuk setiap SPK ditetapkan secara tertulis oleh Para Pihak pada saat SPK tersebut ditandatangani.</w:t>
      </w:r>
    </w:p>
    <w:p>
      <w:pPr>
        <w:numPr>
          <w:ilvl w:val="0"/>
          <w:numId w:val="1007"/>
        </w:numPr>
      </w:pPr>
      <w:r>
        <w:rPr>
          <w:b/>
          <w:bCs/>
        </w:rPr>
        <w:t xml:space="preserve">Batas komisi.</w:t>
      </w:r>
      <w:r>
        <w:t xml:space="preserve"> </w:t>
      </w:r>
      <w:r>
        <w:t xml:space="preserve">Komisi dibatasi sehingga Margin Bersih Event setelah dikurangi komisi tidak kurang dari 15% (lima belas persen). Apabila tarif dalam ayat (2) membuat margin turun di bawah batas tersebut, komisi dikurangi sampai batas tersebut terpenuhi. Komisi tidak dibayarkan untuk Event dengan Margin Bersih Event sebelum komisi sebesar 15% atau kurang.</w:t>
      </w:r>
    </w:p>
    <w:bookmarkEnd w:id="13"/>
    <w:bookmarkStart w:id="14" w:name="pasal-6---komisi-eap"/>
    <w:p>
      <w:pPr>
        <w:pStyle w:val="Heading2"/>
      </w:pPr>
      <w:r>
        <w:t xml:space="preserve">Pasal 6 - Komisi EAP</w:t>
      </w:r>
    </w:p>
    <w:p>
      <w:pPr>
        <w:numPr>
          <w:ilvl w:val="0"/>
          <w:numId w:val="1008"/>
        </w:numPr>
      </w:pPr>
      <w:r>
        <w:t xml:space="preserve">Untuk EAP, MITRA berhak atas komisi tetap sebagai berikut:</w:t>
      </w:r>
    </w:p>
    <w:tbl>
      <w:tblPr>
        <w:tblStyle w:val="Table"/>
        <w:tblW w:type="pct" w:w="5000"/>
        <w:jc w:val="left"/>
        <w:tblInd w:w="720" w:type="dxa"/>
        <w:tblLayout w:type="fixed"/>
        <w:tblLook w:firstRow="1" w:lastRow="0" w:firstColumn="0" w:lastColumn="0" w:noHBand="0" w:noVBand="0" w:val="0020"/>
      </w:tblPr>
      <w:tblGrid>
        <w:gridCol w:w="3960"/>
        <w:gridCol w:w="3960"/>
      </w:tblGrid>
      <w:tr>
        <w:trPr>
          <w:tblHeader w:val="on"/>
        </w:trPr>
        <w:tc>
          <w:tcPr/>
          <w:p>
            <w:pPr>
              <w:pStyle w:val="Compact"/>
            </w:pPr>
            <w:r>
              <w:t xml:space="preserve">Situasi</w:t>
            </w:r>
          </w:p>
        </w:tc>
        <w:tc>
          <w:tcPr/>
          <w:p>
            <w:pPr>
              <w:pStyle w:val="Compact"/>
            </w:pPr>
            <w:r>
              <w:t xml:space="preserve">Komisi tetap</w:t>
            </w:r>
          </w:p>
        </w:tc>
      </w:tr>
      <w:tr>
        <w:tc>
          <w:tcPr/>
          <w:p>
            <w:pPr>
              <w:pStyle w:val="Compact"/>
            </w:pPr>
            <w:r>
              <w:t xml:space="preserve">MITRA menutup EAP Tahunan baru (kriteria sama dengan Pasal 5 ayat (2) Tingkat 1)</w:t>
            </w:r>
          </w:p>
        </w:tc>
        <w:tc>
          <w:tcPr/>
          <w:p>
            <w:pPr>
              <w:pStyle w:val="Compact"/>
            </w:pPr>
            <w:r>
              <w:t xml:space="preserve">Rp1.500.000 per kontrak</w:t>
            </w:r>
          </w:p>
        </w:tc>
      </w:tr>
      <w:tr>
        <w:tc>
          <w:tcPr/>
          <w:p>
            <w:pPr>
              <w:pStyle w:val="Compact"/>
            </w:pPr>
            <w:r>
              <w:t xml:space="preserve">MITRA menutup paket EAP dengan masa kurang dari 12 bulan</w:t>
            </w:r>
          </w:p>
        </w:tc>
        <w:tc>
          <w:tcPr/>
          <w:p>
            <w:pPr>
              <w:pStyle w:val="Compact"/>
            </w:pPr>
            <w:r>
              <w:t xml:space="preserve">Rp500.000 per paket</w:t>
            </w:r>
          </w:p>
        </w:tc>
      </w:tr>
      <w:tr>
        <w:tc>
          <w:tcPr/>
          <w:p>
            <w:pPr>
              <w:pStyle w:val="Compact"/>
            </w:pPr>
            <w:r>
              <w:t xml:space="preserve">EAP diperpanjang untuk 1 (satu) tahun berikutnya, dengan syarat dalam Pasal 8</w:t>
            </w:r>
          </w:p>
        </w:tc>
        <w:tc>
          <w:tcPr/>
          <w:p>
            <w:pPr>
              <w:pStyle w:val="Compact"/>
            </w:pPr>
            <w:r>
              <w:t xml:space="preserve">Rp1.000.000 per tahun perpanjangan</w:t>
            </w:r>
          </w:p>
        </w:tc>
      </w:tr>
    </w:tbl>
    <w:p>
      <w:pPr>
        <w:numPr>
          <w:ilvl w:val="0"/>
          <w:numId w:val="1008"/>
        </w:numPr>
      </w:pPr>
      <w:r>
        <w:t xml:space="preserve">Apabila MITRA hanya memperkenalkan Klien EAP tanpa memenuhi kriteria penutupan, MITRA tidak berhak atas komisi EAP.</w:t>
      </w:r>
    </w:p>
    <w:p>
      <w:pPr>
        <w:numPr>
          <w:ilvl w:val="0"/>
          <w:numId w:val="1008"/>
        </w:numPr>
      </w:pPr>
      <w:r>
        <w:t xml:space="preserve">Apabila Klien EAP kemudian membeli layanan non-EAP, komisi atas layanan tersebut mengikuti Pasal 5.</w:t>
      </w:r>
    </w:p>
    <w:p>
      <w:pPr>
        <w:numPr>
          <w:ilvl w:val="0"/>
          <w:numId w:val="1008"/>
        </w:numPr>
      </w:pPr>
      <w:r>
        <w:t xml:space="preserve">Komisi tetap EAP juga tunduk pada batas komisi dalam Pasal 5 ayat (5).</w:t>
      </w:r>
    </w:p>
    <w:bookmarkEnd w:id="14"/>
    <w:bookmarkStart w:id="15" w:name="Xd01a7c43780f6d90d6f0be2c474062c6d33be03"/>
    <w:p>
      <w:pPr>
        <w:pStyle w:val="Heading2"/>
      </w:pPr>
      <w:r>
        <w:t xml:space="preserve">Pasal 7 - Bagi Hasil di Atas Harga Daftar dan Bonus Semester</w:t>
      </w:r>
    </w:p>
    <w:p>
      <w:pPr>
        <w:numPr>
          <w:ilvl w:val="0"/>
          <w:numId w:val="1009"/>
        </w:numPr>
      </w:pPr>
      <w:r>
        <w:rPr>
          <w:b/>
          <w:bCs/>
        </w:rPr>
        <w:t xml:space="preserve">Bagi hasil di atas Harga Daftar.</w:t>
      </w:r>
      <w:r>
        <w:t xml:space="preserve"> </w:t>
      </w:r>
      <w:r>
        <w:t xml:space="preserve">Apabila Harga Event lebih tinggi dari Harga Daftar, MITRA berhak atas 30% (tiga puluh persen) dari Selisih di Atas Harga Daftar, sebagai tambahan atas komisi dalam Pasal 5 atau Pasal 6. Ketentuan ini berlaku untuk layanan non-EAP maupun EAP.</w:t>
      </w:r>
    </w:p>
    <w:p>
      <w:pPr>
        <w:numPr>
          <w:ilvl w:val="0"/>
          <w:numId w:val="1009"/>
        </w:numPr>
      </w:pPr>
      <w:r>
        <w:rPr>
          <w:b/>
          <w:bCs/>
        </w:rPr>
        <w:t xml:space="preserve">Bonus Semester.</w:t>
      </w:r>
      <w:r>
        <w:t xml:space="preserve"> </w:t>
      </w:r>
      <w:r>
        <w:t xml:space="preserve">MITRA berhak atas bonus apabila jumlah Harga Event dari Deal Penutupan dalam satu Semester mencapai ambang berikut:</w:t>
      </w:r>
    </w:p>
    <w:tbl>
      <w:tblPr>
        <w:tblStyle w:val="Table"/>
        <w:tblW w:type="pct" w:w="5000"/>
        <w:jc w:val="left"/>
        <w:tblInd w:w="720" w:type="dxa"/>
        <w:tblLayout w:type="fixed"/>
        <w:tblLook w:firstRow="1" w:lastRow="0" w:firstColumn="0" w:lastColumn="0" w:noHBand="0" w:noVBand="0" w:val="0020"/>
      </w:tblPr>
      <w:tblGrid>
        <w:gridCol w:w="3960"/>
        <w:gridCol w:w="3960"/>
      </w:tblGrid>
      <w:tr>
        <w:trPr>
          <w:tblHeader w:val="on"/>
        </w:trPr>
        <w:tc>
          <w:tcPr/>
          <w:p>
            <w:pPr>
              <w:pStyle w:val="Compact"/>
            </w:pPr>
            <w:r>
              <w:t xml:space="preserve">Jumlah Harga Event Deal Penutupan dalam satu Semester</w:t>
            </w:r>
          </w:p>
        </w:tc>
        <w:tc>
          <w:tcPr/>
          <w:p>
            <w:pPr>
              <w:pStyle w:val="Compact"/>
            </w:pPr>
            <w:r>
              <w:t xml:space="preserve">Total bonus Semester</w:t>
            </w:r>
          </w:p>
        </w:tc>
      </w:tr>
      <w:tr>
        <w:tc>
          <w:tcPr/>
          <w:p>
            <w:pPr>
              <w:pStyle w:val="Compact"/>
            </w:pPr>
            <w:r>
              <w:t xml:space="preserve">Rp50.000.000 atau lebih</w:t>
            </w:r>
          </w:p>
        </w:tc>
        <w:tc>
          <w:tcPr/>
          <w:p>
            <w:pPr>
              <w:pStyle w:val="Compact"/>
            </w:pPr>
            <w:r>
              <w:t xml:space="preserve">Rp1.000.000</w:t>
            </w:r>
          </w:p>
        </w:tc>
      </w:tr>
      <w:tr>
        <w:tc>
          <w:tcPr/>
          <w:p>
            <w:pPr>
              <w:pStyle w:val="Compact"/>
            </w:pPr>
            <w:r>
              <w:t xml:space="preserve">Rp100.000.000 atau lebih</w:t>
            </w:r>
          </w:p>
        </w:tc>
        <w:tc>
          <w:tcPr/>
          <w:p>
            <w:pPr>
              <w:pStyle w:val="Compact"/>
            </w:pPr>
            <w:r>
              <w:t xml:space="preserve">Rp3.000.000</w:t>
            </w:r>
          </w:p>
        </w:tc>
      </w:tr>
      <w:tr>
        <w:tc>
          <w:tcPr/>
          <w:p>
            <w:pPr>
              <w:pStyle w:val="Compact"/>
            </w:pPr>
            <w:r>
              <w:t xml:space="preserve">Rp250.000.000 atau lebih</w:t>
            </w:r>
          </w:p>
        </w:tc>
        <w:tc>
          <w:tcPr/>
          <w:p>
            <w:pPr>
              <w:pStyle w:val="Compact"/>
            </w:pPr>
            <w:r>
              <w:t xml:space="preserve">Rp9.000.000</w:t>
            </w:r>
          </w:p>
        </w:tc>
      </w:tr>
      <w:tr>
        <w:tc>
          <w:tcPr/>
          <w:p>
            <w:pPr>
              <w:pStyle w:val="Compact"/>
            </w:pPr>
            <w:r>
              <w:t xml:space="preserve">Rp400.000.000 atau lebih</w:t>
            </w:r>
          </w:p>
        </w:tc>
        <w:tc>
          <w:tcPr/>
          <w:p>
            <w:pPr>
              <w:pStyle w:val="Compact"/>
            </w:pPr>
            <w:r>
              <w:t xml:space="preserve">Rp18.000.000</w:t>
            </w:r>
          </w:p>
        </w:tc>
      </w:tr>
    </w:tbl>
    <w:p>
      <w:pPr>
        <w:numPr>
          <w:ilvl w:val="0"/>
          <w:numId w:val="1009"/>
        </w:numPr>
      </w:pPr>
      <w:r>
        <w:t xml:space="preserve">Total bonus Semester adalah satu angka sesuai ambang tertinggi yang tercapai, bukan penjumlahan beberapa baris.</w:t>
      </w:r>
    </w:p>
    <w:p>
      <w:pPr>
        <w:numPr>
          <w:ilvl w:val="0"/>
          <w:numId w:val="1009"/>
        </w:numPr>
      </w:pPr>
      <w:r>
        <w:t xml:space="preserve">Suatu Deal Penutupan dihitung pada Semester saat pembayaran pertama dari Klien diterima TEMAN JOURNEY, dengan nilai penuh Harga Event dalam SPK, termasuk EAP Tahunan. SPK Perpanjangan tidak dihitung.</w:t>
      </w:r>
    </w:p>
    <w:p>
      <w:pPr>
        <w:numPr>
          <w:ilvl w:val="0"/>
          <w:numId w:val="1009"/>
        </w:numPr>
      </w:pPr>
      <w:r>
        <w:t xml:space="preserve">Apabila setelah bonus dibayarkan Klien membatalkan SPK atau meminta pengembalian dana sehingga jumlah Semester tersebut turun di bawah ambang yang telah dibayarkan, selisih bonus diperhitungkan dengan komisi atau bonus berikutnya.</w:t>
      </w:r>
    </w:p>
    <w:bookmarkEnd w:id="15"/>
    <w:bookmarkStart w:id="16" w:name="pasal-8---syarat-komisi-perpanjangan"/>
    <w:p>
      <w:pPr>
        <w:pStyle w:val="Heading2"/>
      </w:pPr>
      <w:r>
        <w:t xml:space="preserve">Pasal 8 - Syarat Komisi Perpanjangan</w:t>
      </w:r>
    </w:p>
    <w:p>
      <w:pPr>
        <w:pStyle w:val="FirstParagraph"/>
      </w:pPr>
      <w:r>
        <w:t xml:space="preserve">Komisi Perpanjangan (Pasal 5 ayat (2) Tingkat 3 dan perpanjangan EAP dalam Pasal 6 ayat (1)) hanya dibayarkan apabila seluruh syarat berikut terpenuhi:</w:t>
      </w:r>
    </w:p>
    <w:p>
      <w:pPr>
        <w:pStyle w:val="Compact"/>
        <w:numPr>
          <w:ilvl w:val="0"/>
          <w:numId w:val="1010"/>
        </w:numPr>
      </w:pPr>
      <w:r>
        <w:rPr>
          <w:b/>
          <w:bCs/>
        </w:rPr>
        <w:t xml:space="preserve">Aktivitas terverifikasi.</w:t>
      </w:r>
      <w:r>
        <w:t xml:space="preserve"> </w:t>
      </w:r>
      <w:r>
        <w:t xml:space="preserve">Sejak SPK sebelumnya, MITRA melakukan paling sedikit 1 (satu) pertemuan atau panggilan dengan PIC Klien setiap kuartal, tercatat di tracker bersama, dan dikonfirmasi oleh pemegang akun TEMAN JOURNEY. TEMAN JOURNEY dapat meminta konfirmasi kepada PIC Klien. Catatan di tracker tanpa konfirmasi tidak dihitung.</w:t>
      </w:r>
    </w:p>
    <w:p>
      <w:pPr>
        <w:pStyle w:val="Compact"/>
        <w:numPr>
          <w:ilvl w:val="0"/>
          <w:numId w:val="1010"/>
        </w:numPr>
      </w:pPr>
      <w:r>
        <w:rPr>
          <w:b/>
          <w:bCs/>
        </w:rPr>
        <w:t xml:space="preserve">Keikutsertaan dalam perpanjangan.</w:t>
      </w:r>
      <w:r>
        <w:t xml:space="preserve"> </w:t>
      </w:r>
      <w:r>
        <w:t xml:space="preserve">MITRA ikut serta dalam proses perpanjangan, paling sedikit hadir dalam pertemuan atau korespondensi perpanjangan dengan Klien.</w:t>
      </w:r>
    </w:p>
    <w:p>
      <w:pPr>
        <w:pStyle w:val="Compact"/>
        <w:numPr>
          <w:ilvl w:val="0"/>
          <w:numId w:val="1010"/>
        </w:numPr>
      </w:pPr>
      <w:r>
        <w:rPr>
          <w:b/>
          <w:bCs/>
        </w:rPr>
        <w:t xml:space="preserve">Ditetapkan tertulis.</w:t>
      </w:r>
      <w:r>
        <w:t xml:space="preserve"> </w:t>
      </w:r>
      <w:r>
        <w:t xml:space="preserve">Tingkat Perpanjangan ditetapkan secara tertulis oleh Para Pihak pada saat SPK perpanjangan ditandatangani.</w:t>
      </w:r>
    </w:p>
    <w:p>
      <w:pPr>
        <w:pStyle w:val="Compact"/>
        <w:numPr>
          <w:ilvl w:val="0"/>
          <w:numId w:val="1010"/>
        </w:numPr>
      </w:pPr>
      <w:r>
        <w:rPr>
          <w:b/>
          <w:bCs/>
        </w:rPr>
        <w:t xml:space="preserve">Batas waktu.</w:t>
      </w:r>
      <w:r>
        <w:t xml:space="preserve"> </w:t>
      </w:r>
      <w:r>
        <w:t xml:space="preserve">Komisi Perpanjangan untuk suatu Klien berakhir 24 (dua puluh empat) bulan setelah Deal Penutupan terakhir MITRA dengan Klien tersebut, kecuali MITRA kembali menutup kerja sama baru dengan Klien tersebut.</w:t>
      </w:r>
    </w:p>
    <w:p>
      <w:pPr>
        <w:pStyle w:val="Compact"/>
        <w:numPr>
          <w:ilvl w:val="0"/>
          <w:numId w:val="1010"/>
        </w:numPr>
      </w:pPr>
      <w:r>
        <w:rPr>
          <w:b/>
          <w:bCs/>
        </w:rPr>
        <w:t xml:space="preserve">Tidak berlaku bila dipimpin TEMAN JOURNEY.</w:t>
      </w:r>
      <w:r>
        <w:t xml:space="preserve"> </w:t>
      </w:r>
      <w:r>
        <w:t xml:space="preserve">Komisi Perpanjangan tidak dibayarkan apabila perpanjangan dipimpin tim TEMAN JOURNEY tanpa keterlibatan MITRA, atau apabila Klien memperpanjang setelah keluhan yang diselesaikan tim TEMAN JOURNEY.</w:t>
      </w:r>
    </w:p>
    <w:p>
      <w:pPr>
        <w:pStyle w:val="Compact"/>
        <w:numPr>
          <w:ilvl w:val="0"/>
          <w:numId w:val="1010"/>
        </w:numPr>
      </w:pPr>
      <w:r>
        <w:t xml:space="preserve">SPK Perpanjangan tidak dihitung dalam Bonus Semester.</w:t>
      </w:r>
    </w:p>
    <w:bookmarkEnd w:id="16"/>
    <w:bookmarkStart w:id="17" w:name="pasal-9---perhitungan-dan-pembayaran"/>
    <w:p>
      <w:pPr>
        <w:pStyle w:val="Heading2"/>
      </w:pPr>
      <w:r>
        <w:t xml:space="preserve">Pasal 9 - Perhitungan dan Pembayaran</w:t>
      </w:r>
    </w:p>
    <w:p>
      <w:pPr>
        <w:pStyle w:val="Compact"/>
        <w:numPr>
          <w:ilvl w:val="0"/>
          <w:numId w:val="1011"/>
        </w:numPr>
      </w:pPr>
      <w:r>
        <w:t xml:space="preserve">TEMAN JOURNEY menyampaikan rekap perhitungan kepada MITRA paling lambat 7 (tujuh) hari kerja setelah setiap pembayaran Klien diterima. Rekap memuat Harga Daftar, Harga Event, Biaya Standar per komponen, Pajak yang Dipotong Klien, Profit Bersih Event, tingkat komisi, Selisih di Atas Harga Daftar, dan nilai komisi.</w:t>
      </w:r>
    </w:p>
    <w:p>
      <w:pPr>
        <w:pStyle w:val="Compact"/>
        <w:numPr>
          <w:ilvl w:val="0"/>
          <w:numId w:val="1011"/>
        </w:numPr>
      </w:pPr>
      <w:r>
        <w:t xml:space="preserve">Komisi dan bagi hasil di atas Harga Daftar dibayarkan paling lambat 14 (empat belas) hari kalender setelah pembayaran Klien diterima oleh TEMAN JOURNEY, melalui transfer ke rekening atas nama MITRA.</w:t>
      </w:r>
    </w:p>
    <w:p>
      <w:pPr>
        <w:pStyle w:val="Compact"/>
        <w:numPr>
          <w:ilvl w:val="0"/>
          <w:numId w:val="1011"/>
        </w:numPr>
      </w:pPr>
      <w:r>
        <w:t xml:space="preserve">Apabila Klien membayar secara bertahap, termasuk kontrak tahunan yang dibayar per kuartal atau per semester, komisi persentase dan bagi hasil di atas Harga Daftar dibayarkan secara proporsional untuk setiap pembayaran yang diterima. Komisi tetap EAP dibayarkan setelah pembayaran pertama dari Klien diterima.</w:t>
      </w:r>
    </w:p>
    <w:p>
      <w:pPr>
        <w:pStyle w:val="Compact"/>
        <w:numPr>
          <w:ilvl w:val="0"/>
          <w:numId w:val="1011"/>
        </w:numPr>
      </w:pPr>
      <w:r>
        <w:t xml:space="preserve">Bonus Semester dibayarkan paling lambat 14 (empat belas) hari kalender setelah Semester berakhir.</w:t>
      </w:r>
    </w:p>
    <w:p>
      <w:pPr>
        <w:pStyle w:val="Compact"/>
        <w:numPr>
          <w:ilvl w:val="0"/>
          <w:numId w:val="1011"/>
        </w:numPr>
      </w:pPr>
      <w:r>
        <w:t xml:space="preserve">Apabila Klien tidak membayar, membatalkan sisa kontrak, atau meminta pengembalian dana, komisi atas bagian tersebut tidak dibayarkan. Komisi yang telah dibayarkan atas bagian yang dikembalikan kepada Klien wajib dikembalikan oleh MITRA atau diperhitungkan dengan komisi berikutnya.</w:t>
      </w:r>
    </w:p>
    <w:p>
      <w:pPr>
        <w:pStyle w:val="Compact"/>
        <w:numPr>
          <w:ilvl w:val="0"/>
          <w:numId w:val="1011"/>
        </w:numPr>
      </w:pPr>
      <w:r>
        <w:t xml:space="preserve">Komisi, bagi hasil, dan bonus dipotong Pajak Penghasilan Pasal 21 atas penghasilan bukan pegawai sesuai ketentuan yang berlaku, dan TEMAN JOURNEY memberikan bukti pemotongannya. Apabila MITRA bertindak melalui badan usaha, pemotongan pajak mengikuti ketentuan yang berlaku untuk badan usaha tersebut.</w:t>
      </w:r>
    </w:p>
    <w:p>
      <w:pPr>
        <w:pStyle w:val="Compact"/>
        <w:numPr>
          <w:ilvl w:val="0"/>
          <w:numId w:val="1011"/>
        </w:numPr>
      </w:pPr>
      <w:r>
        <w:t xml:space="preserve">MITRA dapat meminta penjelasan atau koreksi atas rekap paling lambat 14 (empat belas) hari setelah rekap diterima. TEMAN JOURNEY menanggapi paling lambat 7 (tujuh) hari kerja dengan menunjukkan dasar perhitungan dari SPK, Lampiran B, dan Lampiran C.</w:t>
      </w:r>
    </w:p>
    <w:bookmarkEnd w:id="17"/>
    <w:bookmarkStart w:id="18" w:name="pasal-10---hak-dan-kewajiban-mitra"/>
    <w:p>
      <w:pPr>
        <w:pStyle w:val="Heading2"/>
      </w:pPr>
      <w:r>
        <w:t xml:space="preserve">Pasal 10 - Hak dan Kewajiban MITRA</w:t>
      </w:r>
    </w:p>
    <w:p>
      <w:pPr>
        <w:pStyle w:val="Compact"/>
        <w:numPr>
          <w:ilvl w:val="0"/>
          <w:numId w:val="1012"/>
        </w:numPr>
      </w:pPr>
      <w:r>
        <w:t xml:space="preserve">MITRA berhak memperoleh materi penawaran, Daftar Harga, informasi layanan, dan dukungan tim TEMAN JOURNEY yang diperlukan.</w:t>
      </w:r>
    </w:p>
    <w:p>
      <w:pPr>
        <w:pStyle w:val="Compact"/>
        <w:numPr>
          <w:ilvl w:val="0"/>
          <w:numId w:val="1012"/>
        </w:numPr>
      </w:pPr>
      <w:r>
        <w:t xml:space="preserve">MITRA wajib:</w:t>
      </w:r>
    </w:p>
    <w:p>
      <w:pPr>
        <w:pStyle w:val="Compact"/>
        <w:numPr>
          <w:ilvl w:val="1"/>
          <w:numId w:val="1013"/>
        </w:numPr>
      </w:pPr>
      <w:r>
        <w:t xml:space="preserve">menyampaikan informasi layanan TEMAN JOURNEY secara jujur dan tidak menjanjikan hasil layanan psikologi di luar yang disepakati TEMAN JOURNEY;</w:t>
      </w:r>
    </w:p>
    <w:p>
      <w:pPr>
        <w:pStyle w:val="Compact"/>
        <w:numPr>
          <w:ilvl w:val="1"/>
          <w:numId w:val="1013"/>
        </w:numPr>
      </w:pPr>
      <w:r>
        <w:t xml:space="preserve">memperbarui status prospek dan kerja sama di tracker bersama;</w:t>
      </w:r>
    </w:p>
    <w:p>
      <w:pPr>
        <w:pStyle w:val="Compact"/>
        <w:numPr>
          <w:ilvl w:val="1"/>
          <w:numId w:val="1013"/>
        </w:numPr>
      </w:pPr>
      <w:r>
        <w:t xml:space="preserve">menggunakan identitas dan materi merek TEMAN JOURNEY sesuai pedoman merek yang diberikan;</w:t>
      </w:r>
    </w:p>
    <w:p>
      <w:pPr>
        <w:pStyle w:val="Compact"/>
        <w:numPr>
          <w:ilvl w:val="1"/>
          <w:numId w:val="1013"/>
        </w:numPr>
      </w:pPr>
      <w:r>
        <w:t xml:space="preserve">menyerahkan informasi Klien secara lengkap kepada tim Operasional TEMAN JOURNEY setelah SPK.</w:t>
      </w:r>
    </w:p>
    <w:p>
      <w:pPr>
        <w:pStyle w:val="Compact"/>
        <w:numPr>
          <w:ilvl w:val="0"/>
          <w:numId w:val="1012"/>
        </w:numPr>
      </w:pPr>
      <w:r>
        <w:t xml:space="preserve">MITRA tidak berwenang menandatangani perjanjian, menerima pembayaran, atau membuat komitmen apa pun atas nama TEMAN JOURNEY.</w:t>
      </w:r>
    </w:p>
    <w:bookmarkEnd w:id="18"/>
    <w:bookmarkStart w:id="19" w:name="X0b4d9a6270fcf3f49933db5b9d7f8b8f7ad1925"/>
    <w:p>
      <w:pPr>
        <w:pStyle w:val="Heading2"/>
      </w:pPr>
      <w:r>
        <w:t xml:space="preserve">Pasal 11 - Hak dan Kewajiban TEMAN JOURNEY</w:t>
      </w:r>
    </w:p>
    <w:p>
      <w:pPr>
        <w:pStyle w:val="Compact"/>
        <w:numPr>
          <w:ilvl w:val="0"/>
          <w:numId w:val="1014"/>
        </w:numPr>
      </w:pPr>
      <w:r>
        <w:t xml:space="preserve">TEMAN JOURNEY berhak menerima atau menolak calon Klien maupun permintaan layanan yang tidak sesuai dengan kapasitas, standar profesi, atau kode etik psikologi.</w:t>
      </w:r>
    </w:p>
    <w:p>
      <w:pPr>
        <w:pStyle w:val="Compact"/>
        <w:numPr>
          <w:ilvl w:val="0"/>
          <w:numId w:val="1014"/>
        </w:numPr>
      </w:pPr>
      <w:r>
        <w:t xml:space="preserve">TEMAN JOURNEY wajib:</w:t>
      </w:r>
    </w:p>
    <w:p>
      <w:pPr>
        <w:pStyle w:val="Compact"/>
        <w:numPr>
          <w:ilvl w:val="1"/>
          <w:numId w:val="1015"/>
        </w:numPr>
      </w:pPr>
      <w:r>
        <w:t xml:space="preserve">melaksanakan layanan kepada Klien sesuai SPK dan standar profesi;</w:t>
      </w:r>
    </w:p>
    <w:p>
      <w:pPr>
        <w:pStyle w:val="Compact"/>
        <w:numPr>
          <w:ilvl w:val="1"/>
          <w:numId w:val="1015"/>
        </w:numPr>
      </w:pPr>
      <w:r>
        <w:t xml:space="preserve">menyampaikan rekap perhitungan secara transparan sesuai Pasal 9;</w:t>
      </w:r>
    </w:p>
    <w:p>
      <w:pPr>
        <w:pStyle w:val="Compact"/>
        <w:numPr>
          <w:ilvl w:val="1"/>
          <w:numId w:val="1015"/>
        </w:numPr>
      </w:pPr>
      <w:r>
        <w:t xml:space="preserve">membayar komisi, bagi hasil, dan bonus sesuai Pasal 5 sampai Pasal 9;</w:t>
      </w:r>
    </w:p>
    <w:p>
      <w:pPr>
        <w:pStyle w:val="Compact"/>
        <w:numPr>
          <w:ilvl w:val="1"/>
          <w:numId w:val="1015"/>
        </w:numPr>
      </w:pPr>
      <w:r>
        <w:t xml:space="preserve">memberitahukan perubahan Daftar Harga atau Lampiran B secara tertulis. Perubahan hanya berlaku untuk SPK yang ditandatangani setelah perubahan disampaikan kepada MITRA.</w:t>
      </w:r>
    </w:p>
    <w:bookmarkEnd w:id="19"/>
    <w:bookmarkStart w:id="20" w:name="X4b158c72b80df64e4c36bb6ca4162f493cc1a57"/>
    <w:p>
      <w:pPr>
        <w:pStyle w:val="Heading2"/>
      </w:pPr>
      <w:r>
        <w:t xml:space="preserve">Pasal 12 - Kerahasiaan dan Pelindungan Data</w:t>
      </w:r>
    </w:p>
    <w:p>
      <w:pPr>
        <w:pStyle w:val="Compact"/>
        <w:numPr>
          <w:ilvl w:val="0"/>
          <w:numId w:val="1016"/>
        </w:numPr>
      </w:pPr>
      <w:r>
        <w:t xml:space="preserve">MITRA wajib merahasiakan seluruh informasi yang diperoleh selama kemitraan, termasuk data Klien, Biaya Standar, materi program, serta strategi bisnis TEMAN JOURNEY.</w:t>
      </w:r>
    </w:p>
    <w:p>
      <w:pPr>
        <w:pStyle w:val="Compact"/>
        <w:numPr>
          <w:ilvl w:val="0"/>
          <w:numId w:val="1016"/>
        </w:numPr>
      </w:pPr>
      <w:r>
        <w:t xml:space="preserve">MITRA tidak boleh mengakses, meminta, atau menyimpan data hasil asesmen, konseling, maupun data kesehatan peserta layanan.</w:t>
      </w:r>
    </w:p>
    <w:p>
      <w:pPr>
        <w:pStyle w:val="Compact"/>
        <w:numPr>
          <w:ilvl w:val="0"/>
          <w:numId w:val="1016"/>
        </w:numPr>
      </w:pPr>
      <w:r>
        <w:t xml:space="preserve">Data pribadi yang diperoleh MITRA hanya boleh digunakan untuk tujuan Perjanjian ini dan diperlakukan sesuai Undang-Undang Nomor 27 Tahun 2022 tentang Pelindungan Data Pribadi.</w:t>
      </w:r>
    </w:p>
    <w:p>
      <w:pPr>
        <w:pStyle w:val="Compact"/>
        <w:numPr>
          <w:ilvl w:val="0"/>
          <w:numId w:val="1016"/>
        </w:numPr>
      </w:pPr>
      <w:r>
        <w:t xml:space="preserve">Kewajiban kerahasiaan tetap berlaku selama 2 (dua) tahun setelah Perjanjian berakhir, dan tanpa batas waktu untuk data peserta layanan.</w:t>
      </w:r>
    </w:p>
    <w:bookmarkEnd w:id="20"/>
    <w:bookmarkStart w:id="21" w:name="pasal-13---kekayaan-intelektual"/>
    <w:p>
      <w:pPr>
        <w:pStyle w:val="Heading2"/>
      </w:pPr>
      <w:r>
        <w:t xml:space="preserve">Pasal 13 - Kekayaan Intelektual</w:t>
      </w:r>
    </w:p>
    <w:p>
      <w:pPr>
        <w:pStyle w:val="Compact"/>
        <w:numPr>
          <w:ilvl w:val="0"/>
          <w:numId w:val="1017"/>
        </w:numPr>
      </w:pPr>
      <w:r>
        <w:t xml:space="preserve">Merek, logo, modul, framework asesmen, proposal, dan materi program TEMAN JOURNEY tetap menjadi milik TEMAN JOURNEY.</w:t>
      </w:r>
    </w:p>
    <w:p>
      <w:pPr>
        <w:pStyle w:val="Compact"/>
        <w:numPr>
          <w:ilvl w:val="0"/>
          <w:numId w:val="1017"/>
        </w:numPr>
      </w:pPr>
      <w:r>
        <w:t xml:space="preserve">Proposal dan materi penawaran yang disusun dalam rangka Perjanjian ini menjadi milik TEMAN JOURNEY.</w:t>
      </w:r>
    </w:p>
    <w:p>
      <w:pPr>
        <w:pStyle w:val="Compact"/>
        <w:numPr>
          <w:ilvl w:val="0"/>
          <w:numId w:val="1017"/>
        </w:numPr>
      </w:pPr>
      <w:r>
        <w:t xml:space="preserve">MITRA wajib mengembalikan atau menghapus seluruh materi TEMAN JOURNEY saat Perjanjian berakhir.</w:t>
      </w:r>
    </w:p>
    <w:bookmarkEnd w:id="21"/>
    <w:bookmarkStart w:id="22" w:name="pasal-14---larangan-pengalihan-klien"/>
    <w:p>
      <w:pPr>
        <w:pStyle w:val="Heading2"/>
      </w:pPr>
      <w:r>
        <w:t xml:space="preserve">Pasal 14 - Larangan Pengalihan Klien</w:t>
      </w:r>
    </w:p>
    <w:p>
      <w:pPr>
        <w:pStyle w:val="FirstParagraph"/>
      </w:pPr>
      <w:r>
        <w:t xml:space="preserve">Selama Perjanjian berlaku dan 12 (dua belas) bulan setelah Perjanjian berakhir, MITRA dilarang menawarkan layanan psikologi, pelatihan, atau program kesejahteraan dari pihak lain kepada Klien yang ditangani melalui Perjanjian ini, serta dilarang mengajak psikolog atau tim TEMAN JOURNEY untuk melayani Klien tersebut di luar TEMAN JOURNEY.</w:t>
      </w:r>
    </w:p>
    <w:bookmarkEnd w:id="22"/>
    <w:bookmarkStart w:id="23" w:name="pasal-15---denda-dan-ganti-rugi"/>
    <w:p>
      <w:pPr>
        <w:pStyle w:val="Heading2"/>
      </w:pPr>
      <w:r>
        <w:t xml:space="preserve">Pasal 15 - Denda dan Ganti Rugi</w:t>
      </w:r>
    </w:p>
    <w:p>
      <w:pPr>
        <w:numPr>
          <w:ilvl w:val="0"/>
          <w:numId w:val="1018"/>
        </w:numPr>
      </w:pPr>
      <w:r>
        <w:t xml:space="preserve">Apabila MITRA melanggar ketentuan berikut, MITRA wajib membayar denda kepada TEMAN JOURNEY:</w:t>
      </w:r>
    </w:p>
    <w:tbl>
      <w:tblPr>
        <w:tblStyle w:val="Table"/>
        <w:tblW w:type="pct" w:w="5000"/>
        <w:jc w:val="left"/>
        <w:tblInd w:w="720" w:type="dxa"/>
        <w:tblLayout w:type="fixed"/>
        <w:tblLook w:firstRow="1" w:lastRow="0" w:firstColumn="0" w:lastColumn="0" w:noHBand="0" w:noVBand="0" w:val="0020"/>
      </w:tblPr>
      <w:tblGrid>
        <w:gridCol w:w="3960"/>
        <w:gridCol w:w="3960"/>
      </w:tblGrid>
      <w:tr>
        <w:trPr>
          <w:tblHeader w:val="on"/>
        </w:trPr>
        <w:tc>
          <w:tcPr/>
          <w:p>
            <w:pPr>
              <w:pStyle w:val="Compact"/>
            </w:pPr>
            <w:r>
              <w:t xml:space="preserve">Pelanggaran</w:t>
            </w:r>
          </w:p>
        </w:tc>
        <w:tc>
          <w:tcPr/>
          <w:p>
            <w:pPr>
              <w:pStyle w:val="Compact"/>
            </w:pPr>
            <w:r>
              <w:t xml:space="preserve">Denda</w:t>
            </w:r>
          </w:p>
        </w:tc>
      </w:tr>
      <w:tr>
        <w:tc>
          <w:tcPr/>
          <w:p>
            <w:pPr>
              <w:pStyle w:val="Compact"/>
            </w:pPr>
            <w:r>
              <w:t xml:space="preserve">Pasal 12 (kerahasiaan dan pelindungan data)</w:t>
            </w:r>
          </w:p>
        </w:tc>
        <w:tc>
          <w:tcPr/>
          <w:p>
            <w:pPr>
              <w:pStyle w:val="Compact"/>
            </w:pPr>
            <w:r>
              <w:t xml:space="preserve">Rp25.000.000 untuk setiap pelanggaran [CEK]</w:t>
            </w:r>
          </w:p>
        </w:tc>
      </w:tr>
      <w:tr>
        <w:tc>
          <w:tcPr/>
          <w:p>
            <w:pPr>
              <w:pStyle w:val="Compact"/>
            </w:pPr>
            <w:r>
              <w:t xml:space="preserve">Pasal 14 (pengalihan Klien, psikolog, atau tim)</w:t>
            </w:r>
          </w:p>
        </w:tc>
        <w:tc>
          <w:tcPr/>
          <w:p>
            <w:pPr>
              <w:pStyle w:val="Compact"/>
            </w:pPr>
            <w:r>
              <w:t xml:space="preserve">Nilai yang lebih besar antara Rp50.000.000 atau 50% dari nilai kerja sama yang dialihkan [CEK]</w:t>
            </w:r>
          </w:p>
        </w:tc>
      </w:tr>
      <w:tr>
        <w:tc>
          <w:tcPr/>
          <w:p>
            <w:pPr>
              <w:pStyle w:val="Compact"/>
            </w:pPr>
            <w:r>
              <w:t xml:space="preserve">Pasal 4 ayat (6) (harga di bawah Harga Daftar tanpa persetujuan) atau Pasal 10 ayat (3) (komitmen tanpa kewenangan)</w:t>
            </w:r>
          </w:p>
        </w:tc>
        <w:tc>
          <w:tcPr/>
          <w:p>
            <w:pPr>
              <w:pStyle w:val="Compact"/>
            </w:pPr>
            <w:r>
              <w:t xml:space="preserve">Selisih antara Harga Daftar dan harga yang disepakati atau dijanjikan kepada Klien, dan komisi atas SPK tersebut gugur</w:t>
            </w:r>
          </w:p>
        </w:tc>
      </w:tr>
    </w:tbl>
    <w:p>
      <w:pPr>
        <w:numPr>
          <w:ilvl w:val="0"/>
          <w:numId w:val="1018"/>
        </w:numPr>
      </w:pPr>
      <w:r>
        <w:t xml:space="preserve">Denda dibayar paling lambat 14 (empat belas) hari kalender setelah pemberitahuan tertulis dari TEMAN JOURNEY. TEMAN JOURNEY berhak memperhitungkan denda dengan komisi, bagi hasil, atau bonus yang belum dibayarkan kepada MITRA.</w:t>
      </w:r>
    </w:p>
    <w:p>
      <w:pPr>
        <w:numPr>
          <w:ilvl w:val="0"/>
          <w:numId w:val="1018"/>
        </w:numPr>
      </w:pPr>
      <w:r>
        <w:t xml:space="preserve">Denda dalam ayat (1) tidak menggantikan kewajiban MITRA untuk menghentikan pelanggaran, dan tidak menghapus hak TEMAN JOURNEY untuk menuntut ganti rugi atas biaya, kerugian nyata, dan kehilangan keuntungan yang melebihi nilai denda, sebagaimana dimaksud Pasal 1243 sampai Pasal 1248 Kitab Undang-Undang Hukum Perdata. Para Pihak sepakat bahwa denda dalam Pasal ini bukan pengganti seluruh ganti rugi sebagaimana dimaksud Pasal 1307 Kitab Undang-Undang Hukum Perdata.</w:t>
      </w:r>
    </w:p>
    <w:p>
      <w:pPr>
        <w:numPr>
          <w:ilvl w:val="0"/>
          <w:numId w:val="1018"/>
        </w:numPr>
      </w:pPr>
      <w:r>
        <w:t xml:space="preserve">Di luar ayat (1), setiap Pihak yang melanggar Perjanjian ini wajib mengganti kerugian nyata yang diderita Pihak lainnya sebagai akibat langsung dari pelanggaran tersebut.</w:t>
      </w:r>
    </w:p>
    <w:p>
      <w:pPr>
        <w:numPr>
          <w:ilvl w:val="0"/>
          <w:numId w:val="1018"/>
        </w:numPr>
      </w:pPr>
      <w:r>
        <w:t xml:space="preserve">Apabila TEMAN JOURNEY terlambat membayar komisi, bagi hasil, atau bonus yang telah jatuh tempo dan tidak disengketakan, TEMAN JOURNEY membayar denda keterlambatan sebesar 0,1% (nol koma satu persen) per hari dari jumlah yang terlambat, paling banyak 5% (lima persen). [OPSIONAL: menyeimbangkan Perjanjian]</w:t>
      </w:r>
    </w:p>
    <w:bookmarkEnd w:id="23"/>
    <w:bookmarkStart w:id="24" w:name="pasal-16---jangka-waktu"/>
    <w:p>
      <w:pPr>
        <w:pStyle w:val="Heading2"/>
      </w:pPr>
      <w:r>
        <w:t xml:space="preserve">Pasal 16 - Jangka Waktu</w:t>
      </w:r>
    </w:p>
    <w:p>
      <w:pPr>
        <w:pStyle w:val="Compact"/>
        <w:numPr>
          <w:ilvl w:val="0"/>
          <w:numId w:val="1019"/>
        </w:numPr>
      </w:pPr>
      <w:r>
        <w:t xml:space="preserve">Perjanjian ini berlaku selama 6 (enam) bulan sejak tanggal ditandatangani, dan dapat diperpanjang berdasarkan kesepakatan tertulis Para Pihak.</w:t>
      </w:r>
    </w:p>
    <w:p>
      <w:pPr>
        <w:pStyle w:val="Compact"/>
        <w:numPr>
          <w:ilvl w:val="0"/>
          <w:numId w:val="1019"/>
        </w:numPr>
      </w:pPr>
      <w:r>
        <w:t xml:space="preserve">Para Pihak melakukan evaluasi kemitraan setiap 3 (tiga) bulan.</w:t>
      </w:r>
    </w:p>
    <w:bookmarkEnd w:id="24"/>
    <w:bookmarkStart w:id="25" w:name="pasal-17---pengakhiran"/>
    <w:p>
      <w:pPr>
        <w:pStyle w:val="Heading2"/>
      </w:pPr>
      <w:r>
        <w:t xml:space="preserve">Pasal 17 - Pengakhiran</w:t>
      </w:r>
    </w:p>
    <w:p>
      <w:pPr>
        <w:pStyle w:val="Compact"/>
        <w:numPr>
          <w:ilvl w:val="0"/>
          <w:numId w:val="1020"/>
        </w:numPr>
      </w:pPr>
      <w:r>
        <w:t xml:space="preserve">Masing-masing Pihak dapat mengakhiri Perjanjian dengan pemberitahuan tertulis paling lambat 30 (tiga puluh) hari sebelumnya.</w:t>
      </w:r>
    </w:p>
    <w:p>
      <w:pPr>
        <w:pStyle w:val="Compact"/>
        <w:numPr>
          <w:ilvl w:val="0"/>
          <w:numId w:val="1020"/>
        </w:numPr>
      </w:pPr>
      <w:r>
        <w:t xml:space="preserve">TEMAN JOURNEY dapat mengakhiri Perjanjian seketika apabila MITRA melanggar Pasal 4 ayat (6), Pasal 10 ayat (3), Pasal 12, atau Pasal 14, atau melakukan tindakan yang merugikan nama baik TEMAN JOURNEY.</w:t>
      </w:r>
    </w:p>
    <w:p>
      <w:pPr>
        <w:pStyle w:val="Compact"/>
        <w:numPr>
          <w:ilvl w:val="0"/>
          <w:numId w:val="1020"/>
        </w:numPr>
      </w:pPr>
      <w:r>
        <w:t xml:space="preserve">Setelah Perjanjian berakhir, MITRA tetap berhak atas komisi untuk:</w:t>
      </w:r>
    </w:p>
    <w:p>
      <w:pPr>
        <w:pStyle w:val="Compact"/>
        <w:numPr>
          <w:ilvl w:val="1"/>
          <w:numId w:val="1021"/>
        </w:numPr>
      </w:pPr>
      <w:r>
        <w:t xml:space="preserve">pembayaran Klien yang diterima atas Event yang SPK-nya ditandatangani selama Perjanjian berlaku, termasuk termin pembayaran kontrak tahunan yang jatuh tempo setelah Perjanjian berakhir; dan</w:t>
      </w:r>
    </w:p>
    <w:p>
      <w:pPr>
        <w:pStyle w:val="Compact"/>
        <w:numPr>
          <w:ilvl w:val="1"/>
          <w:numId w:val="1021"/>
        </w:numPr>
      </w:pPr>
      <w:r>
        <w:t xml:space="preserve">Event lanjutan dengan Klien atribusinya yang SPK-nya ditandatangani paling lambat 3 (tiga) bulan setelah Perjanjian berakhir,</w:t>
      </w:r>
      <w:r>
        <w:t xml:space="preserve"> </w:t>
      </w:r>
      <w:r>
        <w:t xml:space="preserve">kecuali Perjanjian diakhiri karena pelanggaran MITRA sebagaimana dimaksud ayat (2). Bonus Semester untuk Semester yang sedang berjalan saat Perjanjian berakhir dihitung dari Deal Penutupan sampai tanggal berakhirnya Perjanjian, dengan ambang dalam Pasal 7 ayat (2) yang dikurangi secara proporsional sesuai jumlah bulan yang telah berjalan.</w:t>
      </w:r>
    </w:p>
    <w:p>
      <w:pPr>
        <w:pStyle w:val="Compact"/>
        <w:numPr>
          <w:ilvl w:val="0"/>
          <w:numId w:val="1020"/>
        </w:numPr>
      </w:pPr>
      <w:r>
        <w:t xml:space="preserve">Pasal 12, Pasal 14, dan Pasal 15 tetap berlaku setelah Perjanjian berakhir.</w:t>
      </w:r>
    </w:p>
    <w:bookmarkEnd w:id="25"/>
    <w:bookmarkStart w:id="26" w:name="pasal-18---pengalihan"/>
    <w:p>
      <w:pPr>
        <w:pStyle w:val="Heading2"/>
      </w:pPr>
      <w:r>
        <w:t xml:space="preserve">Pasal 18 - Pengalihan</w:t>
      </w:r>
    </w:p>
    <w:p>
      <w:pPr>
        <w:pStyle w:val="FirstParagraph"/>
      </w:pPr>
      <w:r>
        <w:t xml:space="preserve">TEMAN JOURNEY dapat mengalihkan hak dan kewajibannya dalam Perjanjian ini kepada badan hukum lain yang menjalankan layanan Teman Journey, dengan pemberitahuan tertulis kepada MITRA. Hak komisi, bagi hasil, dan bonus MITRA tetap berlaku sesuai Perjanjian ini.</w:t>
      </w:r>
    </w:p>
    <w:bookmarkEnd w:id="26"/>
    <w:bookmarkStart w:id="27" w:name="pasal-19---keadaan-kahar"/>
    <w:p>
      <w:pPr>
        <w:pStyle w:val="Heading2"/>
      </w:pPr>
      <w:r>
        <w:t xml:space="preserve">Pasal 19 - Keadaan Kahar</w:t>
      </w:r>
    </w:p>
    <w:p>
      <w:pPr>
        <w:pStyle w:val="Compact"/>
        <w:numPr>
          <w:ilvl w:val="0"/>
          <w:numId w:val="1022"/>
        </w:numPr>
      </w:pPr>
      <w:r>
        <w:rPr>
          <w:b/>
          <w:bCs/>
        </w:rPr>
        <w:t xml:space="preserve">Keadaan Kahar</w:t>
      </w:r>
      <w:r>
        <w:t xml:space="preserve"> </w:t>
      </w:r>
      <w:r>
        <w:t xml:space="preserve">adalah peristiwa di luar kendali wajar Pihak yang terdampak, yang tidak dapat diperkirakan pada saat Perjanjian ditandatangani, bukan karena kesalahan atau kelalaian Pihak tersebut, dan secara langsung menghalangi pelaksanaan kewajiban dalam Perjanjian ini, antara lain bencana alam (gempa bumi, banjir, tanah longsor, letusan gunung berapi), wabah atau pandemi yang ditetapkan pemerintah, kebakaran, perang, huru-hara, terorisme, pemogokan umum, gangguan listrik atau telekomunikasi berskala luas, serta kebijakan atau peraturan pemerintah yang secara langsung menghalangi pelaksanaan Perjanjian.</w:t>
      </w:r>
    </w:p>
    <w:p>
      <w:pPr>
        <w:pStyle w:val="Compact"/>
        <w:numPr>
          <w:ilvl w:val="0"/>
          <w:numId w:val="1022"/>
        </w:numPr>
      </w:pPr>
      <w:r>
        <w:t xml:space="preserve">Kesulitan keuangan, perubahan kondisi pasar, kenaikan harga, atau keterlambatan pembayaran dari Klien bukan merupakan Keadaan Kahar.</w:t>
      </w:r>
    </w:p>
    <w:p>
      <w:pPr>
        <w:pStyle w:val="Compact"/>
        <w:numPr>
          <w:ilvl w:val="0"/>
          <w:numId w:val="1022"/>
        </w:numPr>
      </w:pPr>
      <w:r>
        <w:t xml:space="preserve">Pihak yang terdampak wajib memberitahukan Keadaan Kahar secara tertulis kepada Pihak lainnya paling lambat 2 (dua) hari kalender sejak Keadaan Kahar terjadi, disertai penjelasan dan bukti pendukung, termasuk keterangan dari instansi berwenang apabila tersedia. Apabila pemberitahuan tidak disampaikan dalam jangka waktu tersebut, Keadaan Kahar tidak dapat dijadikan alasan untuk tidak memenuhi kewajiban.</w:t>
      </w:r>
    </w:p>
    <w:p>
      <w:pPr>
        <w:pStyle w:val="Compact"/>
        <w:numPr>
          <w:ilvl w:val="0"/>
          <w:numId w:val="1022"/>
        </w:numPr>
      </w:pPr>
      <w:r>
        <w:t xml:space="preserve">Selama Keadaan Kahar berlangsung, kewajiban yang terdampak ditangguhkan. Pihak yang terdampak wajib berupaya secara wajar untuk mengurangi dampaknya, dan memberitahukan berakhirnya Keadaan Kahar secara tertulis paling lambat 2 (dua) hari kalender setelah Keadaan Kahar berakhir.</w:t>
      </w:r>
    </w:p>
    <w:p>
      <w:pPr>
        <w:pStyle w:val="Compact"/>
        <w:numPr>
          <w:ilvl w:val="0"/>
          <w:numId w:val="1022"/>
        </w:numPr>
      </w:pPr>
      <w:r>
        <w:t xml:space="preserve">Apabila kewajiban yang terdampak tetap tidak dapat dipenuhi setelah 21 (dua puluh satu) hari kalender sejak pemberitahuan dalam ayat (3), kewajiban tersebut atau Perjanjian ini dinyatakan batal berdasarkan kesepakatan tertulis Para Pihak, tanpa tuntutan ganti rugi dari satu Pihak kepada Pihak lainnya.</w:t>
      </w:r>
    </w:p>
    <w:p>
      <w:pPr>
        <w:pStyle w:val="Compact"/>
        <w:numPr>
          <w:ilvl w:val="0"/>
          <w:numId w:val="1022"/>
        </w:numPr>
      </w:pPr>
      <w:r>
        <w:t xml:space="preserve">Pembatalan karena Keadaan Kahar tidak menghapus hak dan kewajiban yang telah timbul sebelumnya, termasuk komisi atas pembayaran Klien yang telah diterima TEMAN JOURNEY.</w:t>
      </w:r>
    </w:p>
    <w:bookmarkEnd w:id="27"/>
    <w:bookmarkStart w:id="28" w:name="pasal-20---penyelesaian-perselisihan"/>
    <w:p>
      <w:pPr>
        <w:pStyle w:val="Heading2"/>
      </w:pPr>
      <w:r>
        <w:t xml:space="preserve">Pasal 20 - Penyelesaian Perselisihan</w:t>
      </w:r>
    </w:p>
    <w:p>
      <w:pPr>
        <w:pStyle w:val="Compact"/>
        <w:numPr>
          <w:ilvl w:val="0"/>
          <w:numId w:val="1023"/>
        </w:numPr>
      </w:pPr>
      <w:r>
        <w:t xml:space="preserve">Perselisihan diselesaikan terlebih dahulu secara musyawarah dalam waktu 30 (tiga puluh) hari.</w:t>
      </w:r>
    </w:p>
    <w:p>
      <w:pPr>
        <w:pStyle w:val="Compact"/>
        <w:numPr>
          <w:ilvl w:val="0"/>
          <w:numId w:val="1023"/>
        </w:numPr>
      </w:pPr>
      <w:r>
        <w:t xml:space="preserve">Apabila musyawarah tidak mencapai kesepakatan, Para Pihak memilih penyelesaian melalui Pengadilan Negeri Jakarta Selatan.</w:t>
      </w:r>
    </w:p>
    <w:bookmarkEnd w:id="28"/>
    <w:bookmarkStart w:id="29" w:name="pasal-21---ketentuan-lain"/>
    <w:p>
      <w:pPr>
        <w:pStyle w:val="Heading2"/>
      </w:pPr>
      <w:r>
        <w:t xml:space="preserve">Pasal 21 - Ketentuan Lain</w:t>
      </w:r>
    </w:p>
    <w:p>
      <w:pPr>
        <w:pStyle w:val="Compact"/>
        <w:numPr>
          <w:ilvl w:val="0"/>
          <w:numId w:val="1024"/>
        </w:numPr>
      </w:pPr>
      <w:r>
        <w:t xml:space="preserve">Perubahan Perjanjian hanya sah apabila dibuat secara tertulis dalam bentuk addendum yang ditandatangani Para Pihak.</w:t>
      </w:r>
    </w:p>
    <w:p>
      <w:pPr>
        <w:pStyle w:val="Compact"/>
        <w:numPr>
          <w:ilvl w:val="0"/>
          <w:numId w:val="1024"/>
        </w:numPr>
      </w:pPr>
      <w:r>
        <w:t xml:space="preserve">Lampiran A (Contoh Perhitungan), Lampiran B (Daftar Biaya Standar), Lampiran C (Daftar Harga), dan Lampiran Kualifikasi &amp; Lingkup Peran Mitra Strategic Partnership merupakan bagian tidak terpisahkan dari Perjanjian ini. Apabila terdapat perbedaan antara contoh dalam Lampiran A dan isi Pasal, isi Pasal yang berlaku.</w:t>
      </w:r>
    </w:p>
    <w:p>
      <w:pPr>
        <w:pStyle w:val="Compact"/>
        <w:numPr>
          <w:ilvl w:val="0"/>
          <w:numId w:val="1024"/>
        </w:numPr>
      </w:pPr>
      <w:r>
        <w:t xml:space="preserve">Perjanjian ini dibuat dalam Bahasa Indonesia, rangkap 2 (dua), masing-masing bermeterai cukup dan mempunyai kekuatan hukum yang sama.</w:t>
      </w:r>
    </w:p>
    <w:p>
      <w:pPr>
        <w:pStyle w:val="FirstParagraph"/>
      </w:pPr>
      <w:r>
        <w:t xml:space="preserve">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TEMAN JOURNEY</w:t>
            </w:r>
          </w:p>
        </w:tc>
        <w:tc>
          <w:tcPr/>
          <w:p>
            <w:pPr>
              <w:pStyle w:val="Compact"/>
            </w:pPr>
            <w:r>
              <w:t xml:space="preserve">MITRA</w:t>
            </w:r>
          </w:p>
        </w:tc>
      </w:tr>
      <w:tr>
        <w:tc>
          <w:tcPr/>
          <w:p>
            <w:pPr>
              <w:pStyle w:val="Compact"/>
            </w:pPr>
            <w:r>
              <w:t xml:space="preserve">PT Indo Medika Resolusi</w:t>
            </w:r>
          </w:p>
        </w:tc>
        <w:tc>
          <w:tcPr/>
          <w:p>
            <w:pPr>
              <w:pStyle w:val="Compact"/>
            </w:pPr>
          </w:p>
        </w:tc>
      </w:tr>
      <w:tr>
        <w:tc>
          <w:tcPr/>
          <w:p>
            <w:pPr>
              <w:pStyle w:val="Compact"/>
            </w:pPr>
            <w:r>
              <w:t xml:space="preserve"> </w:t>
            </w:r>
          </w:p>
        </w:tc>
        <w:tc>
          <w:tcPr/>
          <w:p>
            <w:pPr>
              <w:pStyle w:val="Compact"/>
            </w:pPr>
            <w:r>
              <w:t xml:space="preserve"> </w:t>
            </w:r>
          </w:p>
        </w:tc>
      </w:tr>
      <w:tr>
        <w:tc>
          <w:tcPr/>
          <w:p>
            <w:pPr>
              <w:pStyle w:val="Compact"/>
            </w:pPr>
            <w:r>
              <w:t xml:space="preserve"> </w:t>
            </w:r>
          </w:p>
        </w:tc>
        <w:tc>
          <w:tcPr/>
          <w:p>
            <w:pPr>
              <w:pStyle w:val="Compact"/>
            </w:pPr>
            <w:r>
              <w:t xml:space="preserve"> </w:t>
            </w:r>
          </w:p>
        </w:tc>
      </w:tr>
      <w:tr>
        <w:tc>
          <w:tcPr/>
          <w:p>
            <w:pPr>
              <w:pStyle w:val="Compact"/>
            </w:pPr>
            <w:r>
              <w:t xml:space="preserve">Riskia Ramadhina Sukriananda, M.Psi., Psikolog</w:t>
            </w:r>
          </w:p>
        </w:tc>
        <w:tc>
          <w:tcPr/>
          <w:p>
            <w:pPr>
              <w:pStyle w:val="Compact"/>
            </w:pPr>
            <w:r>
              <w:t xml:space="preserve">Iza Nur Aviva</w:t>
            </w:r>
          </w:p>
        </w:tc>
      </w:tr>
      <w:tr>
        <w:tc>
          <w:tcPr/>
          <w:p>
            <w:pPr>
              <w:pStyle w:val="Compact"/>
            </w:pPr>
            <w:r>
              <w:t xml:space="preserve">Direktur [CEK sesuai akta]</w:t>
            </w:r>
          </w:p>
        </w:tc>
        <w:tc>
          <w:tcPr/>
          <w:p>
            <w:pPr>
              <w:pStyle w:val="Compact"/>
            </w:pPr>
            <w:r>
              <w:t xml:space="preserve">Mitra Strategic Partnership</w:t>
            </w:r>
          </w:p>
        </w:tc>
      </w:tr>
    </w:tbl>
    <w:p>
      <w:r>
        <w:br w:type="page"/>
      </w:r>
    </w:p>
    <w:bookmarkEnd w:id="29"/>
    <w:bookmarkStart w:id="30" w:name="lampiran-a---contoh-perhitungan"/>
    <w:p>
      <w:pPr>
        <w:pStyle w:val="Heading2"/>
      </w:pPr>
      <w:r>
        <w:t xml:space="preserve">Lampiran A - Contoh Perhitungan</w:t>
      </w:r>
    </w:p>
    <w:p>
      <w:pPr>
        <w:pStyle w:val="FirstParagraph"/>
      </w:pPr>
      <w:r>
        <w:t xml:space="preserve">Contoh memakai Daftar Harga (Lampiran C) dan Biaya Standar (Lampiran B). Pajak yang Dipotong Klien dihitung 2% (PPh Pasal 23). Semua harga belum termasuk PPN.</w:t>
      </w:r>
    </w:p>
    <w:p>
      <w:pPr>
        <w:pStyle w:val="BodyText"/>
      </w:pPr>
      <w:r>
        <w:rPr>
          <w:b/>
          <w:bCs/>
        </w:rPr>
        <w:t xml:space="preserve">Contoh 1. Program pelatih (ToT) regional, 1 hari, dijual sesuai Harga Daftar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Komponen</w:t>
            </w:r>
          </w:p>
        </w:tc>
        <w:tc>
          <w:tcPr/>
          <w:p>
            <w:pPr>
              <w:pStyle w:val="Compact"/>
            </w:pPr>
            <w:r>
              <w:t xml:space="preserve">Nilai</w:t>
            </w:r>
          </w:p>
        </w:tc>
      </w:tr>
      <w:tr>
        <w:tc>
          <w:tcPr/>
          <w:p>
            <w:pPr>
              <w:pStyle w:val="Compact"/>
            </w:pPr>
            <w:r>
              <w:t xml:space="preserve">Harga Daftar dan Harga Event</w:t>
            </w:r>
          </w:p>
        </w:tc>
        <w:tc>
          <w:tcPr/>
          <w:p>
            <w:pPr>
              <w:pStyle w:val="Compact"/>
            </w:pPr>
            <w:r>
              <w:t xml:space="preserve">Rp28.500.000</w:t>
            </w:r>
          </w:p>
        </w:tc>
      </w:tr>
      <w:tr>
        <w:tc>
          <w:tcPr/>
          <w:p>
            <w:pPr>
              <w:pStyle w:val="Compact"/>
            </w:pPr>
            <w:r>
              <w:t xml:space="preserve">Biaya Standar</w:t>
            </w:r>
          </w:p>
        </w:tc>
        <w:tc>
          <w:tcPr/>
          <w:p>
            <w:pPr>
              <w:pStyle w:val="Compact"/>
            </w:pPr>
            <w:r>
              <w:t xml:space="preserve">Rp8.000.000</w:t>
            </w:r>
          </w:p>
        </w:tc>
      </w:tr>
      <w:tr>
        <w:tc>
          <w:tcPr/>
          <w:p>
            <w:pPr>
              <w:pStyle w:val="Compact"/>
            </w:pPr>
            <w:r>
              <w:t xml:space="preserve">Pajak yang Dipotong Klien (2%)</w:t>
            </w:r>
          </w:p>
        </w:tc>
        <w:tc>
          <w:tcPr/>
          <w:p>
            <w:pPr>
              <w:pStyle w:val="Compact"/>
            </w:pPr>
            <w:r>
              <w:t xml:space="preserve">Rp570.000</w:t>
            </w:r>
          </w:p>
        </w:tc>
      </w:tr>
      <w:tr>
        <w:tc>
          <w:tcPr/>
          <w:p>
            <w:pPr>
              <w:pStyle w:val="Compact"/>
            </w:pPr>
            <w:r>
              <w:t xml:space="preserve">Profit Bersih Event</w:t>
            </w:r>
          </w:p>
        </w:tc>
        <w:tc>
          <w:tcPr/>
          <w:p>
            <w:pPr>
              <w:pStyle w:val="Compact"/>
            </w:pPr>
            <w:r>
              <w:t xml:space="preserve">Rp19.930.000 (Margin Bersih Event 69,9%)</w:t>
            </w:r>
          </w:p>
        </w:tc>
      </w:tr>
      <w:tr>
        <w:tc>
          <w:tcPr/>
          <w:p>
            <w:pPr>
              <w:pStyle w:val="Compact"/>
            </w:pPr>
            <w:r>
              <w:t xml:space="preserve">Komisi Penutupan, Deal Penutupan ke-1 sampai ke-4 (10%)</w:t>
            </w:r>
          </w:p>
        </w:tc>
        <w:tc>
          <w:tcPr/>
          <w:p>
            <w:pPr>
              <w:pStyle w:val="Compact"/>
            </w:pPr>
            <w:r>
              <w:t xml:space="preserve">Rp1.993.000</w:t>
            </w:r>
          </w:p>
        </w:tc>
      </w:tr>
      <w:tr>
        <w:tc>
          <w:tcPr/>
          <w:p>
            <w:pPr>
              <w:pStyle w:val="Compact"/>
            </w:pPr>
            <w:r>
              <w:t xml:space="preserve">Komisi Penutupan Lanjutan, Deal Penutupan ke-5 dan seterusnya (12,5%)</w:t>
            </w:r>
          </w:p>
        </w:tc>
        <w:tc>
          <w:tcPr/>
          <w:p>
            <w:pPr>
              <w:pStyle w:val="Compact"/>
            </w:pPr>
            <w:r>
              <w:t xml:space="preserve">Rp2.491.250</w:t>
            </w:r>
          </w:p>
        </w:tc>
      </w:tr>
      <w:tr>
        <w:tc>
          <w:tcPr/>
          <w:p>
            <w:pPr>
              <w:pStyle w:val="Compact"/>
            </w:pPr>
            <w:r>
              <w:t xml:space="preserve">Komisi Perpanjangan (2,5%), bila syarat Pasal 8 terpenuhi</w:t>
            </w:r>
          </w:p>
        </w:tc>
        <w:tc>
          <w:tcPr/>
          <w:p>
            <w:pPr>
              <w:pStyle w:val="Compact"/>
            </w:pPr>
            <w:r>
              <w:t xml:space="preserve">Rp498.250</w:t>
            </w:r>
          </w:p>
        </w:tc>
      </w:tr>
    </w:tbl>
    <w:p>
      <w:pPr>
        <w:pStyle w:val="BodyText"/>
      </w:pPr>
      <w:r>
        <w:rPr>
          <w:b/>
          <w:bCs/>
        </w:rPr>
        <w:t xml:space="preserve">Contoh 2. Program yang sama dijual di atas Harga Daftar, Rp32.000.000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Komponen</w:t>
            </w:r>
          </w:p>
        </w:tc>
        <w:tc>
          <w:tcPr/>
          <w:p>
            <w:pPr>
              <w:pStyle w:val="Compact"/>
            </w:pPr>
            <w:r>
              <w:t xml:space="preserve">Nilai</w:t>
            </w:r>
          </w:p>
        </w:tc>
      </w:tr>
      <w:tr>
        <w:tc>
          <w:tcPr/>
          <w:p>
            <w:pPr>
              <w:pStyle w:val="Compact"/>
            </w:pPr>
            <w:r>
              <w:t xml:space="preserve">Komisi Penutupan (10% dari Profit Bersih Event pada Harga Daftar)</w:t>
            </w:r>
          </w:p>
        </w:tc>
        <w:tc>
          <w:tcPr/>
          <w:p>
            <w:pPr>
              <w:pStyle w:val="Compact"/>
            </w:pPr>
            <w:r>
              <w:t xml:space="preserve">Rp1.993.000</w:t>
            </w:r>
          </w:p>
        </w:tc>
      </w:tr>
      <w:tr>
        <w:tc>
          <w:tcPr/>
          <w:p>
            <w:pPr>
              <w:pStyle w:val="Compact"/>
            </w:pPr>
            <w:r>
              <w:t xml:space="preserve">Selisih di Atas Harga Daftar (Rp32.000.000 dikurangi Rp28.500.000)</w:t>
            </w:r>
          </w:p>
        </w:tc>
        <w:tc>
          <w:tcPr/>
          <w:p>
            <w:pPr>
              <w:pStyle w:val="Compact"/>
            </w:pPr>
            <w:r>
              <w:t xml:space="preserve">Rp3.500.000</w:t>
            </w:r>
          </w:p>
        </w:tc>
      </w:tr>
      <w:tr>
        <w:tc>
          <w:tcPr/>
          <w:p>
            <w:pPr>
              <w:pStyle w:val="Compact"/>
            </w:pPr>
            <w:r>
              <w:t xml:space="preserve">Bagi hasil di atas Harga Daftar (30%)</w:t>
            </w:r>
          </w:p>
        </w:tc>
        <w:tc>
          <w:tcPr/>
          <w:p>
            <w:pPr>
              <w:pStyle w:val="Compact"/>
            </w:pPr>
            <w:r>
              <w:t xml:space="preserve">Rp1.050.000</w:t>
            </w:r>
          </w:p>
        </w:tc>
      </w:tr>
      <w:tr>
        <w:tc>
          <w:tcPr/>
          <w:p>
            <w:pPr>
              <w:pStyle w:val="Compact"/>
            </w:pPr>
            <w:r>
              <w:rPr>
                <w:b/>
                <w:bCs/>
              </w:rPr>
              <w:t xml:space="preserve">Total diterima MITRA</w:t>
            </w:r>
          </w:p>
        </w:tc>
        <w:tc>
          <w:tcPr/>
          <w:p>
            <w:pPr>
              <w:pStyle w:val="Compact"/>
            </w:pPr>
            <w:r>
              <w:rPr>
                <w:b/>
                <w:bCs/>
              </w:rPr>
              <w:t xml:space="preserve">Rp3.043.000</w:t>
            </w:r>
          </w:p>
        </w:tc>
      </w:tr>
      <w:tr>
        <w:tc>
          <w:tcPr/>
          <w:p>
            <w:pPr>
              <w:pStyle w:val="Compact"/>
            </w:pPr>
            <w:r>
              <w:t xml:space="preserve">Harga Event yang dihitung untuk Bonus Semester</w:t>
            </w:r>
          </w:p>
        </w:tc>
        <w:tc>
          <w:tcPr/>
          <w:p>
            <w:pPr>
              <w:pStyle w:val="Compact"/>
            </w:pPr>
            <w:r>
              <w:t xml:space="preserve">Rp32.000.000</w:t>
            </w:r>
          </w:p>
        </w:tc>
      </w:tr>
    </w:tbl>
    <w:p>
      <w:pPr>
        <w:pStyle w:val="BodyText"/>
      </w:pPr>
      <w:r>
        <w:rPr>
          <w:b/>
          <w:bCs/>
        </w:rPr>
        <w:t xml:space="preserve">Contoh 3. EAP Tahunan, 4 term, dibayar per kuartal</w:t>
      </w:r>
    </w:p>
    <w:p>
      <w:pPr>
        <w:pStyle w:val="BodyText"/>
      </w:pPr>
      <w:r>
        <w:t xml:space="preserve">Kontrak 1 tahun senilai Rp44.000.000, dibayar 4 kali Rp11.000.000 di awal setiap kuartal. Setiap kuartal memuat 15 sesi konseling online, 1 putaran Mental Health Check-Up untuk 5 pegawai, 1 laporan agregat, dan 1 webinar.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Komponen</w:t>
            </w:r>
          </w:p>
        </w:tc>
        <w:tc>
          <w:tcPr/>
          <w:p>
            <w:pPr>
              <w:pStyle w:val="Compact"/>
            </w:pPr>
            <w:r>
              <w:t xml:space="preserve">Per kuartal</w:t>
            </w:r>
          </w:p>
        </w:tc>
        <w:tc>
          <w:tcPr/>
          <w:p>
            <w:pPr>
              <w:pStyle w:val="Compact"/>
            </w:pPr>
            <w:r>
              <w:t xml:space="preserve">Per tahun</w:t>
            </w:r>
          </w:p>
        </w:tc>
      </w:tr>
      <w:tr>
        <w:tc>
          <w:tcPr/>
          <w:p>
            <w:pPr>
              <w:pStyle w:val="Compact"/>
            </w:pPr>
            <w:r>
              <w:t xml:space="preserve">Harga Daftar dan Harga Event</w:t>
            </w:r>
          </w:p>
        </w:tc>
        <w:tc>
          <w:tcPr/>
          <w:p>
            <w:pPr>
              <w:pStyle w:val="Compact"/>
            </w:pPr>
            <w:r>
              <w:t xml:space="preserve">Rp11.000.000</w:t>
            </w:r>
          </w:p>
        </w:tc>
        <w:tc>
          <w:tcPr/>
          <w:p>
            <w:pPr>
              <w:pStyle w:val="Compact"/>
            </w:pPr>
            <w:r>
              <w:t xml:space="preserve">Rp44.000.000</w:t>
            </w:r>
          </w:p>
        </w:tc>
      </w:tr>
      <w:tr>
        <w:tc>
          <w:tcPr/>
          <w:p>
            <w:pPr>
              <w:pStyle w:val="Compact"/>
            </w:pPr>
            <w:r>
              <w:t xml:space="preserve">Biaya Standar (konseling, MHCU, laporan, webinar, administrasi)</w:t>
            </w:r>
          </w:p>
        </w:tc>
        <w:tc>
          <w:tcPr/>
          <w:p>
            <w:pPr>
              <w:pStyle w:val="Compact"/>
            </w:pPr>
            <w:r>
              <w:t xml:space="preserve">Rp8.525.000</w:t>
            </w:r>
          </w:p>
        </w:tc>
        <w:tc>
          <w:tcPr/>
          <w:p>
            <w:pPr>
              <w:pStyle w:val="Compact"/>
            </w:pPr>
            <w:r>
              <w:t xml:space="preserve">Rp34.100.000</w:t>
            </w:r>
          </w:p>
        </w:tc>
      </w:tr>
      <w:tr>
        <w:tc>
          <w:tcPr/>
          <w:p>
            <w:pPr>
              <w:pStyle w:val="Compact"/>
            </w:pPr>
            <w:r>
              <w:t xml:space="preserve">Pajak yang Dipotong Klien (2%)</w:t>
            </w:r>
          </w:p>
        </w:tc>
        <w:tc>
          <w:tcPr/>
          <w:p>
            <w:pPr>
              <w:pStyle w:val="Compact"/>
            </w:pPr>
            <w:r>
              <w:t xml:space="preserve">Rp220.000</w:t>
            </w:r>
          </w:p>
        </w:tc>
        <w:tc>
          <w:tcPr/>
          <w:p>
            <w:pPr>
              <w:pStyle w:val="Compact"/>
            </w:pPr>
            <w:r>
              <w:t xml:space="preserve">Rp880.000</w:t>
            </w:r>
          </w:p>
        </w:tc>
      </w:tr>
      <w:tr>
        <w:tc>
          <w:tcPr/>
          <w:p>
            <w:pPr>
              <w:pStyle w:val="Compact"/>
            </w:pPr>
            <w:r>
              <w:t xml:space="preserve">Profit Bersih Event</w:t>
            </w:r>
          </w:p>
        </w:tc>
        <w:tc>
          <w:tcPr/>
          <w:p>
            <w:pPr>
              <w:pStyle w:val="Compact"/>
            </w:pPr>
            <w:r>
              <w:t xml:space="preserve">Rp2.255.000 (20,5%)</w:t>
            </w:r>
          </w:p>
        </w:tc>
        <w:tc>
          <w:tcPr/>
          <w:p>
            <w:pPr>
              <w:pStyle w:val="Compact"/>
            </w:pPr>
            <w:r>
              <w:t xml:space="preserve">Rp9.020.000</w:t>
            </w:r>
          </w:p>
        </w:tc>
      </w:tr>
      <w:tr>
        <w:tc>
          <w:tcPr/>
          <w:p>
            <w:pPr>
              <w:pStyle w:val="Compact"/>
            </w:pPr>
            <w:r>
              <w:t xml:space="preserve">Komisi tetap EAP Tahunan baru (Pasal 6)</w:t>
            </w:r>
          </w:p>
        </w:tc>
        <w:tc>
          <w:tcPr/>
          <w:p>
            <w:pPr>
              <w:pStyle w:val="Compact"/>
            </w:pPr>
          </w:p>
        </w:tc>
        <w:tc>
          <w:tcPr/>
          <w:p>
            <w:pPr>
              <w:pStyle w:val="Compact"/>
            </w:pPr>
            <w:r>
              <w:t xml:space="preserve">Rp1.500.000, dibayar setelah pembayaran kuartal pertama</w:t>
            </w:r>
          </w:p>
        </w:tc>
      </w:tr>
      <w:tr>
        <w:tc>
          <w:tcPr/>
          <w:p>
            <w:pPr>
              <w:pStyle w:val="Compact"/>
            </w:pPr>
            <w:r>
              <w:t xml:space="preserve">Margin Bersih Event setelah komisi</w:t>
            </w:r>
          </w:p>
        </w:tc>
        <w:tc>
          <w:tcPr/>
          <w:p>
            <w:pPr>
              <w:pStyle w:val="Compact"/>
            </w:pPr>
          </w:p>
        </w:tc>
        <w:tc>
          <w:tcPr/>
          <w:p>
            <w:pPr>
              <w:pStyle w:val="Compact"/>
            </w:pPr>
            <w:r>
              <w:t xml:space="preserve">17,1% (di atas batas 15%)</w:t>
            </w:r>
          </w:p>
        </w:tc>
      </w:tr>
      <w:tr>
        <w:tc>
          <w:tcPr/>
          <w:p>
            <w:pPr>
              <w:pStyle w:val="Compact"/>
            </w:pPr>
            <w:r>
              <w:t xml:space="preserve">Perpanjangan tahun berikutnya</w:t>
            </w:r>
          </w:p>
        </w:tc>
        <w:tc>
          <w:tcPr/>
          <w:p>
            <w:pPr>
              <w:pStyle w:val="Compact"/>
            </w:pPr>
          </w:p>
        </w:tc>
        <w:tc>
          <w:tcPr/>
          <w:p>
            <w:pPr>
              <w:pStyle w:val="Compact"/>
            </w:pPr>
            <w:r>
              <w:t xml:space="preserve">Rp1.000.000</w:t>
            </w:r>
          </w:p>
        </w:tc>
      </w:tr>
      <w:tr>
        <w:tc>
          <w:tcPr/>
          <w:p>
            <w:pPr>
              <w:pStyle w:val="Compact"/>
            </w:pPr>
            <w:r>
              <w:t xml:space="preserve">Harga Event yang dihitung untuk Bonus Semester</w:t>
            </w:r>
          </w:p>
        </w:tc>
        <w:tc>
          <w:tcPr/>
          <w:p>
            <w:pPr>
              <w:pStyle w:val="Compact"/>
            </w:pPr>
          </w:p>
        </w:tc>
        <w:tc>
          <w:tcPr/>
          <w:p>
            <w:pPr>
              <w:pStyle w:val="Compact"/>
            </w:pPr>
            <w:r>
              <w:t xml:space="preserve">Rp44.000.000 (nilai penuh)</w:t>
            </w:r>
          </w:p>
        </w:tc>
      </w:tr>
    </w:tbl>
    <w:p>
      <w:pPr>
        <w:pStyle w:val="BodyText"/>
      </w:pPr>
      <w:r>
        <w:rPr>
          <w:b/>
          <w:bCs/>
        </w:rPr>
        <w:t xml:space="preserve">Contoh 4. Penghitungan Deal Penutupan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Urutan</w:t>
            </w:r>
          </w:p>
        </w:tc>
        <w:tc>
          <w:tcPr/>
          <w:p>
            <w:pPr>
              <w:pStyle w:val="Compact"/>
            </w:pPr>
            <w:r>
              <w:t xml:space="preserve">Klien</w:t>
            </w:r>
          </w:p>
        </w:tc>
        <w:tc>
          <w:tcPr/>
          <w:p>
            <w:pPr>
              <w:pStyle w:val="Compact"/>
            </w:pPr>
            <w:r>
              <w:t xml:space="preserve">SPK</w:t>
            </w:r>
          </w:p>
        </w:tc>
        <w:tc>
          <w:tcPr/>
          <w:p>
            <w:pPr>
              <w:pStyle w:val="Compact"/>
            </w:pPr>
            <w:r>
              <w:t xml:space="preserve">Harga Event</w:t>
            </w:r>
          </w:p>
        </w:tc>
        <w:tc>
          <w:tcPr/>
          <w:p>
            <w:pPr>
              <w:pStyle w:val="Compact"/>
            </w:pPr>
            <w:r>
              <w:t xml:space="preserve">Dihitung sebagai Deal Penutupan?</w:t>
            </w:r>
          </w:p>
        </w:tc>
        <w:tc>
          <w:tcPr/>
          <w:p>
            <w:pPr>
              <w:pStyle w:val="Compact"/>
            </w:pPr>
            <w:r>
              <w:t xml:space="preserve">Komisi</w:t>
            </w:r>
          </w:p>
        </w:tc>
      </w:tr>
      <w:tr>
        <w:tc>
          <w:tcPr/>
          <w:p>
            <w:pPr>
              <w:pStyle w:val="Compact"/>
            </w:pPr>
            <w:r>
              <w:t xml:space="preserve">1</w:t>
            </w:r>
          </w:p>
        </w:tc>
        <w:tc>
          <w:tcPr/>
          <w:p>
            <w:pPr>
              <w:pStyle w:val="Compact"/>
            </w:pPr>
            <w:r>
              <w:t xml:space="preserve">Klien A</w:t>
            </w:r>
          </w:p>
        </w:tc>
        <w:tc>
          <w:tcPr/>
          <w:p>
            <w:pPr>
              <w:pStyle w:val="Compact"/>
            </w:pPr>
            <w:r>
              <w:t xml:space="preserve">Pelatihan regional</w:t>
            </w:r>
          </w:p>
        </w:tc>
        <w:tc>
          <w:tcPr/>
          <w:p>
            <w:pPr>
              <w:pStyle w:val="Compact"/>
            </w:pPr>
            <w:r>
              <w:t xml:space="preserve">Rp28.500.000</w:t>
            </w:r>
          </w:p>
        </w:tc>
        <w:tc>
          <w:tcPr/>
          <w:p>
            <w:pPr>
              <w:pStyle w:val="Compact"/>
            </w:pPr>
            <w:r>
              <w:t xml:space="preserve">Ya, ke-1</w:t>
            </w:r>
          </w:p>
        </w:tc>
        <w:tc>
          <w:tcPr/>
          <w:p>
            <w:pPr>
              <w:pStyle w:val="Compact"/>
            </w:pPr>
            <w:r>
              <w:t xml:space="preserve">10% dari profit</w:t>
            </w:r>
          </w:p>
        </w:tc>
      </w:tr>
      <w:tr>
        <w:tc>
          <w:tcPr/>
          <w:p>
            <w:pPr>
              <w:pStyle w:val="Compact"/>
            </w:pPr>
            <w:r>
              <w:t xml:space="preserve">2</w:t>
            </w:r>
          </w:p>
        </w:tc>
        <w:tc>
          <w:tcPr/>
          <w:p>
            <w:pPr>
              <w:pStyle w:val="Compact"/>
            </w:pPr>
            <w:r>
              <w:t xml:space="preserve">Klien B</w:t>
            </w:r>
          </w:p>
        </w:tc>
        <w:tc>
          <w:tcPr/>
          <w:p>
            <w:pPr>
              <w:pStyle w:val="Compact"/>
            </w:pPr>
            <w:r>
              <w:t xml:space="preserve">EAP Tahunan dibayar per kuartal</w:t>
            </w:r>
          </w:p>
        </w:tc>
        <w:tc>
          <w:tcPr/>
          <w:p>
            <w:pPr>
              <w:pStyle w:val="Compact"/>
            </w:pPr>
            <w:r>
              <w:t xml:space="preserve">Rp44.000.000</w:t>
            </w:r>
          </w:p>
        </w:tc>
        <w:tc>
          <w:tcPr/>
          <w:p>
            <w:pPr>
              <w:pStyle w:val="Compact"/>
            </w:pPr>
            <w:r>
              <w:t xml:space="preserve">Ya, ke-2</w:t>
            </w:r>
          </w:p>
        </w:tc>
        <w:tc>
          <w:tcPr/>
          <w:p>
            <w:pPr>
              <w:pStyle w:val="Compact"/>
            </w:pPr>
            <w:r>
              <w:t xml:space="preserve">Rp1.500.000 tetap</w:t>
            </w:r>
          </w:p>
        </w:tc>
      </w:tr>
      <w:tr>
        <w:tc>
          <w:tcPr/>
          <w:p>
            <w:pPr>
              <w:pStyle w:val="Compact"/>
            </w:pPr>
            <w:r>
              <w:t xml:space="preserve">3</w:t>
            </w:r>
          </w:p>
        </w:tc>
        <w:tc>
          <w:tcPr/>
          <w:p>
            <w:pPr>
              <w:pStyle w:val="Compact"/>
            </w:pPr>
            <w:r>
              <w:t xml:space="preserve">Klien A</w:t>
            </w:r>
          </w:p>
        </w:tc>
        <w:tc>
          <w:tcPr/>
          <w:p>
            <w:pPr>
              <w:pStyle w:val="Compact"/>
            </w:pPr>
            <w:r>
              <w:t xml:space="preserve">Pelatihan regional tambahan, dipimpin MITRA</w:t>
            </w:r>
          </w:p>
        </w:tc>
        <w:tc>
          <w:tcPr/>
          <w:p>
            <w:pPr>
              <w:pStyle w:val="Compact"/>
            </w:pPr>
            <w:r>
              <w:t xml:space="preserve">Rp28.500.000</w:t>
            </w:r>
          </w:p>
        </w:tc>
        <w:tc>
          <w:tcPr/>
          <w:p>
            <w:pPr>
              <w:pStyle w:val="Compact"/>
            </w:pPr>
            <w:r>
              <w:t xml:space="preserve">Ya, ke-3</w:t>
            </w:r>
          </w:p>
        </w:tc>
        <w:tc>
          <w:tcPr/>
          <w:p>
            <w:pPr>
              <w:pStyle w:val="Compact"/>
            </w:pPr>
            <w:r>
              <w:t xml:space="preserve">10% dari profit</w:t>
            </w:r>
          </w:p>
        </w:tc>
      </w:tr>
      <w:tr>
        <w:tc>
          <w:tcPr/>
          <w:p>
            <w:pPr>
              <w:pStyle w:val="Compact"/>
            </w:pPr>
            <w:r>
              <w:t xml:space="preserve">4</w:t>
            </w:r>
          </w:p>
        </w:tc>
        <w:tc>
          <w:tcPr/>
          <w:p>
            <w:pPr>
              <w:pStyle w:val="Compact"/>
            </w:pPr>
            <w:r>
              <w:t xml:space="preserve">Klien C</w:t>
            </w:r>
          </w:p>
        </w:tc>
        <w:tc>
          <w:tcPr/>
          <w:p>
            <w:pPr>
              <w:pStyle w:val="Compact"/>
            </w:pPr>
            <w:r>
              <w:t xml:space="preserve">Webinar</w:t>
            </w:r>
          </w:p>
        </w:tc>
        <w:tc>
          <w:tcPr/>
          <w:p>
            <w:pPr>
              <w:pStyle w:val="Compact"/>
            </w:pPr>
            <w:r>
              <w:t xml:space="preserve">Rp5.000.000</w:t>
            </w:r>
          </w:p>
        </w:tc>
        <w:tc>
          <w:tcPr/>
          <w:p>
            <w:pPr>
              <w:pStyle w:val="Compact"/>
            </w:pPr>
            <w:r>
              <w:t xml:space="preserve">Tidak, di bawah Rp10.000.000</w:t>
            </w:r>
          </w:p>
        </w:tc>
        <w:tc>
          <w:tcPr/>
          <w:p>
            <w:pPr>
              <w:pStyle w:val="Compact"/>
            </w:pPr>
            <w:r>
              <w:t xml:space="preserve">10% dari profit</w:t>
            </w:r>
          </w:p>
        </w:tc>
      </w:tr>
      <w:tr>
        <w:tc>
          <w:tcPr/>
          <w:p>
            <w:pPr>
              <w:pStyle w:val="Compact"/>
            </w:pPr>
            <w:r>
              <w:t xml:space="preserve">5</w:t>
            </w:r>
          </w:p>
        </w:tc>
        <w:tc>
          <w:tcPr/>
          <w:p>
            <w:pPr>
              <w:pStyle w:val="Compact"/>
            </w:pPr>
            <w:r>
              <w:t xml:space="preserve">Klien D</w:t>
            </w:r>
          </w:p>
        </w:tc>
        <w:tc>
          <w:tcPr/>
          <w:p>
            <w:pPr>
              <w:pStyle w:val="Compact"/>
            </w:pPr>
            <w:r>
              <w:t xml:space="preserve">Program bank</w:t>
            </w:r>
          </w:p>
        </w:tc>
        <w:tc>
          <w:tcPr/>
          <w:p>
            <w:pPr>
              <w:pStyle w:val="Compact"/>
            </w:pPr>
            <w:r>
              <w:t xml:space="preserve">Rp51.000.000</w:t>
            </w:r>
          </w:p>
        </w:tc>
        <w:tc>
          <w:tcPr/>
          <w:p>
            <w:pPr>
              <w:pStyle w:val="Compact"/>
            </w:pPr>
            <w:r>
              <w:t xml:space="preserve">Ya, ke-4</w:t>
            </w:r>
          </w:p>
        </w:tc>
        <w:tc>
          <w:tcPr/>
          <w:p>
            <w:pPr>
              <w:pStyle w:val="Compact"/>
            </w:pPr>
            <w:r>
              <w:t xml:space="preserve">10% dari profit</w:t>
            </w:r>
          </w:p>
        </w:tc>
      </w:tr>
      <w:tr>
        <w:tc>
          <w:tcPr/>
          <w:p>
            <w:pPr>
              <w:pStyle w:val="Compact"/>
            </w:pPr>
            <w:r>
              <w:t xml:space="preserve">6</w:t>
            </w:r>
          </w:p>
        </w:tc>
        <w:tc>
          <w:tcPr/>
          <w:p>
            <w:pPr>
              <w:pStyle w:val="Compact"/>
            </w:pPr>
            <w:r>
              <w:t xml:space="preserve">Klien E</w:t>
            </w:r>
          </w:p>
        </w:tc>
        <w:tc>
          <w:tcPr/>
          <w:p>
            <w:pPr>
              <w:pStyle w:val="Compact"/>
            </w:pPr>
            <w:r>
              <w:t xml:space="preserve">Pelatihan regional</w:t>
            </w:r>
          </w:p>
        </w:tc>
        <w:tc>
          <w:tcPr/>
          <w:p>
            <w:pPr>
              <w:pStyle w:val="Compact"/>
            </w:pPr>
            <w:r>
              <w:t xml:space="preserve">Rp28.500.000</w:t>
            </w:r>
          </w:p>
        </w:tc>
        <w:tc>
          <w:tcPr/>
          <w:p>
            <w:pPr>
              <w:pStyle w:val="Compact"/>
            </w:pPr>
            <w:r>
              <w:t xml:space="preserve">Ya, ke-5</w:t>
            </w:r>
          </w:p>
        </w:tc>
        <w:tc>
          <w:tcPr/>
          <w:p>
            <w:pPr>
              <w:pStyle w:val="Compact"/>
            </w:pPr>
            <w:r>
              <w:t xml:space="preserve">12,5% dari profit</w:t>
            </w:r>
          </w:p>
        </w:tc>
      </w:tr>
      <w:tr>
        <w:tc>
          <w:tcPr/>
          <w:p>
            <w:pPr>
              <w:pStyle w:val="Compact"/>
            </w:pPr>
            <w:r>
              <w:t xml:space="preserve">7</w:t>
            </w:r>
          </w:p>
        </w:tc>
        <w:tc>
          <w:tcPr/>
          <w:p>
            <w:pPr>
              <w:pStyle w:val="Compact"/>
            </w:pPr>
            <w:r>
              <w:t xml:space="preserve">Klien B</w:t>
            </w:r>
          </w:p>
        </w:tc>
        <w:tc>
          <w:tcPr/>
          <w:p>
            <w:pPr>
              <w:pStyle w:val="Compact"/>
            </w:pPr>
            <w:r>
              <w:t xml:space="preserve">Perpanjangan EAP tanpa negosiasi oleh MITRA</w:t>
            </w:r>
          </w:p>
        </w:tc>
        <w:tc>
          <w:tcPr/>
          <w:p>
            <w:pPr>
              <w:pStyle w:val="Compact"/>
            </w:pPr>
            <w:r>
              <w:t xml:space="preserve">Rp44.000.000</w:t>
            </w:r>
          </w:p>
        </w:tc>
        <w:tc>
          <w:tcPr/>
          <w:p>
            <w:pPr>
              <w:pStyle w:val="Compact"/>
            </w:pPr>
            <w:r>
              <w:t xml:space="preserve">Tidak, Perpanjangan</w:t>
            </w:r>
          </w:p>
        </w:tc>
        <w:tc>
          <w:tcPr/>
          <w:p>
            <w:pPr>
              <w:pStyle w:val="Compact"/>
            </w:pPr>
            <w:r>
              <w:t xml:space="preserve">Rp1.000.000 bila syarat Pasal 8 terpenuhi</w:t>
            </w:r>
          </w:p>
        </w:tc>
      </w:tr>
    </w:tbl>
    <w:p>
      <w:pPr>
        <w:pStyle w:val="BodyText"/>
      </w:pPr>
      <w:r>
        <w:rPr>
          <w:b/>
          <w:bCs/>
        </w:rPr>
        <w:t xml:space="preserve">Contoh 5. Satu Semester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Deal Penutupan dalam Semester</w:t>
            </w:r>
          </w:p>
        </w:tc>
        <w:tc>
          <w:tcPr/>
          <w:p>
            <w:pPr>
              <w:pStyle w:val="Compact"/>
            </w:pPr>
            <w:r>
              <w:t xml:space="preserve">Harga Event</w:t>
            </w:r>
          </w:p>
        </w:tc>
        <w:tc>
          <w:tcPr/>
          <w:p>
            <w:pPr>
              <w:pStyle w:val="Compact"/>
            </w:pPr>
            <w:r>
              <w:t xml:space="preserve">Diterima MITRA</w:t>
            </w:r>
          </w:p>
        </w:tc>
      </w:tr>
      <w:tr>
        <w:tc>
          <w:tcPr/>
          <w:p>
            <w:pPr>
              <w:pStyle w:val="Compact"/>
            </w:pPr>
            <w:r>
              <w:t xml:space="preserve">Program bank BUMN, 2 hari</w:t>
            </w:r>
          </w:p>
        </w:tc>
        <w:tc>
          <w:tcPr/>
          <w:p>
            <w:pPr>
              <w:pStyle w:val="Compact"/>
            </w:pPr>
            <w:r>
              <w:t xml:space="preserve">Rp102.000.000</w:t>
            </w:r>
          </w:p>
        </w:tc>
        <w:tc>
          <w:tcPr/>
          <w:p>
            <w:pPr>
              <w:pStyle w:val="Compact"/>
            </w:pPr>
            <w:r>
              <w:t xml:space="preserve">Rp7.596.000 (10% dari Profit Bersih Event Rp75.960.000)</w:t>
            </w:r>
          </w:p>
        </w:tc>
      </w:tr>
      <w:tr>
        <w:tc>
          <w:tcPr/>
          <w:p>
            <w:pPr>
              <w:pStyle w:val="Compact"/>
            </w:pPr>
            <w:r>
              <w:t xml:space="preserve">Pelatihan regional, 4 hari</w:t>
            </w:r>
          </w:p>
        </w:tc>
        <w:tc>
          <w:tcPr/>
          <w:p>
            <w:pPr>
              <w:pStyle w:val="Compact"/>
            </w:pPr>
            <w:r>
              <w:t xml:space="preserve">Rp114.000.000</w:t>
            </w:r>
          </w:p>
        </w:tc>
        <w:tc>
          <w:tcPr/>
          <w:p>
            <w:pPr>
              <w:pStyle w:val="Compact"/>
            </w:pPr>
            <w:r>
              <w:t xml:space="preserve">Rp7.972.000 (10% dari Profit Bersih Event Rp79.720.000)</w:t>
            </w:r>
          </w:p>
        </w:tc>
      </w:tr>
      <w:tr>
        <w:tc>
          <w:tcPr/>
          <w:p>
            <w:pPr>
              <w:pStyle w:val="Compact"/>
            </w:pPr>
            <w:r>
              <w:t xml:space="preserve">2 EAP Tahunan</w:t>
            </w:r>
          </w:p>
        </w:tc>
        <w:tc>
          <w:tcPr/>
          <w:p>
            <w:pPr>
              <w:pStyle w:val="Compact"/>
            </w:pPr>
            <w:r>
              <w:t xml:space="preserve">Rp88.000.000</w:t>
            </w:r>
          </w:p>
        </w:tc>
        <w:tc>
          <w:tcPr/>
          <w:p>
            <w:pPr>
              <w:pStyle w:val="Compact"/>
            </w:pPr>
            <w:r>
              <w:t xml:space="preserve">Rp3.000.000 (2 x Rp1.500.000)</w:t>
            </w:r>
          </w:p>
        </w:tc>
      </w:tr>
      <w:tr>
        <w:tc>
          <w:tcPr/>
          <w:p>
            <w:pPr>
              <w:pStyle w:val="Compact"/>
            </w:pPr>
            <w:r>
              <w:rPr>
                <w:b/>
                <w:bCs/>
              </w:rPr>
              <w:t xml:space="preserve">Jumlah Semester</w:t>
            </w:r>
          </w:p>
        </w:tc>
        <w:tc>
          <w:tcPr/>
          <w:p>
            <w:pPr>
              <w:pStyle w:val="Compact"/>
            </w:pPr>
            <w:r>
              <w:rPr>
                <w:b/>
                <w:bCs/>
              </w:rPr>
              <w:t xml:space="preserve">Rp304.000.000</w:t>
            </w:r>
          </w:p>
        </w:tc>
        <w:tc>
          <w:tcPr/>
          <w:p>
            <w:pPr>
              <w:pStyle w:val="Compact"/>
            </w:pPr>
          </w:p>
        </w:tc>
      </w:tr>
      <w:tr>
        <w:tc>
          <w:tcPr/>
          <w:p>
            <w:pPr>
              <w:pStyle w:val="Compact"/>
            </w:pPr>
            <w:r>
              <w:t xml:space="preserve">Bonus Semester (melewati ambang Rp250.000.000)</w:t>
            </w:r>
          </w:p>
        </w:tc>
        <w:tc>
          <w:tcPr/>
          <w:p>
            <w:pPr>
              <w:pStyle w:val="Compact"/>
            </w:pPr>
          </w:p>
        </w:tc>
        <w:tc>
          <w:tcPr/>
          <w:p>
            <w:pPr>
              <w:pStyle w:val="Compact"/>
            </w:pPr>
            <w:r>
              <w:t xml:space="preserve">Rp9.000.000</w:t>
            </w:r>
          </w:p>
        </w:tc>
      </w:tr>
      <w:tr>
        <w:tc>
          <w:tcPr/>
          <w:p>
            <w:pPr>
              <w:pStyle w:val="Compact"/>
            </w:pPr>
            <w:r>
              <w:rPr>
                <w:b/>
                <w:bCs/>
              </w:rPr>
              <w:t xml:space="preserve">Total Semester</w:t>
            </w:r>
          </w:p>
        </w:tc>
        <w:tc>
          <w:tcPr/>
          <w:p>
            <w:pPr>
              <w:pStyle w:val="Compact"/>
            </w:pPr>
          </w:p>
        </w:tc>
        <w:tc>
          <w:tcPr/>
          <w:p>
            <w:pPr>
              <w:pStyle w:val="Compact"/>
            </w:pPr>
            <w:r>
              <w:rPr>
                <w:b/>
                <w:bCs/>
              </w:rPr>
              <w:t xml:space="preserve">Rp27.568.000</w:t>
            </w:r>
          </w:p>
        </w:tc>
      </w:tr>
    </w:tbl>
    <w:p>
      <w:pPr>
        <w:pStyle w:val="BodyText"/>
      </w:pPr>
      <w:r>
        <w:rPr>
          <w:b/>
          <w:bCs/>
        </w:rPr>
        <w:t xml:space="preserve">Contoh 6. Batas komisi</w:t>
      </w:r>
    </w:p>
    <w:p>
      <w:pPr>
        <w:pStyle w:val="BodyText"/>
      </w:pPr>
      <w:r>
        <w:t xml:space="preserve">Direktur menyetujui potongan 5% untuk EAP Tahunan pada Contoh 3, sehingga Harga Event menjadi Rp41.800.000 per tahun. Profit Bersih Event menjadi Rp6.864.000 (Margin Bersih Event 16,4%). Komisi tetap Rp1.500.000 akan menurunkan margin menjadi 12,8%. Komisi dikurangi menjadi Rp594.000 agar Margin Bersih Event setelah komisi tetap 15%.</w:t>
      </w:r>
    </w:p>
    <w:p>
      <w:pPr>
        <w:pStyle w:val="BodyText"/>
      </w:pPr>
      <w:r>
        <w:rPr>
          <w:b/>
          <w:bCs/>
        </w:rPr>
        <w:t xml:space="preserve">Contoh 7. Semester dengan dua deal saja</w:t>
      </w:r>
    </w:p>
    <w:p>
      <w:pPr>
        <w:pStyle w:val="BodyText"/>
      </w:pPr>
      <w:r>
        <w:t xml:space="preserve">Karena nilai paket Teman Journey besar, satu atau dua deal sudah mencapai ambang Bonus Semester.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Deal Penutupan dalam Semester</w:t>
            </w:r>
          </w:p>
        </w:tc>
        <w:tc>
          <w:tcPr/>
          <w:p>
            <w:pPr>
              <w:pStyle w:val="Compact"/>
            </w:pPr>
            <w:r>
              <w:t xml:space="preserve">Harga Event</w:t>
            </w:r>
          </w:p>
        </w:tc>
        <w:tc>
          <w:tcPr/>
          <w:p>
            <w:pPr>
              <w:pStyle w:val="Compact"/>
            </w:pPr>
            <w:r>
              <w:t xml:space="preserve">Diterima MITRA</w:t>
            </w:r>
          </w:p>
        </w:tc>
      </w:tr>
      <w:tr>
        <w:tc>
          <w:tcPr/>
          <w:p>
            <w:pPr>
              <w:pStyle w:val="Compact"/>
            </w:pPr>
            <w:r>
              <w:t xml:space="preserve">1 EAP Tahunan</w:t>
            </w:r>
          </w:p>
        </w:tc>
        <w:tc>
          <w:tcPr/>
          <w:p>
            <w:pPr>
              <w:pStyle w:val="Compact"/>
            </w:pPr>
            <w:r>
              <w:t xml:space="preserve">Rp44.000.000</w:t>
            </w:r>
          </w:p>
        </w:tc>
        <w:tc>
          <w:tcPr/>
          <w:p>
            <w:pPr>
              <w:pStyle w:val="Compact"/>
            </w:pPr>
            <w:r>
              <w:t xml:space="preserve">Rp1.500.000 (komisi tetap)</w:t>
            </w:r>
          </w:p>
        </w:tc>
      </w:tr>
      <w:tr>
        <w:tc>
          <w:tcPr/>
          <w:p>
            <w:pPr>
              <w:pStyle w:val="Compact"/>
            </w:pPr>
            <w:r>
              <w:t xml:space="preserve">1 hari pelatihan regional</w:t>
            </w:r>
          </w:p>
        </w:tc>
        <w:tc>
          <w:tcPr/>
          <w:p>
            <w:pPr>
              <w:pStyle w:val="Compact"/>
            </w:pPr>
            <w:r>
              <w:t xml:space="preserve">Rp28.500.000</w:t>
            </w:r>
          </w:p>
        </w:tc>
        <w:tc>
          <w:tcPr/>
          <w:p>
            <w:pPr>
              <w:pStyle w:val="Compact"/>
            </w:pPr>
            <w:r>
              <w:t xml:space="preserve">Rp1.993.000 (10% dari Profit Bersih Event Rp19.930.000)</w:t>
            </w:r>
          </w:p>
        </w:tc>
      </w:tr>
      <w:tr>
        <w:tc>
          <w:tcPr/>
          <w:p>
            <w:pPr>
              <w:pStyle w:val="Compact"/>
            </w:pPr>
            <w:r>
              <w:rPr>
                <w:b/>
                <w:bCs/>
              </w:rPr>
              <w:t xml:space="preserve">Jumlah Semester</w:t>
            </w:r>
          </w:p>
        </w:tc>
        <w:tc>
          <w:tcPr/>
          <w:p>
            <w:pPr>
              <w:pStyle w:val="Compact"/>
            </w:pPr>
            <w:r>
              <w:rPr>
                <w:b/>
                <w:bCs/>
              </w:rPr>
              <w:t xml:space="preserve">Rp72.500.000</w:t>
            </w:r>
          </w:p>
        </w:tc>
        <w:tc>
          <w:tcPr/>
          <w:p>
            <w:pPr>
              <w:pStyle w:val="Compact"/>
            </w:pPr>
          </w:p>
        </w:tc>
      </w:tr>
      <w:tr>
        <w:tc>
          <w:tcPr/>
          <w:p>
            <w:pPr>
              <w:pStyle w:val="Compact"/>
            </w:pPr>
            <w:r>
              <w:t xml:space="preserve">Bonus Semester (melewati ambang Rp50.000.000)</w:t>
            </w:r>
          </w:p>
        </w:tc>
        <w:tc>
          <w:tcPr/>
          <w:p>
            <w:pPr>
              <w:pStyle w:val="Compact"/>
            </w:pPr>
          </w:p>
        </w:tc>
        <w:tc>
          <w:tcPr/>
          <w:p>
            <w:pPr>
              <w:pStyle w:val="Compact"/>
            </w:pPr>
            <w:r>
              <w:t xml:space="preserve">Rp1.000.000</w:t>
            </w:r>
          </w:p>
        </w:tc>
      </w:tr>
      <w:tr>
        <w:tc>
          <w:tcPr/>
          <w:p>
            <w:pPr>
              <w:pStyle w:val="Compact"/>
            </w:pPr>
            <w:r>
              <w:rPr>
                <w:b/>
                <w:bCs/>
              </w:rPr>
              <w:t xml:space="preserve">Total Semester</w:t>
            </w:r>
          </w:p>
        </w:tc>
        <w:tc>
          <w:tcPr/>
          <w:p>
            <w:pPr>
              <w:pStyle w:val="Compact"/>
            </w:pPr>
          </w:p>
        </w:tc>
        <w:tc>
          <w:tcPr/>
          <w:p>
            <w:pPr>
              <w:pStyle w:val="Compact"/>
            </w:pPr>
            <w:r>
              <w:rPr>
                <w:b/>
                <w:bCs/>
              </w:rPr>
              <w:t xml:space="preserve">Rp4.493.000</w:t>
            </w:r>
          </w:p>
        </w:tc>
      </w:tr>
    </w:tbl>
    <w:p>
      <w:r>
        <w:br w:type="page"/>
      </w:r>
    </w:p>
    <w:bookmarkEnd w:id="30"/>
    <w:bookmarkStart w:id="31" w:name="lampiran-b---daftar-biaya-standar"/>
    <w:p>
      <w:pPr>
        <w:pStyle w:val="Heading2"/>
      </w:pPr>
      <w:r>
        <w:t xml:space="preserve">Lampiran B - Daftar Biaya Standar</w:t>
      </w:r>
    </w:p>
    <w:p>
      <w:pPr>
        <w:pStyle w:val="FirstParagraph"/>
      </w:pPr>
      <w:r>
        <w:t xml:space="preserve">Tarif berlaku untuk SPK yang ditandatangani sejak tanggal Perjanjian. Perubahan tarif mengikuti Pasal 11 ayat (2) huruf 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Kategori</w:t>
            </w:r>
          </w:p>
        </w:tc>
        <w:tc>
          <w:tcPr/>
          <w:p>
            <w:pPr>
              <w:pStyle w:val="Compact"/>
            </w:pPr>
            <w:r>
              <w:t xml:space="preserve">Komponen</w:t>
            </w:r>
          </w:p>
        </w:tc>
        <w:tc>
          <w:tcPr/>
          <w:p>
            <w:pPr>
              <w:pStyle w:val="Compact"/>
            </w:pPr>
            <w:r>
              <w:t xml:space="preserve">Satuan</w:t>
            </w:r>
          </w:p>
        </w:tc>
        <w:tc>
          <w:tcPr/>
          <w:p>
            <w:pPr>
              <w:pStyle w:val="Compact"/>
            </w:pPr>
            <w:r>
              <w:t xml:space="preserve">Tarif</w:t>
            </w:r>
          </w:p>
        </w:tc>
      </w:tr>
      <w:tr>
        <w:tc>
          <w:tcPr/>
          <w:p>
            <w:pPr>
              <w:pStyle w:val="Compact"/>
            </w:pPr>
            <w:r>
              <w:t xml:space="preserve">Konseling</w:t>
            </w:r>
          </w:p>
        </w:tc>
        <w:tc>
          <w:tcPr/>
          <w:p>
            <w:pPr>
              <w:pStyle w:val="Compact"/>
            </w:pPr>
            <w:r>
              <w:t xml:space="preserve">Honor psikolog per sesi konseling (60 menit)</w:t>
            </w:r>
          </w:p>
        </w:tc>
        <w:tc>
          <w:tcPr/>
          <w:p>
            <w:pPr>
              <w:pStyle w:val="Compact"/>
            </w:pPr>
            <w:r>
              <w:t xml:space="preserve">per sesi</w:t>
            </w:r>
          </w:p>
        </w:tc>
        <w:tc>
          <w:tcPr/>
          <w:p>
            <w:pPr>
              <w:pStyle w:val="Compact"/>
            </w:pPr>
            <w:r>
              <w:t xml:space="preserve">Rp350.000</w:t>
            </w:r>
          </w:p>
        </w:tc>
      </w:tr>
      <w:tr>
        <w:tc>
          <w:tcPr/>
          <w:p>
            <w:pPr>
              <w:pStyle w:val="Compact"/>
            </w:pPr>
            <w:r>
              <w:t xml:space="preserve">Konseling</w:t>
            </w:r>
          </w:p>
        </w:tc>
        <w:tc>
          <w:tcPr/>
          <w:p>
            <w:pPr>
              <w:pStyle w:val="Compact"/>
            </w:pPr>
            <w:r>
              <w:t xml:space="preserve">Administrasi dan platform</w:t>
            </w:r>
          </w:p>
        </w:tc>
        <w:tc>
          <w:tcPr/>
          <w:p>
            <w:pPr>
              <w:pStyle w:val="Compact"/>
            </w:pPr>
            <w:r>
              <w:t xml:space="preserve">per sesi</w:t>
            </w:r>
          </w:p>
        </w:tc>
        <w:tc>
          <w:tcPr/>
          <w:p>
            <w:pPr>
              <w:pStyle w:val="Compact"/>
            </w:pPr>
            <w:r>
              <w:t xml:space="preserve">Rp35.000</w:t>
            </w:r>
          </w:p>
        </w:tc>
      </w:tr>
      <w:tr>
        <w:tc>
          <w:tcPr/>
          <w:p>
            <w:pPr>
              <w:pStyle w:val="Compact"/>
            </w:pPr>
            <w:r>
              <w:t xml:space="preserve">Asesmen</w:t>
            </w:r>
          </w:p>
        </w:tc>
        <w:tc>
          <w:tcPr/>
          <w:p>
            <w:pPr>
              <w:pStyle w:val="Compact"/>
            </w:pPr>
            <w:r>
              <w:t xml:space="preserve">Mental Health Check-Up (alat ukur dan skoring)</w:t>
            </w:r>
          </w:p>
        </w:tc>
        <w:tc>
          <w:tcPr/>
          <w:p>
            <w:pPr>
              <w:pStyle w:val="Compact"/>
            </w:pPr>
            <w:r>
              <w:t xml:space="preserve">per orang per putaran</w:t>
            </w:r>
          </w:p>
        </w:tc>
        <w:tc>
          <w:tcPr/>
          <w:p>
            <w:pPr>
              <w:pStyle w:val="Compact"/>
            </w:pPr>
            <w:r>
              <w:t xml:space="preserve">Rp70.000</w:t>
            </w:r>
          </w:p>
        </w:tc>
      </w:tr>
      <w:tr>
        <w:tc>
          <w:tcPr/>
          <w:p>
            <w:pPr>
              <w:pStyle w:val="Compact"/>
            </w:pPr>
            <w:r>
              <w:t xml:space="preserve">Asesmen</w:t>
            </w:r>
          </w:p>
        </w:tc>
        <w:tc>
          <w:tcPr/>
          <w:p>
            <w:pPr>
              <w:pStyle w:val="Compact"/>
            </w:pPr>
            <w:r>
              <w:t xml:space="preserve">Laporan agregat anonim</w:t>
            </w:r>
          </w:p>
        </w:tc>
        <w:tc>
          <w:tcPr/>
          <w:p>
            <w:pPr>
              <w:pStyle w:val="Compact"/>
            </w:pPr>
            <w:r>
              <w:t xml:space="preserve">per laporan</w:t>
            </w:r>
          </w:p>
        </w:tc>
        <w:tc>
          <w:tcPr/>
          <w:p>
            <w:pPr>
              <w:pStyle w:val="Compact"/>
            </w:pPr>
            <w:r>
              <w:t xml:space="preserve">Rp750.000</w:t>
            </w:r>
          </w:p>
        </w:tc>
      </w:tr>
      <w:tr>
        <w:tc>
          <w:tcPr/>
          <w:p>
            <w:pPr>
              <w:pStyle w:val="Compact"/>
            </w:pPr>
            <w:r>
              <w:t xml:space="preserve">Psikoedukasi</w:t>
            </w:r>
          </w:p>
        </w:tc>
        <w:tc>
          <w:tcPr/>
          <w:p>
            <w:pPr>
              <w:pStyle w:val="Compact"/>
            </w:pPr>
            <w:r>
              <w:t xml:space="preserve">Webinar online oleh psikolog</w:t>
            </w:r>
          </w:p>
        </w:tc>
        <w:tc>
          <w:tcPr/>
          <w:p>
            <w:pPr>
              <w:pStyle w:val="Compact"/>
            </w:pPr>
            <w:r>
              <w:t xml:space="preserve">per sesi</w:t>
            </w:r>
          </w:p>
        </w:tc>
        <w:tc>
          <w:tcPr/>
          <w:p>
            <w:pPr>
              <w:pStyle w:val="Compact"/>
            </w:pPr>
            <w:r>
              <w:t xml:space="preserve">Rp1.500.000</w:t>
            </w:r>
          </w:p>
        </w:tc>
      </w:tr>
      <w:tr>
        <w:tc>
          <w:tcPr/>
          <w:p>
            <w:pPr>
              <w:pStyle w:val="Compact"/>
            </w:pPr>
            <w:r>
              <w:t xml:space="preserve">Psikoedukasi</w:t>
            </w:r>
          </w:p>
        </w:tc>
        <w:tc>
          <w:tcPr/>
          <w:p>
            <w:pPr>
              <w:pStyle w:val="Compact"/>
            </w:pPr>
            <w:r>
              <w:t xml:space="preserve">Seminar offline oleh psikolog (dalam kota)</w:t>
            </w:r>
          </w:p>
        </w:tc>
        <w:tc>
          <w:tcPr/>
          <w:p>
            <w:pPr>
              <w:pStyle w:val="Compact"/>
            </w:pPr>
            <w:r>
              <w:t xml:space="preserve">per sesi</w:t>
            </w:r>
          </w:p>
        </w:tc>
        <w:tc>
          <w:tcPr/>
          <w:p>
            <w:pPr>
              <w:pStyle w:val="Compact"/>
            </w:pPr>
            <w:r>
              <w:t xml:space="preserve">Rp3.000.000</w:t>
            </w:r>
          </w:p>
        </w:tc>
      </w:tr>
      <w:tr>
        <w:tc>
          <w:tcPr/>
          <w:p>
            <w:pPr>
              <w:pStyle w:val="Compact"/>
            </w:pPr>
            <w:r>
              <w:t xml:space="preserve">Pelatihan</w:t>
            </w:r>
          </w:p>
        </w:tc>
        <w:tc>
          <w:tcPr/>
          <w:p>
            <w:pPr>
              <w:pStyle w:val="Compact"/>
            </w:pPr>
            <w:r>
              <w:t xml:space="preserve">Program pelatih (ToT) regional, 1 hari</w:t>
            </w:r>
          </w:p>
        </w:tc>
        <w:tc>
          <w:tcPr/>
          <w:p>
            <w:pPr>
              <w:pStyle w:val="Compact"/>
            </w:pPr>
            <w:r>
              <w:t xml:space="preserve">per hari</w:t>
            </w:r>
          </w:p>
        </w:tc>
        <w:tc>
          <w:tcPr/>
          <w:p>
            <w:pPr>
              <w:pStyle w:val="Compact"/>
            </w:pPr>
            <w:r>
              <w:t xml:space="preserve">Rp8.000.000 [CEK]</w:t>
            </w:r>
          </w:p>
        </w:tc>
      </w:tr>
      <w:tr>
        <w:tc>
          <w:tcPr/>
          <w:p>
            <w:pPr>
              <w:pStyle w:val="Compact"/>
            </w:pPr>
            <w:r>
              <w:t xml:space="preserve">Pelatihan</w:t>
            </w:r>
          </w:p>
        </w:tc>
        <w:tc>
          <w:tcPr/>
          <w:p>
            <w:pPr>
              <w:pStyle w:val="Compact"/>
            </w:pPr>
            <w:r>
              <w:t xml:space="preserve">Program pelatih kantor pusat, 3 hari</w:t>
            </w:r>
          </w:p>
        </w:tc>
        <w:tc>
          <w:tcPr/>
          <w:p>
            <w:pPr>
              <w:pStyle w:val="Compact"/>
            </w:pPr>
            <w:r>
              <w:t xml:space="preserve">per program</w:t>
            </w:r>
          </w:p>
        </w:tc>
        <w:tc>
          <w:tcPr/>
          <w:p>
            <w:pPr>
              <w:pStyle w:val="Compact"/>
            </w:pPr>
            <w:r>
              <w:t xml:space="preserve">Rp25.000.000 [CEK]</w:t>
            </w:r>
          </w:p>
        </w:tc>
      </w:tr>
      <w:tr>
        <w:tc>
          <w:tcPr/>
          <w:p>
            <w:pPr>
              <w:pStyle w:val="Compact"/>
            </w:pPr>
            <w:r>
              <w:t xml:space="preserve">Pelatihan</w:t>
            </w:r>
          </w:p>
        </w:tc>
        <w:tc>
          <w:tcPr/>
          <w:p>
            <w:pPr>
              <w:pStyle w:val="Compact"/>
            </w:pPr>
            <w:r>
              <w:t xml:space="preserve">Program bank, per kelompok</w:t>
            </w:r>
          </w:p>
        </w:tc>
        <w:tc>
          <w:tcPr/>
          <w:p>
            <w:pPr>
              <w:pStyle w:val="Compact"/>
            </w:pPr>
            <w:r>
              <w:t xml:space="preserve">per hari</w:t>
            </w:r>
          </w:p>
        </w:tc>
        <w:tc>
          <w:tcPr/>
          <w:p>
            <w:pPr>
              <w:pStyle w:val="Compact"/>
            </w:pPr>
            <w:r>
              <w:t xml:space="preserve">Rp12.000.000 [CEK]</w:t>
            </w:r>
          </w:p>
        </w:tc>
      </w:tr>
      <w:tr>
        <w:tc>
          <w:tcPr/>
          <w:p>
            <w:pPr>
              <w:pStyle w:val="Compact"/>
            </w:pPr>
            <w:r>
              <w:t xml:space="preserve">Event publik</w:t>
            </w:r>
          </w:p>
        </w:tc>
        <w:tc>
          <w:tcPr/>
          <w:p>
            <w:pPr>
              <w:pStyle w:val="Compact"/>
            </w:pPr>
            <w:r>
              <w:t xml:space="preserve">Event publik</w:t>
            </w:r>
          </w:p>
        </w:tc>
        <w:tc>
          <w:tcPr/>
          <w:p>
            <w:pPr>
              <w:pStyle w:val="Compact"/>
            </w:pPr>
            <w:r>
              <w:t xml:space="preserve">per event</w:t>
            </w:r>
          </w:p>
        </w:tc>
        <w:tc>
          <w:tcPr/>
          <w:p>
            <w:pPr>
              <w:pStyle w:val="Compact"/>
            </w:pPr>
            <w:r>
              <w:t xml:space="preserve">Rp8.000.000 [CEK]</w:t>
            </w:r>
          </w:p>
        </w:tc>
      </w:tr>
      <w:tr>
        <w:tc>
          <w:tcPr/>
          <w:p>
            <w:pPr>
              <w:pStyle w:val="Compact"/>
            </w:pPr>
            <w:r>
              <w:t xml:space="preserve">Administrasi</w:t>
            </w:r>
          </w:p>
        </w:tc>
        <w:tc>
          <w:tcPr/>
          <w:p>
            <w:pPr>
              <w:pStyle w:val="Compact"/>
            </w:pPr>
            <w:r>
              <w:t xml:space="preserve">Kontrak, meterai, invoice</w:t>
            </w:r>
          </w:p>
        </w:tc>
        <w:tc>
          <w:tcPr/>
          <w:p>
            <w:pPr>
              <w:pStyle w:val="Compact"/>
            </w:pPr>
            <w:r>
              <w:t xml:space="preserve">per SPK atau per term</w:t>
            </w:r>
          </w:p>
        </w:tc>
        <w:tc>
          <w:tcPr/>
          <w:p>
            <w:pPr>
              <w:pStyle w:val="Compact"/>
            </w:pPr>
            <w:r>
              <w:t xml:space="preserve">Rp150.000</w:t>
            </w:r>
          </w:p>
        </w:tc>
      </w:tr>
    </w:tbl>
    <w:p>
      <w:pPr>
        <w:pStyle w:val="BodyText"/>
      </w:pPr>
      <w:r>
        <w:t xml:space="preserve">Biaya perjalanan dan akomodasi untuk kegiatan di luar Jakarta tidak termasuk dalam tabel ini. Biaya tersebut ditagihkan kepada Klien sebesar biaya aktual, atau, apabila ditanggung TEMAN JOURNEY, dicantumkan dalam estimasi biaya Event sebelum SPK sesuai Pasal 1 angka 8.</w:t>
      </w:r>
    </w:p>
    <w:p>
      <w:r>
        <w:br w:type="page"/>
      </w:r>
    </w:p>
    <w:bookmarkEnd w:id="31"/>
    <w:bookmarkStart w:id="32" w:name="lampiran-c---daftar-harga"/>
    <w:p>
      <w:pPr>
        <w:pStyle w:val="Heading2"/>
      </w:pPr>
      <w:r>
        <w:t xml:space="preserve">Lampiran C - Daftar Harga</w:t>
      </w:r>
    </w:p>
    <w:p>
      <w:pPr>
        <w:pStyle w:val="FirstParagraph"/>
      </w:pPr>
      <w:r>
        <w:t xml:space="preserve">Harga dasar, belum termasuk PPN. Harga untuk kegiatan di luar Jakarta belum termasuk biaya perjalanan dan akomodasi, yang ditagihkan sebesar biaya aktual. MITRA wajib membuka penawaran dengan harga ini (Pasal 4 ayat (5)). [CEK: konfirmasi Kia sebelum ditandatangani]</w:t>
      </w:r>
    </w:p>
    <w:p>
      <w:pPr>
        <w:pStyle w:val="BodyText"/>
      </w:pPr>
      <w:r>
        <w:rPr>
          <w:b/>
          <w:bCs/>
        </w:rPr>
        <w:t xml:space="preserve">A. Pelatihan dan program organisasi (non-EAP)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Layanan</w:t>
            </w:r>
          </w:p>
        </w:tc>
        <w:tc>
          <w:tcPr/>
          <w:p>
            <w:pPr>
              <w:pStyle w:val="Compact"/>
            </w:pPr>
            <w:r>
              <w:t xml:space="preserve">Isi</w:t>
            </w:r>
          </w:p>
        </w:tc>
        <w:tc>
          <w:tcPr/>
          <w:p>
            <w:pPr>
              <w:pStyle w:val="Compact"/>
            </w:pPr>
            <w:r>
              <w:t xml:space="preserve">Satuan</w:t>
            </w:r>
          </w:p>
        </w:tc>
        <w:tc>
          <w:tcPr/>
          <w:p>
            <w:pPr>
              <w:pStyle w:val="Compact"/>
            </w:pPr>
            <w:r>
              <w:t xml:space="preserve">Harga Daftar</w:t>
            </w:r>
          </w:p>
        </w:tc>
      </w:tr>
      <w:tr>
        <w:tc>
          <w:tcPr/>
          <w:p>
            <w:pPr>
              <w:pStyle w:val="Compact"/>
            </w:pPr>
            <w:r>
              <w:t xml:space="preserve">Program pelatih kantor pusat</w:t>
            </w:r>
          </w:p>
        </w:tc>
        <w:tc>
          <w:tcPr/>
          <w:p>
            <w:pPr>
              <w:pStyle w:val="Compact"/>
            </w:pPr>
            <w:r>
              <w:t xml:space="preserve">Pelatihan pelatih 3 hari, hingga 40 peserta, termasuk asesmen dan laporan dampak</w:t>
            </w:r>
          </w:p>
        </w:tc>
        <w:tc>
          <w:tcPr/>
          <w:p>
            <w:pPr>
              <w:pStyle w:val="Compact"/>
            </w:pPr>
            <w:r>
              <w:t xml:space="preserve">per program</w:t>
            </w:r>
          </w:p>
        </w:tc>
        <w:tc>
          <w:tcPr/>
          <w:p>
            <w:pPr>
              <w:pStyle w:val="Compact"/>
            </w:pPr>
            <w:r>
              <w:t xml:space="preserve">Rp100.000.000</w:t>
            </w:r>
          </w:p>
        </w:tc>
      </w:tr>
      <w:tr>
        <w:tc>
          <w:tcPr/>
          <w:p>
            <w:pPr>
              <w:pStyle w:val="Compact"/>
            </w:pPr>
            <w:r>
              <w:t xml:space="preserve">Program pelatih regional</w:t>
            </w:r>
          </w:p>
        </w:tc>
        <w:tc>
          <w:tcPr/>
          <w:p>
            <w:pPr>
              <w:pStyle w:val="Compact"/>
            </w:pPr>
            <w:r>
              <w:t xml:space="preserve">Pelatihan pelatih 1 hari, hingga 30 peserta, termasuk asesmen dan laporan dampak</w:t>
            </w:r>
          </w:p>
        </w:tc>
        <w:tc>
          <w:tcPr/>
          <w:p>
            <w:pPr>
              <w:pStyle w:val="Compact"/>
            </w:pPr>
            <w:r>
              <w:t xml:space="preserve">per hari</w:t>
            </w:r>
          </w:p>
        </w:tc>
        <w:tc>
          <w:tcPr/>
          <w:p>
            <w:pPr>
              <w:pStyle w:val="Compact"/>
            </w:pPr>
            <w:r>
              <w:t xml:space="preserve">Rp28.500.000</w:t>
            </w:r>
          </w:p>
        </w:tc>
      </w:tr>
      <w:tr>
        <w:tc>
          <w:tcPr/>
          <w:p>
            <w:pPr>
              <w:pStyle w:val="Compact"/>
            </w:pPr>
            <w:r>
              <w:t xml:space="preserve">Program bank BUMN</w:t>
            </w:r>
          </w:p>
        </w:tc>
        <w:tc>
          <w:tcPr/>
          <w:p>
            <w:pPr>
              <w:pStyle w:val="Compact"/>
            </w:pPr>
            <w:r>
              <w:t xml:space="preserve">1 kelompok, hingga 40 peserta, termasuk asesmen dan laporan dampak</w:t>
            </w:r>
          </w:p>
        </w:tc>
        <w:tc>
          <w:tcPr/>
          <w:p>
            <w:pPr>
              <w:pStyle w:val="Compact"/>
            </w:pPr>
            <w:r>
              <w:t xml:space="preserve">per hari</w:t>
            </w:r>
          </w:p>
        </w:tc>
        <w:tc>
          <w:tcPr/>
          <w:p>
            <w:pPr>
              <w:pStyle w:val="Compact"/>
            </w:pPr>
            <w:r>
              <w:t xml:space="preserve">Rp51.000.000</w:t>
            </w:r>
          </w:p>
        </w:tc>
      </w:tr>
      <w:tr>
        <w:tc>
          <w:tcPr/>
          <w:p>
            <w:pPr>
              <w:pStyle w:val="Compact"/>
            </w:pPr>
            <w:r>
              <w:t xml:space="preserve">Program bank swasta</w:t>
            </w:r>
          </w:p>
        </w:tc>
        <w:tc>
          <w:tcPr/>
          <w:p>
            <w:pPr>
              <w:pStyle w:val="Compact"/>
            </w:pPr>
            <w:r>
              <w:t xml:space="preserve">1 kelompok, hingga 40 peserta, termasuk asesmen dan laporan dampak</w:t>
            </w:r>
          </w:p>
        </w:tc>
        <w:tc>
          <w:tcPr/>
          <w:p>
            <w:pPr>
              <w:pStyle w:val="Compact"/>
            </w:pPr>
            <w:r>
              <w:t xml:space="preserve">per hari</w:t>
            </w:r>
          </w:p>
        </w:tc>
        <w:tc>
          <w:tcPr/>
          <w:p>
            <w:pPr>
              <w:pStyle w:val="Compact"/>
            </w:pPr>
            <w:r>
              <w:t xml:space="preserve">Rp61.000.000</w:t>
            </w:r>
          </w:p>
        </w:tc>
      </w:tr>
      <w:tr>
        <w:tc>
          <w:tcPr/>
          <w:p>
            <w:pPr>
              <w:pStyle w:val="Compact"/>
            </w:pPr>
            <w:r>
              <w:t xml:space="preserve">Bank Elite</w:t>
            </w:r>
          </w:p>
        </w:tc>
        <w:tc>
          <w:tcPr/>
          <w:p>
            <w:pPr>
              <w:pStyle w:val="Compact"/>
            </w:pPr>
            <w:r>
              <w:t xml:space="preserve">Program bank ditambah lisensi pelatih dan pendampingan 3 bulan</w:t>
            </w:r>
          </w:p>
        </w:tc>
        <w:tc>
          <w:tcPr/>
          <w:p>
            <w:pPr>
              <w:pStyle w:val="Compact"/>
            </w:pPr>
            <w:r>
              <w:t xml:space="preserve">per hari</w:t>
            </w:r>
          </w:p>
        </w:tc>
        <w:tc>
          <w:tcPr/>
          <w:p>
            <w:pPr>
              <w:pStyle w:val="Compact"/>
            </w:pPr>
            <w:r>
              <w:t xml:space="preserve">BUMN Rp66.300.000; swasta Rp79.300.000</w:t>
            </w:r>
          </w:p>
        </w:tc>
      </w:tr>
      <w:tr>
        <w:tc>
          <w:tcPr/>
          <w:p>
            <w:pPr>
              <w:pStyle w:val="Compact"/>
            </w:pPr>
            <w:r>
              <w:t xml:space="preserve">Asesmen dan laporan dampak</w:t>
            </w:r>
          </w:p>
        </w:tc>
        <w:tc>
          <w:tcPr/>
          <w:p>
            <w:pPr>
              <w:pStyle w:val="Compact"/>
            </w:pPr>
            <w:r>
              <w:t xml:space="preserve">Untuk peserta tambahan di luar paket</w:t>
            </w:r>
          </w:p>
        </w:tc>
        <w:tc>
          <w:tcPr/>
          <w:p>
            <w:pPr>
              <w:pStyle w:val="Compact"/>
            </w:pPr>
            <w:r>
              <w:t xml:space="preserve">per peserta</w:t>
            </w:r>
          </w:p>
        </w:tc>
        <w:tc>
          <w:tcPr/>
          <w:p>
            <w:pPr>
              <w:pStyle w:val="Compact"/>
            </w:pPr>
            <w:r>
              <w:t xml:space="preserve">Rp150.000</w:t>
            </w:r>
          </w:p>
        </w:tc>
      </w:tr>
      <w:tr>
        <w:tc>
          <w:tcPr/>
          <w:p>
            <w:pPr>
              <w:pStyle w:val="Compact"/>
            </w:pPr>
            <w:r>
              <w:t xml:space="preserve">Event publik</w:t>
            </w:r>
          </w:p>
        </w:tc>
        <w:tc>
          <w:tcPr/>
          <w:p>
            <w:pPr>
              <w:pStyle w:val="Compact"/>
            </w:pPr>
            <w:r>
              <w:t xml:space="preserve">Event psikoedukasi untuk umum</w:t>
            </w:r>
          </w:p>
        </w:tc>
        <w:tc>
          <w:tcPr/>
          <w:p>
            <w:pPr>
              <w:pStyle w:val="Compact"/>
            </w:pPr>
            <w:r>
              <w:t xml:space="preserve">per event</w:t>
            </w:r>
          </w:p>
        </w:tc>
        <w:tc>
          <w:tcPr/>
          <w:p>
            <w:pPr>
              <w:pStyle w:val="Compact"/>
            </w:pPr>
            <w:r>
              <w:t xml:space="preserve">Rp24.000.000</w:t>
            </w:r>
          </w:p>
        </w:tc>
      </w:tr>
    </w:tbl>
    <w:p>
      <w:pPr>
        <w:pStyle w:val="BodyText"/>
      </w:pPr>
      <w:r>
        <w:rPr>
          <w:b/>
          <w:bCs/>
        </w:rPr>
        <w:t xml:space="preserve">B. Employee Assistance Program (EAP)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Paket</w:t>
            </w:r>
          </w:p>
        </w:tc>
        <w:tc>
          <w:tcPr/>
          <w:p>
            <w:pPr>
              <w:pStyle w:val="Compact"/>
            </w:pPr>
            <w:r>
              <w:t xml:space="preserve">Isi</w:t>
            </w:r>
          </w:p>
        </w:tc>
        <w:tc>
          <w:tcPr/>
          <w:p>
            <w:pPr>
              <w:pStyle w:val="Compact"/>
            </w:pPr>
            <w:r>
              <w:t xml:space="preserve">Masa</w:t>
            </w:r>
          </w:p>
        </w:tc>
        <w:tc>
          <w:tcPr/>
          <w:p>
            <w:pPr>
              <w:pStyle w:val="Compact"/>
            </w:pPr>
            <w:r>
              <w:t xml:space="preserve">Harga Daftar</w:t>
            </w:r>
          </w:p>
        </w:tc>
      </w:tr>
      <w:tr>
        <w:tc>
          <w:tcPr/>
          <w:p>
            <w:pPr>
              <w:pStyle w:val="Compact"/>
            </w:pPr>
            <w:r>
              <w:t xml:space="preserve">Jeda</w:t>
            </w:r>
          </w:p>
        </w:tc>
        <w:tc>
          <w:tcPr/>
          <w:p>
            <w:pPr>
              <w:pStyle w:val="Compact"/>
            </w:pPr>
            <w:r>
              <w:t xml:space="preserve">15 sesi konseling online, 1 webinar psikoedukasi</w:t>
            </w:r>
          </w:p>
        </w:tc>
        <w:tc>
          <w:tcPr/>
          <w:p>
            <w:pPr>
              <w:pStyle w:val="Compact"/>
            </w:pPr>
            <w:r>
              <w:t xml:space="preserve">3 bulan</w:t>
            </w:r>
          </w:p>
        </w:tc>
        <w:tc>
          <w:tcPr/>
          <w:p>
            <w:pPr>
              <w:pStyle w:val="Compact"/>
            </w:pPr>
            <w:r>
              <w:t xml:space="preserve">Rp12.000.000</w:t>
            </w:r>
          </w:p>
        </w:tc>
      </w:tr>
      <w:tr>
        <w:tc>
          <w:tcPr/>
          <w:p>
            <w:pPr>
              <w:pStyle w:val="Compact"/>
            </w:pPr>
            <w:r>
              <w:t xml:space="preserve">Jeda Tahunan</w:t>
            </w:r>
          </w:p>
        </w:tc>
        <w:tc>
          <w:tcPr/>
          <w:p>
            <w:pPr>
              <w:pStyle w:val="Compact"/>
            </w:pPr>
            <w:r>
              <w:t xml:space="preserve">Per kuartal: 15 sesi konseling online, 1 putaran Mental Health Check-Up, laporan agregat anonim, 1 webinar</w:t>
            </w:r>
          </w:p>
        </w:tc>
        <w:tc>
          <w:tcPr/>
          <w:p>
            <w:pPr>
              <w:pStyle w:val="Compact"/>
            </w:pPr>
            <w:r>
              <w:t xml:space="preserve">12 bulan (4 kuartal)</w:t>
            </w:r>
          </w:p>
        </w:tc>
        <w:tc>
          <w:tcPr/>
          <w:p>
            <w:pPr>
              <w:pStyle w:val="Compact"/>
            </w:pPr>
            <w:r>
              <w:t xml:space="preserve">Rp11.000.000 per kuartal (Rp44.000.000 per tahun)</w:t>
            </w:r>
          </w:p>
        </w:tc>
      </w:tr>
      <w:tr>
        <w:tc>
          <w:tcPr/>
          <w:p>
            <w:pPr>
              <w:pStyle w:val="Compact"/>
            </w:pPr>
            <w:r>
              <w:t xml:space="preserve">Tumbuh</w:t>
            </w:r>
          </w:p>
        </w:tc>
        <w:tc>
          <w:tcPr/>
          <w:p>
            <w:pPr>
              <w:pStyle w:val="Compact"/>
            </w:pPr>
            <w:r>
              <w:t xml:space="preserve">24 sesi konseling online, 1 putaran Mental Health Check-Up, laporan agregat anonim, 1 webinar</w:t>
            </w:r>
          </w:p>
        </w:tc>
        <w:tc>
          <w:tcPr/>
          <w:p>
            <w:pPr>
              <w:pStyle w:val="Compact"/>
            </w:pPr>
            <w:r>
              <w:t xml:space="preserve">3 bulan</w:t>
            </w:r>
          </w:p>
        </w:tc>
        <w:tc>
          <w:tcPr/>
          <w:p>
            <w:pPr>
              <w:pStyle w:val="Compact"/>
            </w:pPr>
            <w:r>
              <w:t xml:space="preserve">Rp20.000.000</w:t>
            </w:r>
          </w:p>
        </w:tc>
      </w:tr>
      <w:tr>
        <w:tc>
          <w:tcPr/>
          <w:p>
            <w:pPr>
              <w:pStyle w:val="Compact"/>
            </w:pPr>
            <w:r>
              <w:t xml:space="preserve">Seperjalanan</w:t>
            </w:r>
          </w:p>
        </w:tc>
        <w:tc>
          <w:tcPr/>
          <w:p>
            <w:pPr>
              <w:pStyle w:val="Compact"/>
            </w:pPr>
            <w:r>
              <w:t xml:space="preserve">36 sesi konseling online, 2 putaran Mental Health Check-Up (pre dan post), hasil individual untuk pegawai, laporan agregat dengan perbandingan, 1 seminar offline</w:t>
            </w:r>
          </w:p>
        </w:tc>
        <w:tc>
          <w:tcPr/>
          <w:p>
            <w:pPr>
              <w:pStyle w:val="Compact"/>
            </w:pPr>
            <w:r>
              <w:t xml:space="preserve">3 bulan</w:t>
            </w:r>
          </w:p>
        </w:tc>
        <w:tc>
          <w:tcPr/>
          <w:p>
            <w:pPr>
              <w:pStyle w:val="Compact"/>
            </w:pPr>
            <w:r>
              <w:t xml:space="preserve">Rp31.500.000</w:t>
            </w:r>
          </w:p>
        </w:tc>
      </w:tr>
      <w:tr>
        <w:tc>
          <w:tcPr/>
          <w:p>
            <w:pPr>
              <w:pStyle w:val="Compact"/>
            </w:pPr>
            <w:r>
              <w:t xml:space="preserve">Sesi tambahan</w:t>
            </w:r>
          </w:p>
        </w:tc>
        <w:tc>
          <w:tcPr/>
          <w:p>
            <w:pPr>
              <w:pStyle w:val="Compact"/>
            </w:pPr>
            <w:r>
              <w:t xml:space="preserve">Konseling online 60 menit</w:t>
            </w:r>
          </w:p>
        </w:tc>
        <w:tc>
          <w:tcPr/>
          <w:p>
            <w:pPr>
              <w:pStyle w:val="Compact"/>
            </w:pPr>
            <w:r>
              <w:t xml:space="preserve">per sesi</w:t>
            </w:r>
          </w:p>
        </w:tc>
        <w:tc>
          <w:tcPr/>
          <w:p>
            <w:pPr>
              <w:pStyle w:val="Compact"/>
            </w:pPr>
            <w:r>
              <w:t xml:space="preserve">Rp500.000</w:t>
            </w:r>
          </w:p>
        </w:tc>
      </w:tr>
    </w:tbl>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PERJANJIAN KEMITRAAN STRATEGIC PARTNERSHIP</dc:title>
  <dc:creator/>
  <cp:keywords/>
  <dcterms:created xsi:type="dcterms:W3CDTF">2026-10-20T10:05:27Z</dcterms:created>
  <dcterms:modified xsi:type="dcterms:W3CDTF">2026-10-20T10:05:27Z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Nomor: [___]/PKS-SP/TJ/[bulan]/[tahun]</vt:lpwstr>
  </property>
</Properties>
</file>