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before="480" w:after="240" w:line="276" w:lineRule="auto"/>
        <w:jc w:val="center"/>
      </w:pPr>
      <w:r>
        <w:rPr>
          <w:rFonts w:ascii="Times New Roman" w:hAnsi="Times New Roman"/>
          <w:b/>
          <w:color w:val="1A365D"/>
          <w:sz w:val="30"/>
        </w:rPr>
        <w:t>SISTEM REKOMENDASI DESAIN PEREDAM SUARA RUANGAN BERBASIS IMPROVED CASE-BASED REASONING (ICBR) MENGGUNAKAN PEMBOBOTAN HIBRIDA AHP-ENTROPI DAN PEMODELAN AKUSTIK ASTM E336</w:t>
      </w:r>
    </w:p>
    <w:p>
      <w:pPr>
        <w:spacing w:before="240" w:after="960"/>
        <w:jc w:val="center"/>
      </w:pPr>
      <w:r>
        <w:rPr>
          <w:rFonts w:ascii="Times New Roman" w:hAnsi="Times New Roman"/>
          <w:b/>
          <w:color w:val="2B6CB0"/>
          <w:sz w:val="24"/>
        </w:rPr>
        <w:t>LAPORAN PROYEK AKHIR SISTEM PAKAR</w:t>
        <w:br/>
        <w:t>(KODE MK: 24SIFH16X083)</w:t>
      </w:r>
    </w:p>
    <w:p>
      <w:pPr>
        <w:spacing w:before="1200" w:after="1440" w:line="312" w:lineRule="auto"/>
        <w:jc w:val="center"/>
      </w:pPr>
      <w:r>
        <w:rPr>
          <w:color w:val="64748B"/>
          <w:sz w:val="22"/>
        </w:rPr>
        <w:t>Disusun Oleh:</w:t>
        <w:br/>
      </w:r>
      <w:r>
        <w:rPr>
          <w:b/>
          <w:color w:val="1A365D"/>
          <w:sz w:val="26"/>
        </w:rPr>
        <w:t>I KOMANG GALIH AGUSTAN</w:t>
        <w:br/>
      </w:r>
      <w:r>
        <w:rPr>
          <w:b/>
          <w:color w:val="222222"/>
          <w:sz w:val="24"/>
        </w:rPr>
        <w:t>NIM. 2308561060</w:t>
        <w:br/>
      </w:r>
    </w:p>
    <w:p>
      <w:pPr>
        <w:spacing w:before="1200" w:after="0" w:line="288" w:lineRule="auto"/>
        <w:jc w:val="center"/>
      </w:pPr>
      <w:r>
        <w:rPr>
          <w:rFonts w:ascii="Times New Roman" w:hAnsi="Times New Roman"/>
          <w:b/>
          <w:color w:val="1A365D"/>
          <w:sz w:val="24"/>
        </w:rPr>
        <w:t>PROGRAM STUDI INFORMATIKA</w:t>
        <w:br/>
        <w:t>FAKULTAS MATEMATIKA DAN ILMU PENGETAHUAN ALAM</w:t>
        <w:br/>
        <w:t>UNIVERSITAS UDAYANA</w:t>
        <w:br/>
        <w:t>2026</w:t>
      </w:r>
    </w:p>
    <w:p>
      <w:r>
        <w:br w:type="page"/>
      </w:r>
    </w:p>
    <w:p>
      <w:pPr>
        <w:keepNext/>
        <w:spacing w:before="360" w:after="120"/>
      </w:pPr>
      <w:r>
        <w:rPr>
          <w:rFonts w:ascii="Times New Roman" w:hAnsi="Times New Roman"/>
          <w:b/>
          <w:color w:val="1A365D"/>
          <w:sz w:val="26"/>
        </w:rPr>
        <w:t>KATA PENGANTAR</w:t>
      </w:r>
    </w:p>
    <w:p>
      <w:pPr>
        <w:spacing w:before="0" w:after="120" w:line="360" w:lineRule="auto"/>
        <w:jc w:val="both"/>
      </w:pPr>
      <w:r>
        <w:rPr>
          <w:rFonts w:ascii="Times New Roman" w:hAnsi="Times New Roman"/>
          <w:b w:val="0"/>
          <w:i w:val="0"/>
          <w:color w:val="222222"/>
          <w:sz w:val="23"/>
        </w:rPr>
        <w:t>Puji syukur ke hadirat Tuhan Yang Maha Esa atas limpahan rahmat dan karunia-Nya, sehingga laporan tugas proyek akhir mata kuliah Sistem Pakar yang berjudul "Sistem Rekomendasi Desain Peredam Suara Ruangan Berbasis Improved Case-Based Reasoning (ICBR) Menggunakan Pembobotan Hibrida AHP-Entropi dan Pemodelan Akustik ASTM E336" ini dapat diselesaikan dengan baik dan tepat waktu.</w:t>
      </w:r>
    </w:p>
    <w:p>
      <w:pPr>
        <w:spacing w:before="0" w:after="120" w:line="360" w:lineRule="auto"/>
        <w:jc w:val="both"/>
      </w:pPr>
      <w:r>
        <w:rPr>
          <w:rFonts w:ascii="Times New Roman" w:hAnsi="Times New Roman"/>
          <w:b w:val="0"/>
          <w:i w:val="0"/>
          <w:color w:val="222222"/>
          <w:sz w:val="23"/>
        </w:rPr>
        <w:t>Laporan ini mendokumentasikan secara komprehensif penelitian dan pengembangan aplikasi sistem pakar yang menggabungkan kecerdasan buatan berbasis pengalaman (Case-Based Reasoning / CBR) dengan optimasi pembobotan kombinasi (CRNHW), adaptasi pengetahuan implisit (CAHWM), serta validasi hukum fisika akustik bangunan berbasis standar ASTM E336 dan teori penyerapan Sabine. Sistem ini dirancang untuk mengatasi kelemahan metode konvensional yang kerap kali mengabaikan variabilitas data empiris, relasi implisit kasus historis, dan kebocoran getaran mekanis struktural (flanking transmission).</w:t>
      </w:r>
    </w:p>
    <w:p>
      <w:pPr>
        <w:spacing w:before="0" w:after="120" w:line="360" w:lineRule="auto"/>
        <w:jc w:val="both"/>
      </w:pPr>
      <w:r>
        <w:rPr>
          <w:rFonts w:ascii="Times New Roman" w:hAnsi="Times New Roman"/>
          <w:b w:val="0"/>
          <w:i w:val="0"/>
          <w:color w:val="222222"/>
          <w:sz w:val="23"/>
        </w:rPr>
        <w:t>Penulis menyampaikan penghargaan dan terima kasih yang setinggi-tingginya kepada para Dosen Pengampu Mata Kuliah Sistem Pakar Program Studi Informatika, Fakultas Matematika dan Ilmu Pengetahuan Alam, Universitas Udayana, yang telah memberikan arahan akademis, landasan teori, dan bimbingan konstruktif selama masa perkuliahan dan pengerjaan proyek ini. Penulis juga mengucapkan terima kasih kepada rekan-rekan mahasiswa atas diskusi yang memperkaya wawasan metodologis penelitian.</w:t>
      </w:r>
    </w:p>
    <w:p>
      <w:pPr>
        <w:spacing w:before="0" w:after="120" w:line="360" w:lineRule="auto"/>
        <w:jc w:val="both"/>
      </w:pPr>
      <w:r>
        <w:rPr>
          <w:rFonts w:ascii="Times New Roman" w:hAnsi="Times New Roman"/>
          <w:b w:val="0"/>
          <w:i w:val="0"/>
          <w:color w:val="222222"/>
          <w:sz w:val="23"/>
        </w:rPr>
        <w:t>Penulis menyadari bahwa laporan ini masih memiliki ruang penyempurnaan. Oleh karena itu, kritik dan saran yang konstruktif dari pembaca sangat diharapkan guna pengembangan penelitian sistem pakar akustik di masa depan. Semoga laporan ini dapat memberikan kontribusi nyata bagi pengembangan ilmu rekayasa perangkat lunak kecerdasan buatan dan perancangan akustik bangunan.</w:t>
      </w:r>
    </w:p>
    <w:p>
      <w:pPr>
        <w:spacing w:before="360" w:line="288" w:lineRule="auto"/>
        <w:jc w:val="right"/>
      </w:pPr>
      <w:r>
        <w:rPr>
          <w:rFonts w:ascii="Times New Roman" w:hAnsi="Times New Roman"/>
          <w:sz w:val="23"/>
        </w:rPr>
        <w:t>Bukit Jimbaran, Oktober 2026</w:t>
        <w:br/>
        <w:br/>
        <w:br/>
        <w:t>Penulis</w:t>
      </w:r>
    </w:p>
    <w:p>
      <w:r>
        <w:br w:type="page"/>
      </w:r>
    </w:p>
    <w:p>
      <w:pPr>
        <w:keepNext/>
        <w:spacing w:before="360" w:after="120"/>
      </w:pPr>
      <w:r>
        <w:rPr>
          <w:rFonts w:ascii="Times New Roman" w:hAnsi="Times New Roman"/>
          <w:b/>
          <w:color w:val="1A365D"/>
          <w:sz w:val="26"/>
        </w:rPr>
        <w:t>DAFTAR ISI</w:t>
      </w:r>
    </w:p>
    <w:p>
      <w:pPr>
        <w:spacing w:before="20" w:after="40" w:line="276" w:lineRule="auto"/>
      </w:pPr>
      <w:r>
        <w:rPr>
          <w:rFonts w:ascii="Times New Roman" w:hAnsi="Times New Roman"/>
          <w:b/>
          <w:color w:val="1A365D"/>
          <w:sz w:val="22"/>
        </w:rPr>
        <w:t>KATA PENGANTAR</w:t>
      </w:r>
    </w:p>
    <w:p>
      <w:pPr>
        <w:spacing w:before="20" w:after="40" w:line="276" w:lineRule="auto"/>
      </w:pPr>
      <w:r>
        <w:rPr>
          <w:rFonts w:ascii="Times New Roman" w:hAnsi="Times New Roman"/>
          <w:b/>
          <w:color w:val="1A365D"/>
          <w:sz w:val="22"/>
        </w:rPr>
        <w:t>DAFTAR ISI</w:t>
      </w:r>
    </w:p>
    <w:p>
      <w:pPr>
        <w:spacing w:before="20" w:after="40" w:line="276" w:lineRule="auto"/>
      </w:pPr>
      <w:r>
        <w:rPr>
          <w:rFonts w:ascii="Times New Roman" w:hAnsi="Times New Roman"/>
          <w:b/>
          <w:color w:val="1A365D"/>
          <w:sz w:val="22"/>
        </w:rPr>
        <w:t>BAB I: PENDAHULUAN</w:t>
      </w:r>
    </w:p>
    <w:p>
      <w:pPr>
        <w:spacing w:before="20" w:after="40" w:line="276" w:lineRule="auto"/>
      </w:pPr>
      <w:r>
        <w:rPr>
          <w:rFonts w:ascii="Times New Roman" w:hAnsi="Times New Roman"/>
          <w:color w:val="222222"/>
          <w:sz w:val="22"/>
        </w:rPr>
        <w:t xml:space="preserve">   1.1 Latar Belakang Masalah</w:t>
      </w:r>
    </w:p>
    <w:p>
      <w:pPr>
        <w:spacing w:before="20" w:after="40" w:line="276" w:lineRule="auto"/>
      </w:pPr>
      <w:r>
        <w:rPr>
          <w:rFonts w:ascii="Times New Roman" w:hAnsi="Times New Roman"/>
          <w:color w:val="222222"/>
          <w:sz w:val="22"/>
        </w:rPr>
        <w:t xml:space="preserve">   1.2 Rumusan Masalah</w:t>
      </w:r>
    </w:p>
    <w:p>
      <w:pPr>
        <w:spacing w:before="20" w:after="40" w:line="276" w:lineRule="auto"/>
      </w:pPr>
      <w:r>
        <w:rPr>
          <w:rFonts w:ascii="Times New Roman" w:hAnsi="Times New Roman"/>
          <w:color w:val="222222"/>
          <w:sz w:val="22"/>
        </w:rPr>
        <w:t xml:space="preserve">   1.3 Tujuan Penelitian</w:t>
      </w:r>
    </w:p>
    <w:p>
      <w:pPr>
        <w:spacing w:before="20" w:after="40" w:line="276" w:lineRule="auto"/>
      </w:pPr>
      <w:r>
        <w:rPr>
          <w:rFonts w:ascii="Times New Roman" w:hAnsi="Times New Roman"/>
          <w:color w:val="222222"/>
          <w:sz w:val="22"/>
        </w:rPr>
        <w:t xml:space="preserve">   1.4 Batasan Penelitian &amp; Konfigurasi Variabel</w:t>
      </w:r>
    </w:p>
    <w:p>
      <w:pPr>
        <w:spacing w:before="20" w:after="40" w:line="276" w:lineRule="auto"/>
      </w:pPr>
      <w:r>
        <w:rPr>
          <w:rFonts w:ascii="Times New Roman" w:hAnsi="Times New Roman"/>
          <w:b/>
          <w:color w:val="1A365D"/>
          <w:sz w:val="22"/>
        </w:rPr>
        <w:t>BAB II: LANDASAN TEORI &amp; METODOLOGI</w:t>
      </w:r>
    </w:p>
    <w:p>
      <w:pPr>
        <w:spacing w:before="20" w:after="40" w:line="276" w:lineRule="auto"/>
      </w:pPr>
      <w:r>
        <w:rPr>
          <w:rFonts w:ascii="Times New Roman" w:hAnsi="Times New Roman"/>
          <w:color w:val="222222"/>
          <w:sz w:val="22"/>
        </w:rPr>
        <w:t xml:space="preserve">   2.1 Konsep Improved Case-Based Reasoning (ICBR)</w:t>
      </w:r>
    </w:p>
    <w:p>
      <w:pPr>
        <w:spacing w:before="20" w:after="40" w:line="276" w:lineRule="auto"/>
      </w:pPr>
      <w:r>
        <w:rPr>
          <w:rFonts w:ascii="Times New Roman" w:hAnsi="Times New Roman"/>
          <w:color w:val="222222"/>
          <w:sz w:val="22"/>
        </w:rPr>
        <w:t xml:space="preserve">   2.2 Metode Pembobotan Hibrida (CRNHW)</w:t>
      </w:r>
    </w:p>
    <w:p>
      <w:pPr>
        <w:spacing w:before="20" w:after="40" w:line="276" w:lineRule="auto"/>
      </w:pPr>
      <w:r>
        <w:rPr>
          <w:rFonts w:ascii="Times New Roman" w:hAnsi="Times New Roman"/>
          <w:color w:val="222222"/>
          <w:sz w:val="22"/>
        </w:rPr>
        <w:t xml:space="preserve">   2.3 Metode Adaptasi Kasus Hibrida (CAHWM / SURA)</w:t>
      </w:r>
    </w:p>
    <w:p>
      <w:pPr>
        <w:spacing w:before="20" w:after="40" w:line="276" w:lineRule="auto"/>
      </w:pPr>
      <w:r>
        <w:rPr>
          <w:rFonts w:ascii="Times New Roman" w:hAnsi="Times New Roman"/>
          <w:color w:val="222222"/>
          <w:sz w:val="22"/>
        </w:rPr>
        <w:t xml:space="preserve">   2.4 Pemodelan Fisika Akustik Lapangan (ASTM E336 &amp; Sabine)</w:t>
      </w:r>
    </w:p>
    <w:p>
      <w:pPr>
        <w:spacing w:before="20" w:after="40" w:line="276" w:lineRule="auto"/>
      </w:pPr>
      <w:r>
        <w:rPr>
          <w:rFonts w:ascii="Times New Roman" w:hAnsi="Times New Roman"/>
          <w:b/>
          <w:color w:val="1A365D"/>
          <w:sz w:val="22"/>
        </w:rPr>
        <w:t>BAB III: IMPLEMENTASI SISTEM &amp; DESAIN EKSPERIMEN</w:t>
      </w:r>
    </w:p>
    <w:p>
      <w:pPr>
        <w:spacing w:before="20" w:after="40" w:line="276" w:lineRule="auto"/>
      </w:pPr>
      <w:r>
        <w:rPr>
          <w:rFonts w:ascii="Times New Roman" w:hAnsi="Times New Roman"/>
          <w:color w:val="222222"/>
          <w:sz w:val="22"/>
        </w:rPr>
        <w:t xml:space="preserve">   3.1 Arsitektur &amp; Alur Kerja Sistem ICBR Akustik</w:t>
      </w:r>
    </w:p>
    <w:p>
      <w:pPr>
        <w:spacing w:before="20" w:after="40" w:line="276" w:lineRule="auto"/>
      </w:pPr>
      <w:r>
        <w:rPr>
          <w:rFonts w:ascii="Times New Roman" w:hAnsi="Times New Roman"/>
          <w:color w:val="222222"/>
          <w:sz w:val="22"/>
        </w:rPr>
        <w:t xml:space="preserve">   3.2 Implementasi Pembobotan CRNHW pada Data Akustik</w:t>
      </w:r>
    </w:p>
    <w:p>
      <w:pPr>
        <w:spacing w:before="20" w:after="40" w:line="276" w:lineRule="auto"/>
      </w:pPr>
      <w:r>
        <w:rPr>
          <w:rFonts w:ascii="Times New Roman" w:hAnsi="Times New Roman"/>
          <w:color w:val="222222"/>
          <w:sz w:val="22"/>
        </w:rPr>
        <w:t xml:space="preserve">   3.3 Implementasi Adaptasi CAHWM &amp; Integrasi Fisika Akustik</w:t>
      </w:r>
    </w:p>
    <w:p>
      <w:pPr>
        <w:spacing w:before="20" w:after="40" w:line="276" w:lineRule="auto"/>
      </w:pPr>
      <w:r>
        <w:rPr>
          <w:rFonts w:ascii="Times New Roman" w:hAnsi="Times New Roman"/>
          <w:b/>
          <w:color w:val="1A365D"/>
          <w:sz w:val="22"/>
        </w:rPr>
        <w:t>BAB IV: HASIL DAN PEMBAHASAN</w:t>
      </w:r>
    </w:p>
    <w:p>
      <w:pPr>
        <w:spacing w:before="20" w:after="40" w:line="276" w:lineRule="auto"/>
      </w:pPr>
      <w:r>
        <w:rPr>
          <w:rFonts w:ascii="Times New Roman" w:hAnsi="Times New Roman"/>
          <w:color w:val="222222"/>
          <w:sz w:val="22"/>
        </w:rPr>
        <w:t xml:space="preserve">   4.1 Analisis Hasil Pembobotan Hibrida (AHP vs Entropi vs Hibrida)</w:t>
      </w:r>
    </w:p>
    <w:p>
      <w:pPr>
        <w:spacing w:before="20" w:after="40" w:line="276" w:lineRule="auto"/>
      </w:pPr>
      <w:r>
        <w:rPr>
          <w:rFonts w:ascii="Times New Roman" w:hAnsi="Times New Roman"/>
          <w:color w:val="222222"/>
          <w:sz w:val="22"/>
        </w:rPr>
        <w:t xml:space="preserve">   4.2 Analisis Tahap Penambangan Pengetahuan Implisit (SURA)</w:t>
      </w:r>
    </w:p>
    <w:p>
      <w:pPr>
        <w:spacing w:before="20" w:after="40" w:line="276" w:lineRule="auto"/>
      </w:pPr>
      <w:r>
        <w:rPr>
          <w:rFonts w:ascii="Times New Roman" w:hAnsi="Times New Roman"/>
          <w:color w:val="222222"/>
          <w:sz w:val="22"/>
        </w:rPr>
        <w:t xml:space="preserve">   4.3 Evaluasi Uji Coba Rekomendasi Solusi Akhir (Studi Kasus Utama)</w:t>
      </w:r>
    </w:p>
    <w:p>
      <w:pPr>
        <w:spacing w:before="20" w:after="40" w:line="276" w:lineRule="auto"/>
      </w:pPr>
      <w:r>
        <w:rPr>
          <w:rFonts w:ascii="Times New Roman" w:hAnsi="Times New Roman"/>
          <w:color w:val="222222"/>
          <w:sz w:val="22"/>
        </w:rPr>
        <w:t xml:space="preserve">   4.4 Pembahasan Akademis &amp; Validasi Akustik Lapangan</w:t>
      </w:r>
    </w:p>
    <w:p>
      <w:pPr>
        <w:spacing w:before="20" w:after="40" w:line="276" w:lineRule="auto"/>
      </w:pPr>
      <w:r>
        <w:rPr>
          <w:rFonts w:ascii="Times New Roman" w:hAnsi="Times New Roman"/>
          <w:b/>
          <w:color w:val="1A365D"/>
          <w:sz w:val="22"/>
        </w:rPr>
        <w:t>BAB V: KESIMPULAN DAN SARAN</w:t>
      </w:r>
    </w:p>
    <w:p>
      <w:pPr>
        <w:spacing w:before="20" w:after="40" w:line="276" w:lineRule="auto"/>
      </w:pPr>
      <w:r>
        <w:rPr>
          <w:rFonts w:ascii="Times New Roman" w:hAnsi="Times New Roman"/>
          <w:color w:val="222222"/>
          <w:sz w:val="22"/>
        </w:rPr>
        <w:t xml:space="preserve">   5.1 Kesimpulan</w:t>
      </w:r>
    </w:p>
    <w:p>
      <w:pPr>
        <w:spacing w:before="20" w:after="40" w:line="276" w:lineRule="auto"/>
      </w:pPr>
      <w:r>
        <w:rPr>
          <w:rFonts w:ascii="Times New Roman" w:hAnsi="Times New Roman"/>
          <w:color w:val="222222"/>
          <w:sz w:val="22"/>
        </w:rPr>
        <w:t xml:space="preserve">   5.2 Saran &amp; Pengembangan Mendatang</w:t>
      </w:r>
    </w:p>
    <w:p>
      <w:pPr>
        <w:spacing w:before="20" w:after="40" w:line="276" w:lineRule="auto"/>
      </w:pPr>
      <w:r>
        <w:rPr>
          <w:rFonts w:ascii="Times New Roman" w:hAnsi="Times New Roman"/>
          <w:b/>
          <w:color w:val="1A365D"/>
          <w:sz w:val="22"/>
        </w:rPr>
        <w:t>DAFTAR PUSTAKA</w:t>
      </w:r>
    </w:p>
    <w:p>
      <w:r>
        <w:br w:type="page"/>
      </w:r>
    </w:p>
    <w:p>
      <w:pPr>
        <w:keepNext/>
        <w:spacing w:before="360" w:after="120"/>
      </w:pPr>
      <w:r>
        <w:rPr>
          <w:rFonts w:ascii="Times New Roman" w:hAnsi="Times New Roman"/>
          <w:b/>
          <w:color w:val="1A365D"/>
          <w:sz w:val="26"/>
        </w:rPr>
        <w:t>BAB I: PENDAHULUAN</w:t>
      </w:r>
    </w:p>
    <w:p>
      <w:pPr>
        <w:keepNext/>
        <w:spacing w:before="280" w:after="80"/>
      </w:pPr>
      <w:r>
        <w:rPr>
          <w:rFonts w:ascii="Times New Roman" w:hAnsi="Times New Roman"/>
          <w:b/>
          <w:color w:val="2B6CB0"/>
          <w:sz w:val="24"/>
        </w:rPr>
        <w:t>1.1 Latar Belakang Masalah</w:t>
      </w:r>
    </w:p>
    <w:p>
      <w:pPr>
        <w:spacing w:before="0" w:after="120" w:line="360" w:lineRule="auto"/>
        <w:jc w:val="both"/>
      </w:pPr>
      <w:r>
        <w:rPr>
          <w:rFonts w:ascii="Times New Roman" w:hAnsi="Times New Roman"/>
          <w:b w:val="0"/>
          <w:i w:val="0"/>
          <w:color w:val="222222"/>
          <w:sz w:val="23"/>
        </w:rPr>
        <w:t>Kebutuhan perancangan akustik dan isolasi suara pada bangunan masa kini mengalami peningkatan pesat seiring tingginya laju urbanisasi, densitas permukiman yang padat, serta meluasnya pemanfaatan peralatan elektronik berdaya tinggi. Polusi kebisingan (noise pollution) telah terbukti secara ilmiah memberikan dampak negatif terhadap kesehatan kardiovaskular, peningkatan tingkat stres psikologis, degradasi kualitas tidur, dan penurunan efisiensi kerja (Long, 2014; Hopkins, 2012). Oleh karena itu, rekayasa akustik pada berbagai tipologi bangunan—mulai dari ruang hunian, ruang perkantoran, fasilitas kesehatan, ruang pertemuan komersial, studio musik dan rekaman, hingga fasilitas industri—menjadi komponen desain yang sangat krusial.</w:t>
      </w:r>
    </w:p>
    <w:p>
      <w:pPr>
        <w:spacing w:before="0" w:after="120" w:line="360" w:lineRule="auto"/>
        <w:jc w:val="both"/>
      </w:pPr>
      <w:r>
        <w:rPr>
          <w:rFonts w:ascii="Times New Roman" w:hAnsi="Times New Roman"/>
          <w:b w:val="0"/>
          <w:i w:val="0"/>
          <w:color w:val="222222"/>
          <w:sz w:val="23"/>
        </w:rPr>
        <w:t>Kendati demikian, perancangan insulasi dan peredaman suara ruangan merupakan permasalahan multidimensional yang sangat rumit. Pelemahan energi gelombang suara tidak berlangsung secara linear, melainkan dipengaruhi oleh interaksi dinamis antara karakteristik sumber kebisingan (spektrum frekuensi dan intensitas awal), konfigurasi fisik partisi pembatas (massa jenis dinding, ketebalan, serta luas permukaan), dan dimensi ruang penerima (Long, 2014). Di sisi lain, ketersediaan material peredam suara di pasaran sangat beraneka ragam (seperti Rockwool, Glasswool, busa poliuretan, dan selulosa) dengan rentang densitas, koefisien absorpsi bunyi (Noise Reduction Coefficient / NRC), ketebalan partisi, dan skema biaya instalasi yang bervariasi.</w:t>
      </w:r>
    </w:p>
    <w:p>
      <w:pPr>
        <w:spacing w:before="0" w:after="120" w:line="360" w:lineRule="auto"/>
        <w:jc w:val="both"/>
      </w:pPr>
      <w:r>
        <w:rPr>
          <w:rFonts w:ascii="Times New Roman" w:hAnsi="Times New Roman"/>
          <w:b w:val="0"/>
          <w:i w:val="0"/>
          <w:color w:val="222222"/>
          <w:sz w:val="23"/>
        </w:rPr>
        <w:t>Dalam bidang kecerdasan buatan (Artificial Intelligence) dan rekayasa pengetahuan, telah dikembangkan berbagai sistem pakar (Expert Systems) untuk membantu pengambilan keputusan perancangan teknis. Namun demikian, metode konvensional memiliki keterbatasan yang mendasar ketika diterapkan pada domain akustik:</w:t>
      </w:r>
    </w:p>
    <w:p>
      <w:pPr>
        <w:pStyle w:val="ListBullet"/>
        <w:spacing w:before="0" w:after="60" w:line="312" w:lineRule="auto"/>
        <w:jc w:val="both"/>
      </w:pPr>
      <w:r>
        <w:rPr>
          <w:rFonts w:ascii="Times New Roman" w:hAnsi="Times New Roman"/>
          <w:b/>
          <w:color w:val="222222"/>
          <w:sz w:val="22"/>
        </w:rPr>
        <w:t xml:space="preserve">1. </w:t>
      </w:r>
      <w:r>
        <w:rPr>
          <w:rFonts w:ascii="Times New Roman" w:hAnsi="Times New Roman"/>
          <w:color w:val="222222"/>
          <w:sz w:val="22"/>
        </w:rPr>
        <w:t>Keterbatasan Sistem Berbasis Aturan (Rule-Based Reasoning / RBR): Sistem RBR tradisional menggunakan penalaran berpola IF-THEN deterministik. Pada domain perancangan akustik yang melibatkan banyak variabel kontinu (seperti luas ruangan desimal, rentang frekuensi kontinu, dan ketebalan partisi non-standar), pendekatan RBR menghadapi masalah 'rule explosion' (ledakan kombinatorial aturan) dan 'brittleness' (kerapuhan sistem), di mana sistem gagal memberikan inferensi ketika pengguna memasukkan parameter yang berada di luar premis aturan statis yang telah dikodekan (Aamodt &amp; Plaza, 1994; Fadhlullah et al., 2026; Prasetya &amp; Riska, 2025).</w:t>
      </w:r>
    </w:p>
    <w:p>
      <w:pPr>
        <w:pStyle w:val="ListBullet"/>
        <w:spacing w:before="0" w:after="60" w:line="312" w:lineRule="auto"/>
        <w:jc w:val="both"/>
      </w:pPr>
      <w:r>
        <w:rPr>
          <w:rFonts w:ascii="Times New Roman" w:hAnsi="Times New Roman"/>
          <w:b/>
          <w:color w:val="222222"/>
          <w:sz w:val="22"/>
        </w:rPr>
        <w:t xml:space="preserve">2. </w:t>
      </w:r>
      <w:r>
        <w:rPr>
          <w:rFonts w:ascii="Times New Roman" w:hAnsi="Times New Roman"/>
          <w:color w:val="222222"/>
          <w:sz w:val="22"/>
        </w:rPr>
        <w:t>Keterbatasan Case-Based Reasoning (CBR) Konvensional: CBR menyelesaikan masalah baru dengan menelusuri kembali pengalaman masa lalu yang serupa (Aamodt &amp; Plaza, 1994). Akan tetapi, CBR standar umumnya menggunakan pembobotan atribut yang seragam (equal weighting) atau hanya mengandalkan penilaian subjektif persepsi pakar secara sepihak. Hal ini mengabaikan sifat dispersi statistik dan variabilitas objektif data historis. Lebih jauh lagi, CBR konvensional hanya melakukan pencocokan permukaan (surface matching) dan mengabaikan 'implicit knowledge' (pengetahuan implisit) yang terkandung dalam relasi keterikatan struktural antara fitur masalah dan parameter solusi kasus terdahulu (Wang et al., 2024).</w:t>
      </w:r>
    </w:p>
    <w:p>
      <w:pPr>
        <w:pStyle w:val="ListBullet"/>
        <w:spacing w:before="0" w:after="60" w:line="312" w:lineRule="auto"/>
        <w:jc w:val="both"/>
      </w:pPr>
      <w:r>
        <w:rPr>
          <w:rFonts w:ascii="Times New Roman" w:hAnsi="Times New Roman"/>
          <w:b/>
          <w:color w:val="222222"/>
          <w:sz w:val="22"/>
        </w:rPr>
        <w:t xml:space="preserve">3. </w:t>
      </w:r>
      <w:r>
        <w:rPr>
          <w:rFonts w:ascii="Times New Roman" w:hAnsi="Times New Roman"/>
          <w:color w:val="222222"/>
          <w:sz w:val="22"/>
        </w:rPr>
        <w:t>Kegagalan Fisika Akustik Lapangan (Flanking Transmission &amp; Geometri Ruang): Banyak rekomendasi peredaman suara yang disusun secara murni teoretis atau berbasis perangkat lunak prediktif mengalami kegagalan fatal saat diaplikasikan di lapangan. Hal ini disebabkan pengabaian fenomena kebocoran struktural (flanking transmission), di mana gelombang suara merambat melalui jembatan mekanis kaku (structural acoustic bridging) pada lantai, plafon, dan pertemuan dinding partisi (Hopkins, 2012). Selain itu, daya redam murni suatu material di laboratorium (Transmission Loss / TL) kerap kali keliru disamakan dengan reduksi kebisingan aktual di lapangan (Noise Reduction / NR), padahal standar ASTM E336 (2017) dan ISO 16283-1 (2014) menegaskan bahwa NR sangat dipengaruhi oleh rasio luas dinding pembatas terhadap penyerapan total ruang penerima (10 log10(S/A)).</w:t>
      </w:r>
    </w:p>
    <w:p>
      <w:pPr>
        <w:spacing w:before="0" w:after="120" w:line="360" w:lineRule="auto"/>
        <w:jc w:val="both"/>
      </w:pPr>
      <w:r>
        <w:rPr>
          <w:rFonts w:ascii="Times New Roman" w:hAnsi="Times New Roman"/>
          <w:b w:val="0"/>
          <w:i w:val="0"/>
          <w:color w:val="222222"/>
          <w:sz w:val="23"/>
        </w:rPr>
        <w:t>Menjawab tantangan tersebut, penelitian mutakhir oleh Wang et al. (2024) memperkenalkan kerangka kerja Improved Case-Based Reasoning (ICBR) untuk perancangan parametrik mekanis yang mengintegrasikan metode pembobotan kombinasi (Combination Weighting method based on Rationality and Non-Homogeneity of Weights / CRNHW) serta metode adaptasi kasus berbasis matriks bobot hibrida (Case Adaptation method based on Hybrid Weight Matrix / CAHWM) atau pendekatan SURA (State-Utility-Relational-Adaptability). Pendekatan ini mampu mengekstrak pengetahuan implisit melalui matriks kemiripan, vektor utilitas kasus, matriks relasi abu-abu (Grey Relational Analysis), dan pohon adaptabilitas kendala teknis.</w:t>
      </w:r>
    </w:p>
    <w:p>
      <w:pPr>
        <w:spacing w:before="0" w:after="120" w:line="360" w:lineRule="auto"/>
        <w:jc w:val="both"/>
      </w:pPr>
      <w:r>
        <w:rPr>
          <w:rFonts w:ascii="Times New Roman" w:hAnsi="Times New Roman"/>
          <w:b w:val="0"/>
          <w:i w:val="0"/>
          <w:color w:val="222222"/>
          <w:sz w:val="23"/>
        </w:rPr>
        <w:t>Oleh karena itu, penelitian ini mengadaptasi dan mengembangkan kerangka ICBR mutakhir tersebut ke dalam ranah rekayasa akustik bangunan, dengan mengintegrasikan formulasi pembobotan hibrida AHP-Entropi (CRNHW), penambangan pengetahuan implisit (CAHWM), serta validasi hukum fisika akustik baku berbasis standar ASTM E336 dan formula absorpsi Sabine. Dengan integrasi ini, sistem yang dibangun tidak hanya mampu merekomendasikan jenis material, ketebalan, dan estimasi biaya secara adaptif, tetapi juga menjamin validitas pemasangan di lapangan bebas dari kebocoran getaran mekanis struktural.</w:t>
      </w:r>
    </w:p>
    <w:p>
      <w:pPr>
        <w:keepNext/>
        <w:spacing w:before="280" w:after="80"/>
      </w:pPr>
      <w:r>
        <w:rPr>
          <w:rFonts w:ascii="Times New Roman" w:hAnsi="Times New Roman"/>
          <w:b/>
          <w:color w:val="2B6CB0"/>
          <w:sz w:val="24"/>
        </w:rPr>
        <w:t>1.2 Rumusan Masalah</w:t>
      </w:r>
    </w:p>
    <w:p>
      <w:pPr>
        <w:spacing w:before="0" w:after="120" w:line="360" w:lineRule="auto"/>
        <w:jc w:val="both"/>
      </w:pPr>
      <w:r>
        <w:rPr>
          <w:rFonts w:ascii="Times New Roman" w:hAnsi="Times New Roman"/>
          <w:b w:val="0"/>
          <w:i w:val="0"/>
          <w:color w:val="222222"/>
          <w:sz w:val="23"/>
        </w:rPr>
        <w:t>Berdasarkan latar belakang masalah yang telah diuraikan, rumusan masalah dalam penelitian dan pengembangan sistem pakar ini dirumuskan sebagai berikut:</w:t>
      </w:r>
    </w:p>
    <w:p>
      <w:pPr>
        <w:pStyle w:val="ListBullet"/>
        <w:spacing w:before="0" w:after="60" w:line="312" w:lineRule="auto"/>
        <w:jc w:val="both"/>
      </w:pPr>
      <w:r>
        <w:rPr>
          <w:rFonts w:ascii="Times New Roman" w:hAnsi="Times New Roman"/>
          <w:b/>
          <w:color w:val="222222"/>
          <w:sz w:val="22"/>
        </w:rPr>
        <w:t xml:space="preserve">1. </w:t>
      </w:r>
      <w:r>
        <w:rPr>
          <w:rFonts w:ascii="Times New Roman" w:hAnsi="Times New Roman"/>
          <w:color w:val="222222"/>
          <w:sz w:val="22"/>
        </w:rPr>
        <w:t>Bagaimana mengintegrasikan penilaian subjektif pakar akustik melalui Analytic Hierarchy Process (AHP) dan variabilitas objektif data historis melalui Shannon Entropy Weight Method ke dalam bobot hibrida teroptimasi (CRNHW) secara matematis?</w:t>
      </w:r>
    </w:p>
    <w:p>
      <w:pPr>
        <w:pStyle w:val="ListBullet"/>
        <w:spacing w:before="0" w:after="60" w:line="312" w:lineRule="auto"/>
        <w:jc w:val="both"/>
      </w:pPr>
      <w:r>
        <w:rPr>
          <w:rFonts w:ascii="Times New Roman" w:hAnsi="Times New Roman"/>
          <w:b/>
          <w:color w:val="222222"/>
          <w:sz w:val="22"/>
        </w:rPr>
        <w:t xml:space="preserve">2. </w:t>
      </w:r>
      <w:r>
        <w:rPr>
          <w:rFonts w:ascii="Times New Roman" w:hAnsi="Times New Roman"/>
          <w:color w:val="222222"/>
          <w:sz w:val="22"/>
        </w:rPr>
        <w:t>Bagaimana mengekstrak pengetahuan implisit (implicit knowledge mining) yang mencakup derajat utilitas kasus (U), korelasi abu-abu masalah-solusi (R), dan matriks adaptabilitas kendala teknis (A) guna menghasilkan adaptasi solusi peredaman yang presisi?</w:t>
      </w:r>
    </w:p>
    <w:p>
      <w:pPr>
        <w:pStyle w:val="ListBullet"/>
        <w:spacing w:before="0" w:after="60" w:line="312" w:lineRule="auto"/>
        <w:jc w:val="both"/>
      </w:pPr>
      <w:r>
        <w:rPr>
          <w:rFonts w:ascii="Times New Roman" w:hAnsi="Times New Roman"/>
          <w:b/>
          <w:color w:val="222222"/>
          <w:sz w:val="22"/>
        </w:rPr>
        <w:t xml:space="preserve">3. </w:t>
      </w:r>
      <w:r>
        <w:rPr>
          <w:rFonts w:ascii="Times New Roman" w:hAnsi="Times New Roman"/>
          <w:color w:val="222222"/>
          <w:sz w:val="22"/>
        </w:rPr>
        <w:t>Bagaimana memvalidasi dan mengoreksi hasil rekomendasi adaptasi solusi menggunakan formulasi fisika akustik baku standar ASTM E336 dan teori penyerapan bunyi Sabine (NR = TL - 10 log10(S/A)) serta mengintegrasikan aturan pemutus kebocoran struktur (flanking transmission override rule) agar hasil rekomendasi aman dan akurat di lapangan?</w:t>
      </w:r>
    </w:p>
    <w:p>
      <w:pPr>
        <w:keepNext/>
        <w:spacing w:before="280" w:after="80"/>
      </w:pPr>
      <w:r>
        <w:rPr>
          <w:rFonts w:ascii="Times New Roman" w:hAnsi="Times New Roman"/>
          <w:b/>
          <w:color w:val="2B6CB0"/>
          <w:sz w:val="24"/>
        </w:rPr>
        <w:t>1.3 Tujuan Penelitian</w:t>
      </w:r>
    </w:p>
    <w:p>
      <w:pPr>
        <w:spacing w:before="0" w:after="120" w:line="360" w:lineRule="auto"/>
        <w:jc w:val="both"/>
      </w:pPr>
      <w:r>
        <w:rPr>
          <w:rFonts w:ascii="Times New Roman" w:hAnsi="Times New Roman"/>
          <w:b w:val="0"/>
          <w:i w:val="0"/>
          <w:color w:val="222222"/>
          <w:sz w:val="23"/>
        </w:rPr>
        <w:t>Tujuan yang hendak dicapai melalui pelaksanaan penelitian dan pengembangan sistem pakar ini adalah:</w:t>
      </w:r>
    </w:p>
    <w:p>
      <w:pPr>
        <w:pStyle w:val="ListBullet"/>
        <w:spacing w:before="0" w:after="60" w:line="312" w:lineRule="auto"/>
        <w:jc w:val="both"/>
      </w:pPr>
      <w:r>
        <w:rPr>
          <w:rFonts w:ascii="Times New Roman" w:hAnsi="Times New Roman"/>
          <w:b/>
          <w:color w:val="222222"/>
          <w:sz w:val="22"/>
        </w:rPr>
        <w:t xml:space="preserve">1. </w:t>
      </w:r>
      <w:r>
        <w:rPr>
          <w:rFonts w:ascii="Times New Roman" w:hAnsi="Times New Roman"/>
          <w:color w:val="222222"/>
          <w:sz w:val="22"/>
        </w:rPr>
        <w:t>Mengembangkan arsitektur dan mesin inferensi sistem Improved Case-Based Reasoning (ICBR) yang mengombinasikan pembobotan CRNHW dan adaptasi CAHWM untuk domain rekomendasi peredam suara ruangan.</w:t>
      </w:r>
    </w:p>
    <w:p>
      <w:pPr>
        <w:pStyle w:val="ListBullet"/>
        <w:spacing w:before="0" w:after="60" w:line="312" w:lineRule="auto"/>
        <w:jc w:val="both"/>
      </w:pPr>
      <w:r>
        <w:rPr>
          <w:rFonts w:ascii="Times New Roman" w:hAnsi="Times New Roman"/>
          <w:b/>
          <w:color w:val="222222"/>
          <w:sz w:val="22"/>
        </w:rPr>
        <w:t xml:space="preserve">2. </w:t>
      </w:r>
      <w:r>
        <w:rPr>
          <w:rFonts w:ascii="Times New Roman" w:hAnsi="Times New Roman"/>
          <w:color w:val="222222"/>
          <w:sz w:val="22"/>
        </w:rPr>
        <w:t>Memformulasikan mekanisme ekstraksi pengetahuan implisit berbasis Grey Relational Analysis dan penalti adaptabilitas teknis guna menyelaraskan solusi kasus lama terhadap kebutuhan spesifik pengguna baru.</w:t>
      </w:r>
    </w:p>
    <w:p>
      <w:pPr>
        <w:pStyle w:val="ListBullet"/>
        <w:spacing w:before="0" w:after="60" w:line="312" w:lineRule="auto"/>
        <w:jc w:val="both"/>
      </w:pPr>
      <w:r>
        <w:rPr>
          <w:rFonts w:ascii="Times New Roman" w:hAnsi="Times New Roman"/>
          <w:b/>
          <w:color w:val="222222"/>
          <w:sz w:val="22"/>
        </w:rPr>
        <w:t xml:space="preserve">3. </w:t>
      </w:r>
      <w:r>
        <w:rPr>
          <w:rFonts w:ascii="Times New Roman" w:hAnsi="Times New Roman"/>
          <w:color w:val="222222"/>
          <w:sz w:val="22"/>
        </w:rPr>
        <w:t>Mengintegrasikan model koreksi fisika akustik lapangan berbasis standar ASTM E336 dan pendekatan reverberasi Sabine guna menghitung reduksi kebisingan riil (Noise Reduction aktual) dan mengeliminasi jembatan getaran struktural melalui aturan flanking transmission.</w:t>
      </w:r>
    </w:p>
    <w:p>
      <w:pPr>
        <w:pStyle w:val="ListBullet"/>
        <w:spacing w:before="0" w:after="60" w:line="312" w:lineRule="auto"/>
        <w:jc w:val="both"/>
      </w:pPr>
      <w:r>
        <w:rPr>
          <w:rFonts w:ascii="Times New Roman" w:hAnsi="Times New Roman"/>
          <w:b/>
          <w:color w:val="222222"/>
          <w:sz w:val="22"/>
        </w:rPr>
        <w:t xml:space="preserve">4. </w:t>
      </w:r>
      <w:r>
        <w:rPr>
          <w:rFonts w:ascii="Times New Roman" w:hAnsi="Times New Roman"/>
          <w:color w:val="222222"/>
          <w:sz w:val="22"/>
        </w:rPr>
        <w:t>Mengevaluasi kinerja sistem pakar melalui simulasi studi kasus perancangan riil dan menganalisis sensitivitas bobot terhadap rekomendasi material, ketebalan, sistem pemasangan partisi, serta kelayakan estimasi anggaran finansial.</w:t>
      </w:r>
    </w:p>
    <w:p>
      <w:pPr>
        <w:keepNext/>
        <w:spacing w:before="280" w:after="80"/>
      </w:pPr>
      <w:r>
        <w:rPr>
          <w:rFonts w:ascii="Times New Roman" w:hAnsi="Times New Roman"/>
          <w:b/>
          <w:color w:val="2B6CB0"/>
          <w:sz w:val="24"/>
        </w:rPr>
        <w:t>1.4 Batasan Penelitian &amp; Konfigurasi Variabel</w:t>
      </w:r>
    </w:p>
    <w:p>
      <w:pPr>
        <w:spacing w:before="0" w:after="120" w:line="360" w:lineRule="auto"/>
        <w:jc w:val="both"/>
      </w:pPr>
      <w:r>
        <w:rPr>
          <w:rFonts w:ascii="Times New Roman" w:hAnsi="Times New Roman"/>
          <w:b w:val="0"/>
          <w:i w:val="0"/>
          <w:color w:val="222222"/>
          <w:sz w:val="23"/>
        </w:rPr>
        <w:t>Agar ruang lingkup penelitian terarah dan terdefinisi secara terukur, batasan penelitian ditetapkan pada perancangan partisi peredam suara dinding ruangan berukuran kecil hingga menengah (volume ruang 10 m² hingga 200 m²) dengan rentang frekuensi dominan percakapan hingga musik/audio (125 Hz – 4 kHz). Sistem pakar ini memodelkan domain kasus ke dalam struktur Vektor Masalah (Problem Vector / P) yang merepresentasikan karakteristik lingkungan ruangan pengguna dan Vektor Solusi (Solution Vector / S) yang merepresentasikan spesifikasi rancangan peredam yang dihasilkan sistem.</w:t>
      </w:r>
    </w:p>
    <w:p>
      <w:pPr>
        <w:spacing w:before="160" w:after="60"/>
        <w:jc w:val="center"/>
      </w:pPr>
      <w:r>
        <w:rPr>
          <w:rFonts w:ascii="Times New Roman" w:hAnsi="Times New Roman"/>
          <w:b/>
          <w:color w:val="2B6CB0"/>
          <w:sz w:val="20"/>
        </w:rPr>
        <w:t>Tabel 1.1: Konfigurasi Atribut Vektor Masalah (P) dan Vektor Solusi (S)</w:t>
      </w:r>
    </w:p>
    <w:tbl>
      <w:tblPr>
        <w:tblW w:type="auto" w:w="0"/>
        <w:jc w:val="center"/>
        <w:tblLook w:firstColumn="1" w:firstRow="1" w:lastColumn="0" w:lastRow="0" w:noHBand="0" w:noVBand="1" w:val="04A0"/>
        <w:tblBorders>
          <w:top w:val="single" w:sz="6" w:space="0" w:color="2B6CB0"/>
          <w:bottom w:val="single" w:sz="6" w:space="0" w:color="2B6CB0"/>
          <w:insideH w:val="single" w:sz="4" w:space="0" w:color="CBD5E1"/>
          <w:insideV w:val="none"/>
          <w:left w:val="none"/>
          <w:right w:val="none"/>
        </w:tblBorders>
      </w:tblPr>
      <w:tblGrid>
        <w:gridCol w:w="1984"/>
        <w:gridCol w:w="1984"/>
        <w:gridCol w:w="1984"/>
        <w:gridCol w:w="1984"/>
      </w:tblGrid>
      <w:tr>
        <w:tc>
          <w:tcPr>
            <w:tcW w:type="dxa" w:w="1417"/>
            <w:shd w:fill="1A365D"/>
            <w:tcMar>
              <w:top w:w="120" w:type="dxa"/>
              <w:bottom w:w="120" w:type="dxa"/>
              <w:left w:w="140" w:type="dxa"/>
              <w:right w:w="140" w:type="dxa"/>
            </w:tcMar>
          </w:tcPr>
          <w:p>
            <w:pPr>
              <w:spacing w:after="0"/>
              <w:jc w:val="center"/>
            </w:pPr>
            <w:r>
              <w:rPr>
                <w:rFonts w:ascii="Times New Roman" w:hAnsi="Times New Roman"/>
                <w:b/>
                <w:color w:val="FFFFFF"/>
                <w:sz w:val="20"/>
              </w:rPr>
              <w:t>Kategori Vektor</w:t>
            </w:r>
          </w:p>
        </w:tc>
        <w:tc>
          <w:tcPr>
            <w:tcW w:type="dxa" w:w="2381"/>
            <w:shd w:fill="1A365D"/>
            <w:tcMar>
              <w:top w:w="120" w:type="dxa"/>
              <w:bottom w:w="120" w:type="dxa"/>
              <w:left w:w="140" w:type="dxa"/>
              <w:right w:w="140" w:type="dxa"/>
            </w:tcMar>
          </w:tcPr>
          <w:p>
            <w:pPr>
              <w:spacing w:after="0"/>
              <w:jc w:val="center"/>
            </w:pPr>
            <w:r>
              <w:rPr>
                <w:rFonts w:ascii="Times New Roman" w:hAnsi="Times New Roman"/>
                <w:b/>
                <w:color w:val="FFFFFF"/>
                <w:sz w:val="20"/>
              </w:rPr>
              <w:t>Nama Atribut</w:t>
            </w:r>
          </w:p>
        </w:tc>
        <w:tc>
          <w:tcPr>
            <w:tcW w:type="dxa" w:w="1701"/>
            <w:shd w:fill="1A365D"/>
            <w:tcMar>
              <w:top w:w="120" w:type="dxa"/>
              <w:bottom w:w="120" w:type="dxa"/>
              <w:left w:w="140" w:type="dxa"/>
              <w:right w:w="140" w:type="dxa"/>
            </w:tcMar>
          </w:tcPr>
          <w:p>
            <w:pPr>
              <w:spacing w:after="0"/>
              <w:jc w:val="center"/>
            </w:pPr>
            <w:r>
              <w:rPr>
                <w:rFonts w:ascii="Times New Roman" w:hAnsi="Times New Roman"/>
                <w:b/>
                <w:color w:val="FFFFFF"/>
                <w:sz w:val="20"/>
              </w:rPr>
              <w:t>Tipe Data</w:t>
            </w:r>
          </w:p>
        </w:tc>
        <w:tc>
          <w:tcPr>
            <w:tcW w:type="dxa" w:w="3288"/>
            <w:shd w:fill="1A365D"/>
            <w:tcMar>
              <w:top w:w="120" w:type="dxa"/>
              <w:bottom w:w="120" w:type="dxa"/>
              <w:left w:w="140" w:type="dxa"/>
              <w:right w:w="140" w:type="dxa"/>
            </w:tcMar>
          </w:tcPr>
          <w:p>
            <w:pPr>
              <w:spacing w:after="0"/>
              <w:jc w:val="center"/>
            </w:pPr>
            <w:r>
              <w:rPr>
                <w:rFonts w:ascii="Times New Roman" w:hAnsi="Times New Roman"/>
                <w:b/>
                <w:color w:val="FFFFFF"/>
                <w:sz w:val="20"/>
              </w:rPr>
              <w:t>Deskripsi Fungsional &amp; Satuan</w:t>
            </w:r>
          </w:p>
        </w:tc>
      </w:tr>
      <w:tr>
        <w:tc>
          <w:tcPr>
            <w:tcW w:type="dxa" w:w="1984"/>
            <w:shd w:fill="FFFFFF"/>
            <w:tcMar>
              <w:top w:w="100" w:type="dxa"/>
              <w:bottom w:w="100" w:type="dxa"/>
              <w:left w:w="140" w:type="dxa"/>
              <w:right w:w="140" w:type="dxa"/>
            </w:tcMar>
          </w:tcPr>
          <w:p>
            <w:pPr>
              <w:spacing w:after="0"/>
              <w:jc w:val="left"/>
            </w:pPr>
            <w:r>
              <w:rPr>
                <w:rFonts w:ascii="Times New Roman" w:hAnsi="Times New Roman"/>
                <w:color w:val="222222"/>
                <w:sz w:val="19"/>
              </w:rPr>
              <w:t>Problem (P)</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luas_ruangan_m2</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Numerik (Float)</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Luas lantai ruangan sumber/penerima (m²)</w:t>
            </w:r>
          </w:p>
        </w:tc>
      </w:tr>
      <w:tr>
        <w:tc>
          <w:tcPr>
            <w:tcW w:type="dxa" w:w="1984"/>
            <w:shd w:fill="F8FAFC"/>
            <w:tcMar>
              <w:top w:w="100" w:type="dxa"/>
              <w:bottom w:w="100" w:type="dxa"/>
              <w:left w:w="140" w:type="dxa"/>
              <w:right w:w="140" w:type="dxa"/>
            </w:tcMar>
          </w:tcPr>
          <w:p>
            <w:pPr>
              <w:spacing w:after="0"/>
              <w:jc w:val="left"/>
            </w:pPr>
            <w:r>
              <w:rPr>
                <w:rFonts w:ascii="Times New Roman" w:hAnsi="Times New Roman"/>
                <w:color w:val="222222"/>
                <w:sz w:val="19"/>
              </w:rPr>
              <w:t>Problem (P)</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jenis_dinding</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Kategorikal</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Jenis konstruksi dinding eksisting (Hebel, Bata, Beton, Gypsum)</w:t>
            </w:r>
          </w:p>
        </w:tc>
      </w:tr>
      <w:tr>
        <w:tc>
          <w:tcPr>
            <w:tcW w:type="dxa" w:w="1984"/>
            <w:shd w:fill="FFFFFF"/>
            <w:tcMar>
              <w:top w:w="100" w:type="dxa"/>
              <w:bottom w:w="100" w:type="dxa"/>
              <w:left w:w="140" w:type="dxa"/>
              <w:right w:w="140" w:type="dxa"/>
            </w:tcMar>
          </w:tcPr>
          <w:p>
            <w:pPr>
              <w:spacing w:after="0"/>
              <w:jc w:val="left"/>
            </w:pPr>
            <w:r>
              <w:rPr>
                <w:rFonts w:ascii="Times New Roman" w:hAnsi="Times New Roman"/>
                <w:color w:val="222222"/>
                <w:sz w:val="19"/>
              </w:rPr>
              <w:t>Problem (P)</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ketebalan_dinding_cm</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Numerik (Float)</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Ketebalan fisik partisi dinding struktural eksisting (cm)</w:t>
            </w:r>
          </w:p>
        </w:tc>
      </w:tr>
      <w:tr>
        <w:tc>
          <w:tcPr>
            <w:tcW w:type="dxa" w:w="1984"/>
            <w:shd w:fill="F8FAFC"/>
            <w:tcMar>
              <w:top w:w="100" w:type="dxa"/>
              <w:bottom w:w="100" w:type="dxa"/>
              <w:left w:w="140" w:type="dxa"/>
              <w:right w:w="140" w:type="dxa"/>
            </w:tcMar>
          </w:tcPr>
          <w:p>
            <w:pPr>
              <w:spacing w:after="0"/>
              <w:jc w:val="left"/>
            </w:pPr>
            <w:r>
              <w:rPr>
                <w:rFonts w:ascii="Times New Roman" w:hAnsi="Times New Roman"/>
                <w:color w:val="222222"/>
                <w:sz w:val="19"/>
              </w:rPr>
              <w:t>Problem (P)</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material_dinding</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Kategorikal</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Spesifikasi fisik material dinding eksisting</w:t>
            </w:r>
          </w:p>
        </w:tc>
      </w:tr>
      <w:tr>
        <w:tc>
          <w:tcPr>
            <w:tcW w:type="dxa" w:w="1984"/>
            <w:shd w:fill="FFFFFF"/>
            <w:tcMar>
              <w:top w:w="100" w:type="dxa"/>
              <w:bottom w:w="100" w:type="dxa"/>
              <w:left w:w="140" w:type="dxa"/>
              <w:right w:w="140" w:type="dxa"/>
            </w:tcMar>
          </w:tcPr>
          <w:p>
            <w:pPr>
              <w:spacing w:after="0"/>
              <w:jc w:val="left"/>
            </w:pPr>
            <w:r>
              <w:rPr>
                <w:rFonts w:ascii="Times New Roman" w:hAnsi="Times New Roman"/>
                <w:color w:val="222222"/>
                <w:sz w:val="19"/>
              </w:rPr>
              <w:t>Problem (P)</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luas_dinding_m2</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Numerik (Float)</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Luas permukaan bidang dinding pembatas yang diredam (m², S)</w:t>
            </w:r>
          </w:p>
        </w:tc>
      </w:tr>
      <w:tr>
        <w:tc>
          <w:tcPr>
            <w:tcW w:type="dxa" w:w="1984"/>
            <w:shd w:fill="F8FAFC"/>
            <w:tcMar>
              <w:top w:w="100" w:type="dxa"/>
              <w:bottom w:w="100" w:type="dxa"/>
              <w:left w:w="140" w:type="dxa"/>
              <w:right w:w="140" w:type="dxa"/>
            </w:tcMar>
          </w:tcPr>
          <w:p>
            <w:pPr>
              <w:spacing w:after="0"/>
              <w:jc w:val="left"/>
            </w:pPr>
            <w:r>
              <w:rPr>
                <w:rFonts w:ascii="Times New Roman" w:hAnsi="Times New Roman"/>
                <w:color w:val="222222"/>
                <w:sz w:val="19"/>
              </w:rPr>
              <w:t>Problem (P)</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sumber_suara</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Kategorikal</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Tipe sumber bising (Musik/audio, Mesin pabrik, Percakapan, dll)</w:t>
            </w:r>
          </w:p>
        </w:tc>
      </w:tr>
      <w:tr>
        <w:tc>
          <w:tcPr>
            <w:tcW w:type="dxa" w:w="1984"/>
            <w:shd w:fill="FFFFFF"/>
            <w:tcMar>
              <w:top w:w="100" w:type="dxa"/>
              <w:bottom w:w="100" w:type="dxa"/>
              <w:left w:w="140" w:type="dxa"/>
              <w:right w:w="140" w:type="dxa"/>
            </w:tcMar>
          </w:tcPr>
          <w:p>
            <w:pPr>
              <w:spacing w:after="0"/>
              <w:jc w:val="left"/>
            </w:pPr>
            <w:r>
              <w:rPr>
                <w:rFonts w:ascii="Times New Roman" w:hAnsi="Times New Roman"/>
                <w:color w:val="222222"/>
                <w:sz w:val="19"/>
              </w:rPr>
              <w:t>Problem (P)</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intensitas_suara_awal_db</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Numerik (Float)</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Tingkat tekanan bunyi awal di dalam ruangan sumber (dB)</w:t>
            </w:r>
          </w:p>
        </w:tc>
      </w:tr>
      <w:tr>
        <w:tc>
          <w:tcPr>
            <w:tcW w:type="dxa" w:w="1984"/>
            <w:shd w:fill="F8FAFC"/>
            <w:tcMar>
              <w:top w:w="100" w:type="dxa"/>
              <w:bottom w:w="100" w:type="dxa"/>
              <w:left w:w="140" w:type="dxa"/>
              <w:right w:w="140" w:type="dxa"/>
            </w:tcMar>
          </w:tcPr>
          <w:p>
            <w:pPr>
              <w:spacing w:after="0"/>
              <w:jc w:val="left"/>
            </w:pPr>
            <w:r>
              <w:rPr>
                <w:rFonts w:ascii="Times New Roman" w:hAnsi="Times New Roman"/>
                <w:color w:val="222222"/>
                <w:sz w:val="19"/>
              </w:rPr>
              <w:t>Problem (P)</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target_suara_db</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Numerik (Float)</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Ambang batas kebisingan yang diizinkan di ruang penerima (dB)</w:t>
            </w:r>
          </w:p>
        </w:tc>
      </w:tr>
      <w:tr>
        <w:tc>
          <w:tcPr>
            <w:tcW w:type="dxa" w:w="1984"/>
            <w:shd w:fill="FFFFFF"/>
            <w:tcMar>
              <w:top w:w="100" w:type="dxa"/>
              <w:bottom w:w="100" w:type="dxa"/>
              <w:left w:w="140" w:type="dxa"/>
              <w:right w:w="140" w:type="dxa"/>
            </w:tcMar>
          </w:tcPr>
          <w:p>
            <w:pPr>
              <w:spacing w:after="0"/>
              <w:jc w:val="left"/>
            </w:pPr>
            <w:r>
              <w:rPr>
                <w:rFonts w:ascii="Times New Roman" w:hAnsi="Times New Roman"/>
                <w:color w:val="222222"/>
                <w:sz w:val="19"/>
              </w:rPr>
              <w:t>Problem (P)</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delta_db</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Numerik (Float)</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Target reduksi suara yang dibutuhkan: (Awal - Target) (dB)</w:t>
            </w:r>
          </w:p>
        </w:tc>
      </w:tr>
      <w:tr>
        <w:tc>
          <w:tcPr>
            <w:tcW w:type="dxa" w:w="1984"/>
            <w:shd w:fill="F8FAFC"/>
            <w:tcMar>
              <w:top w:w="100" w:type="dxa"/>
              <w:bottom w:w="100" w:type="dxa"/>
              <w:left w:w="140" w:type="dxa"/>
              <w:right w:w="140" w:type="dxa"/>
            </w:tcMar>
          </w:tcPr>
          <w:p>
            <w:pPr>
              <w:spacing w:after="0"/>
              <w:jc w:val="left"/>
            </w:pPr>
            <w:r>
              <w:rPr>
                <w:rFonts w:ascii="Times New Roman" w:hAnsi="Times New Roman"/>
                <w:color w:val="222222"/>
                <w:sz w:val="19"/>
              </w:rPr>
              <w:t>Problem (P)</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frekuensi_dominan</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Kategorikal</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Spektrum pita frekuensi bising dominan (Hz / kHz)</w:t>
            </w:r>
          </w:p>
        </w:tc>
      </w:tr>
      <w:tr>
        <w:tc>
          <w:tcPr>
            <w:tcW w:type="dxa" w:w="1984"/>
            <w:shd w:fill="FFFFFF"/>
            <w:tcMar>
              <w:top w:w="100" w:type="dxa"/>
              <w:bottom w:w="100" w:type="dxa"/>
              <w:left w:w="140" w:type="dxa"/>
              <w:right w:w="140" w:type="dxa"/>
            </w:tcMar>
          </w:tcPr>
          <w:p>
            <w:pPr>
              <w:spacing w:after="0"/>
              <w:jc w:val="left"/>
            </w:pPr>
            <w:r>
              <w:rPr>
                <w:rFonts w:ascii="Times New Roman" w:hAnsi="Times New Roman"/>
                <w:color w:val="222222"/>
                <w:sz w:val="19"/>
              </w:rPr>
              <w:t>Solution (S)</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material_peredam</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Kategorikal</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Jenis material peredam utama (Rockwool 60 kg/m³, Glasswool, dll)</w:t>
            </w:r>
          </w:p>
        </w:tc>
      </w:tr>
      <w:tr>
        <w:tc>
          <w:tcPr>
            <w:tcW w:type="dxa" w:w="1984"/>
            <w:shd w:fill="F8FAFC"/>
            <w:tcMar>
              <w:top w:w="100" w:type="dxa"/>
              <w:bottom w:w="100" w:type="dxa"/>
              <w:left w:w="140" w:type="dxa"/>
              <w:right w:w="140" w:type="dxa"/>
            </w:tcMar>
          </w:tcPr>
          <w:p>
            <w:pPr>
              <w:spacing w:after="0"/>
              <w:jc w:val="left"/>
            </w:pPr>
            <w:r>
              <w:rPr>
                <w:rFonts w:ascii="Times New Roman" w:hAnsi="Times New Roman"/>
                <w:color w:val="222222"/>
                <w:sz w:val="19"/>
              </w:rPr>
              <w:t>Solution (S)</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ketebalan_peredam_mm</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Numerik (Integer)</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Ketebalan material hasil adaptasi kontinu (kelipatan 5 mm)</w:t>
            </w:r>
          </w:p>
        </w:tc>
      </w:tr>
      <w:tr>
        <w:tc>
          <w:tcPr>
            <w:tcW w:type="dxa" w:w="1984"/>
            <w:shd w:fill="FFFFFF"/>
            <w:tcMar>
              <w:top w:w="100" w:type="dxa"/>
              <w:bottom w:w="100" w:type="dxa"/>
              <w:left w:w="140" w:type="dxa"/>
              <w:right w:w="140" w:type="dxa"/>
            </w:tcMar>
          </w:tcPr>
          <w:p>
            <w:pPr>
              <w:spacing w:after="0"/>
              <w:jc w:val="left"/>
            </w:pPr>
            <w:r>
              <w:rPr>
                <w:rFonts w:ascii="Times New Roman" w:hAnsi="Times New Roman"/>
                <w:color w:val="222222"/>
                <w:sz w:val="19"/>
              </w:rPr>
              <w:t>Solution (S)</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sistem_pemasangan</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Kategorikal</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Konstruksi partisi (Ditempel langsung, Air Gap + Gypsum, dll)</w:t>
            </w:r>
          </w:p>
        </w:tc>
      </w:tr>
      <w:tr>
        <w:tc>
          <w:tcPr>
            <w:tcW w:type="dxa" w:w="1984"/>
            <w:shd w:fill="F8FAFC"/>
            <w:tcMar>
              <w:top w:w="100" w:type="dxa"/>
              <w:bottom w:w="100" w:type="dxa"/>
              <w:left w:w="140" w:type="dxa"/>
              <w:right w:w="140" w:type="dxa"/>
            </w:tcMar>
          </w:tcPr>
          <w:p>
            <w:pPr>
              <w:spacing w:after="0"/>
              <w:jc w:val="left"/>
            </w:pPr>
            <w:r>
              <w:rPr>
                <w:rFonts w:ascii="Times New Roman" w:hAnsi="Times New Roman"/>
                <w:color w:val="222222"/>
                <w:sz w:val="19"/>
              </w:rPr>
              <w:t>Solution (S)</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estimasi_noise_reduction_db</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Numerik (Float)</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Daya redam transmisi murni material (TL HWM dalam dB)</w:t>
            </w:r>
          </w:p>
        </w:tc>
      </w:tr>
      <w:tr>
        <w:tc>
          <w:tcPr>
            <w:tcW w:type="dxa" w:w="1984"/>
            <w:shd w:fill="FFFFFF"/>
            <w:tcMar>
              <w:top w:w="100" w:type="dxa"/>
              <w:bottom w:w="100" w:type="dxa"/>
              <w:left w:w="140" w:type="dxa"/>
              <w:right w:w="140" w:type="dxa"/>
            </w:tcMar>
          </w:tcPr>
          <w:p>
            <w:pPr>
              <w:spacing w:after="0"/>
              <w:jc w:val="left"/>
            </w:pPr>
            <w:r>
              <w:rPr>
                <w:rFonts w:ascii="Times New Roman" w:hAnsi="Times New Roman"/>
                <w:color w:val="222222"/>
                <w:sz w:val="19"/>
              </w:rPr>
              <w:t>Solution (S)</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estimasi_suara_di_luar_db</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Numerik (Float)</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Estimasi sisa kebisingan di ruang penerima aktual (dB)</w:t>
            </w:r>
          </w:p>
        </w:tc>
      </w:tr>
      <w:tr>
        <w:tc>
          <w:tcPr>
            <w:tcW w:type="dxa" w:w="1984"/>
            <w:shd w:fill="F8FAFC"/>
            <w:tcMar>
              <w:top w:w="100" w:type="dxa"/>
              <w:bottom w:w="100" w:type="dxa"/>
              <w:left w:w="140" w:type="dxa"/>
              <w:right w:w="140" w:type="dxa"/>
            </w:tcMar>
          </w:tcPr>
          <w:p>
            <w:pPr>
              <w:spacing w:after="0"/>
              <w:jc w:val="left"/>
            </w:pPr>
            <w:r>
              <w:rPr>
                <w:rFonts w:ascii="Times New Roman" w:hAnsi="Times New Roman"/>
                <w:color w:val="222222"/>
                <w:sz w:val="19"/>
              </w:rPr>
              <w:t>Solution (S)</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jarak_hingga_40db_m</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Numerik (Float)</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Jarak aman transmisi di udara bebas hingga intensitas 40 dB (m)</w:t>
            </w:r>
          </w:p>
        </w:tc>
      </w:tr>
      <w:tr>
        <w:tc>
          <w:tcPr>
            <w:tcW w:type="dxa" w:w="1984"/>
            <w:shd w:fill="FFFFFF"/>
            <w:tcMar>
              <w:top w:w="100" w:type="dxa"/>
              <w:bottom w:w="100" w:type="dxa"/>
              <w:left w:w="140" w:type="dxa"/>
              <w:right w:w="140" w:type="dxa"/>
            </w:tcMar>
          </w:tcPr>
          <w:p>
            <w:pPr>
              <w:spacing w:after="0"/>
              <w:jc w:val="left"/>
            </w:pPr>
            <w:r>
              <w:rPr>
                <w:rFonts w:ascii="Times New Roman" w:hAnsi="Times New Roman"/>
                <w:color w:val="222222"/>
                <w:sz w:val="19"/>
              </w:rPr>
              <w:t>Solution (S)</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estimasi_biaya_rp</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Numerik (Integer)</w:t>
            </w:r>
          </w:p>
        </w:tc>
        <w:tc>
          <w:tcPr>
            <w:tcW w:type="dxa" w:w="1984"/>
            <w:shd w:fill="FFFFFF"/>
            <w:tcMar>
              <w:top w:w="100" w:type="dxa"/>
              <w:bottom w:w="100" w:type="dxa"/>
              <w:left w:w="140" w:type="dxa"/>
              <w:right w:w="140" w:type="dxa"/>
            </w:tcMar>
          </w:tcPr>
          <w:p>
            <w:pPr>
              <w:spacing w:after="0"/>
              <w:jc w:val="center"/>
            </w:pPr>
            <w:r>
              <w:rPr>
                <w:rFonts w:ascii="Times New Roman" w:hAnsi="Times New Roman"/>
                <w:color w:val="222222"/>
                <w:sz w:val="19"/>
              </w:rPr>
              <w:t>Estimasi total biaya material dan instalasi partisi (Rupiah)</w:t>
            </w:r>
          </w:p>
        </w:tc>
      </w:tr>
      <w:tr>
        <w:tc>
          <w:tcPr>
            <w:tcW w:type="dxa" w:w="1984"/>
            <w:shd w:fill="F8FAFC"/>
            <w:tcMar>
              <w:top w:w="100" w:type="dxa"/>
              <w:bottom w:w="100" w:type="dxa"/>
              <w:left w:w="140" w:type="dxa"/>
              <w:right w:w="140" w:type="dxa"/>
            </w:tcMar>
          </w:tcPr>
          <w:p>
            <w:pPr>
              <w:spacing w:after="0"/>
              <w:jc w:val="left"/>
            </w:pPr>
            <w:r>
              <w:rPr>
                <w:rFonts w:ascii="Times New Roman" w:hAnsi="Times New Roman"/>
                <w:color w:val="222222"/>
                <w:sz w:val="19"/>
              </w:rPr>
              <w:t>Solution (S)</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tingkat_rekomendasi</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Kategorikal</w:t>
            </w:r>
          </w:p>
        </w:tc>
        <w:tc>
          <w:tcPr>
            <w:tcW w:type="dxa" w:w="1984"/>
            <w:shd w:fill="F8FAFC"/>
            <w:tcMar>
              <w:top w:w="100" w:type="dxa"/>
              <w:bottom w:w="100" w:type="dxa"/>
              <w:left w:w="140" w:type="dxa"/>
              <w:right w:w="140" w:type="dxa"/>
            </w:tcMar>
          </w:tcPr>
          <w:p>
            <w:pPr>
              <w:spacing w:after="0"/>
              <w:jc w:val="center"/>
            </w:pPr>
            <w:r>
              <w:rPr>
                <w:rFonts w:ascii="Times New Roman" w:hAnsi="Times New Roman"/>
                <w:color w:val="222222"/>
                <w:sz w:val="19"/>
              </w:rPr>
              <w:t>Klasifikasi keyakinan sistem (Tinggi: ≥85%, Sedang: 70-84%, Rendah)</w:t>
            </w:r>
          </w:p>
        </w:tc>
      </w:tr>
    </w:tbl>
    <w:p>
      <w:r>
        <w:br w:type="page"/>
      </w:r>
    </w:p>
    <w:p>
      <w:pPr>
        <w:keepNext/>
        <w:spacing w:before="360" w:after="120"/>
      </w:pPr>
      <w:r>
        <w:rPr>
          <w:rFonts w:ascii="Times New Roman" w:hAnsi="Times New Roman"/>
          <w:b/>
          <w:color w:val="1A365D"/>
          <w:sz w:val="26"/>
        </w:rPr>
        <w:t>BAB II: LANDASAN TEORI &amp; METODOLOGI</w:t>
      </w:r>
    </w:p>
    <w:p>
      <w:pPr>
        <w:keepNext/>
        <w:spacing w:before="280" w:after="80"/>
      </w:pPr>
      <w:r>
        <w:rPr>
          <w:rFonts w:ascii="Times New Roman" w:hAnsi="Times New Roman"/>
          <w:b/>
          <w:color w:val="2B6CB0"/>
          <w:sz w:val="24"/>
        </w:rPr>
        <w:t>2.1 Konsep Improved Case-Based Reasoning (ICBR)</w:t>
      </w:r>
    </w:p>
    <w:p>
      <w:pPr>
        <w:spacing w:before="0" w:after="120" w:line="360" w:lineRule="auto"/>
        <w:jc w:val="both"/>
      </w:pPr>
      <w:r>
        <w:rPr>
          <w:rFonts w:ascii="Times New Roman" w:hAnsi="Times New Roman"/>
          <w:b w:val="0"/>
          <w:i w:val="0"/>
          <w:color w:val="222222"/>
          <w:sz w:val="23"/>
        </w:rPr>
        <w:t>Sistem Pakar (Expert System) merupakan cabang kecerdasan buatan terapan yang mengadopsi pengetahuan, fakta, serta teknik penalaran pakar manusia untuk memecahkan permasalahan spesifik dan kompleks pada suatu domain keahlian tertentu (Irawan, 2007). Salah satu paradigma penalaran sistem pakar yang paling sukses dan luas penerapannya dalam domain rekayasa desain adalah Case-Based Reasoning (CBR). Berbeda dari Rule-Based Reasoning (RBR) yang melakukan inferensi rantai maju/mundur dari seperangkat aturan deduktif IF-THEN, CBR bekerja berdasarkan premis analogis bahwa permasalahan baru yang dihadapi memiliki kesamaan struktur dengan permasalahan terdahulu yang pernah terselesaikan (Aamodt &amp; Plaza, 1994).</w:t>
      </w:r>
    </w:p>
    <w:p>
      <w:pPr>
        <w:spacing w:before="0" w:after="120" w:line="360" w:lineRule="auto"/>
        <w:jc w:val="both"/>
      </w:pPr>
      <w:r>
        <w:rPr>
          <w:rFonts w:ascii="Times New Roman" w:hAnsi="Times New Roman"/>
          <w:b w:val="0"/>
          <w:i w:val="0"/>
          <w:color w:val="222222"/>
          <w:sz w:val="23"/>
        </w:rPr>
        <w:t>Secara formal, siklus kehidupan klasik CBR direpresentasikan melalui model 4-R (Aamodt &amp; Plaza, 1994):</w:t>
      </w:r>
    </w:p>
    <w:p>
      <w:pPr>
        <w:pStyle w:val="ListBullet"/>
        <w:spacing w:before="0" w:after="60" w:line="312" w:lineRule="auto"/>
        <w:jc w:val="both"/>
      </w:pPr>
      <w:r>
        <w:rPr>
          <w:rFonts w:ascii="Times New Roman" w:hAnsi="Times New Roman"/>
          <w:b/>
          <w:color w:val="222222"/>
          <w:sz w:val="22"/>
        </w:rPr>
        <w:t xml:space="preserve">1. </w:t>
      </w:r>
      <w:r>
        <w:rPr>
          <w:rFonts w:ascii="Times New Roman" w:hAnsi="Times New Roman"/>
          <w:color w:val="222222"/>
          <w:sz w:val="22"/>
        </w:rPr>
        <w:t>Retrieve (Temukan Kembali): Sistem mengevaluasi deskripsi masalah baru dan menelusuri basis kasus (case base) untuk menemukan sejumlah kasus masa lalu yang memiliki indeks kemiripan paling tinggi.</w:t>
      </w:r>
    </w:p>
    <w:p>
      <w:pPr>
        <w:pStyle w:val="ListBullet"/>
        <w:spacing w:before="0" w:after="60" w:line="312" w:lineRule="auto"/>
        <w:jc w:val="both"/>
      </w:pPr>
      <w:r>
        <w:rPr>
          <w:rFonts w:ascii="Times New Roman" w:hAnsi="Times New Roman"/>
          <w:b/>
          <w:color w:val="222222"/>
          <w:sz w:val="22"/>
        </w:rPr>
        <w:t xml:space="preserve">2. </w:t>
      </w:r>
      <w:r>
        <w:rPr>
          <w:rFonts w:ascii="Times New Roman" w:hAnsi="Times New Roman"/>
          <w:color w:val="222222"/>
          <w:sz w:val="22"/>
        </w:rPr>
        <w:t>Reuse (Gunakan Kembali): Solusi yang terasosiasi dengan kasus-kasus terdahulu yang paling mirip diambil untuk digunakan sebagai acuan dasar dalam menyelesaikan masalah baru.</w:t>
      </w:r>
    </w:p>
    <w:p>
      <w:pPr>
        <w:pStyle w:val="ListBullet"/>
        <w:spacing w:before="0" w:after="60" w:line="312" w:lineRule="auto"/>
        <w:jc w:val="both"/>
      </w:pPr>
      <w:r>
        <w:rPr>
          <w:rFonts w:ascii="Times New Roman" w:hAnsi="Times New Roman"/>
          <w:b/>
          <w:color w:val="222222"/>
          <w:sz w:val="22"/>
        </w:rPr>
        <w:t xml:space="preserve">3. </w:t>
      </w:r>
      <w:r>
        <w:rPr>
          <w:rFonts w:ascii="Times New Roman" w:hAnsi="Times New Roman"/>
          <w:color w:val="222222"/>
          <w:sz w:val="22"/>
        </w:rPr>
        <w:t>Revise (Revisi / Adaptasi): Mengingat parameter masalah baru jarang identik 100% dengan kasus historis, solusi yang diambil disesuaikan dan dikoreksi melalui mesin adaptasi untuk memenuhi batasan dan kendala teknis dari masalah baru.</w:t>
      </w:r>
    </w:p>
    <w:p>
      <w:pPr>
        <w:pStyle w:val="ListBullet"/>
        <w:spacing w:before="0" w:after="60" w:line="312" w:lineRule="auto"/>
        <w:jc w:val="both"/>
      </w:pPr>
      <w:r>
        <w:rPr>
          <w:rFonts w:ascii="Times New Roman" w:hAnsi="Times New Roman"/>
          <w:b/>
          <w:color w:val="222222"/>
          <w:sz w:val="22"/>
        </w:rPr>
        <w:t xml:space="preserve">4. </w:t>
      </w:r>
      <w:r>
        <w:rPr>
          <w:rFonts w:ascii="Times New Roman" w:hAnsi="Times New Roman"/>
          <w:color w:val="222222"/>
          <w:sz w:val="22"/>
        </w:rPr>
        <w:t>Retain (Simpan): Setelah solusi teradaptasi berhasil divalidasi dan dikonfirmasi kinerjanya, pasangan masalah-solusi baru tersebut disimpan kembali ke dalam basis kasus sebagai akumulasi pengalaman baru sistem.</w:t>
      </w:r>
    </w:p>
    <w:p>
      <w:pPr>
        <w:spacing w:before="0" w:after="120" w:line="360" w:lineRule="auto"/>
        <w:jc w:val="both"/>
      </w:pPr>
      <w:r>
        <w:rPr>
          <w:rFonts w:ascii="Times New Roman" w:hAnsi="Times New Roman"/>
          <w:b w:val="0"/>
          <w:i w:val="0"/>
          <w:color w:val="222222"/>
          <w:sz w:val="23"/>
        </w:rPr>
        <w:t>Meskipun model 4-R CBR telah terbukti efektif, penelitian terkini menunjukkan kelemahan fatal pada tahap Retrieval dan Adaptation dalam perancangan teknik parametrik. Sebagaimana diungkapkan oleh Wang et al. (2024), kasus-kasus terdahulu pada hakikatnya bukan sekadar kumpulan entitas data terisolasi, melainkan menyimpan 'implicit knowledge' (pengetahuan implisit) yang sangat berharga. Pengetahuan implisit ini mencakup: (a) sensitivitas parameter masalah terhadap variasi solusi, (b) derajat utilitas atau kepuasan kinerja kasus di masa lalu, (c) derajat korelasi tersembunyi antardimensi, dan (d) fleksibilitas adaptasi struktur solusi terhadap perubahan lingkungan.</w:t>
      </w:r>
    </w:p>
    <w:p>
      <w:pPr>
        <w:spacing w:before="0" w:after="120" w:line="360" w:lineRule="auto"/>
        <w:jc w:val="both"/>
      </w:pPr>
      <w:r>
        <w:rPr>
          <w:rFonts w:ascii="Times New Roman" w:hAnsi="Times New Roman"/>
          <w:b w:val="0"/>
          <w:i w:val="0"/>
          <w:color w:val="222222"/>
          <w:sz w:val="23"/>
        </w:rPr>
        <w:t>Kerangka Improved Case-Based Reasoning (ICBR) yang dikembangkan oleh Wang et al. (2024) merevolusi CBR tradisional melalui dua terobosan utama:</w:t>
      </w:r>
    </w:p>
    <w:p>
      <w:pPr>
        <w:pStyle w:val="ListBullet"/>
        <w:spacing w:before="0" w:after="60" w:line="312" w:lineRule="auto"/>
        <w:jc w:val="both"/>
      </w:pPr>
      <w:r>
        <w:rPr>
          <w:rFonts w:ascii="Times New Roman" w:hAnsi="Times New Roman"/>
          <w:b/>
          <w:color w:val="222222"/>
          <w:sz w:val="22"/>
        </w:rPr>
        <w:t xml:space="preserve">a. </w:t>
      </w:r>
      <w:r>
        <w:rPr>
          <w:rFonts w:ascii="Times New Roman" w:hAnsi="Times New Roman"/>
          <w:color w:val="222222"/>
          <w:sz w:val="22"/>
        </w:rPr>
        <w:t>Metode Pembobotan Kombinasi Teroptimasi (CRNHW): Mengintegrasikan bobot subjektif pakar dan bobot objektif data menggunakan optimasi non-linear untuk meminimalkan deviasi keputusan, menghasilkan retrieval kasus yang jauh lebih akurat.</w:t>
      </w:r>
    </w:p>
    <w:p>
      <w:pPr>
        <w:pStyle w:val="ListBullet"/>
        <w:spacing w:before="0" w:after="60" w:line="312" w:lineRule="auto"/>
        <w:jc w:val="both"/>
      </w:pPr>
      <w:r>
        <w:rPr>
          <w:rFonts w:ascii="Times New Roman" w:hAnsi="Times New Roman"/>
          <w:b/>
          <w:color w:val="222222"/>
          <w:sz w:val="22"/>
        </w:rPr>
        <w:t xml:space="preserve">b. </w:t>
      </w:r>
      <w:r>
        <w:rPr>
          <w:rFonts w:ascii="Times New Roman" w:hAnsi="Times New Roman"/>
          <w:color w:val="222222"/>
          <w:sz w:val="22"/>
        </w:rPr>
        <w:t>Metode Adaptasi Kasus Hibrida (CAHWM): Mengekstrak pengetahuan implisit melalui pembentukan Matriks Kemiripan (S), Vektor Utilitas (U), Matriks Relasi Abu-Abu (R), dan Matriks Adaptabilitas Kendala (A) untuk mensintesis solusi baru secara kontinu dan matematis.</w:t>
      </w:r>
    </w:p>
    <w:p>
      <w:pPr>
        <w:keepNext/>
        <w:spacing w:before="280" w:after="80"/>
      </w:pPr>
      <w:r>
        <w:rPr>
          <w:rFonts w:ascii="Times New Roman" w:hAnsi="Times New Roman"/>
          <w:b/>
          <w:color w:val="2B6CB0"/>
          <w:sz w:val="24"/>
        </w:rPr>
        <w:t>2.2 Metode Pembobotan Hibrida (CRNHW)</w:t>
      </w:r>
    </w:p>
    <w:p>
      <w:pPr>
        <w:spacing w:before="0" w:after="120" w:line="360" w:lineRule="auto"/>
        <w:jc w:val="both"/>
      </w:pPr>
      <w:r>
        <w:rPr>
          <w:rFonts w:ascii="Times New Roman" w:hAnsi="Times New Roman"/>
          <w:b w:val="0"/>
          <w:i w:val="0"/>
          <w:color w:val="222222"/>
          <w:sz w:val="23"/>
        </w:rPr>
        <w:t>Penentuan bobot kriteria pada tahap penelusuran kasus merupakan penentu utama akurasi sistem CBR. Jika seluruh fitur diberi bobot sama, fitur yang kurang relevan akan mendistorsi perhitungan jarak kesamaan. Sebaliknya, jika hanya mengandalkan bobot subjektif dari pakar, sistem rentan terhadap bias kognitif manusia dan mengabaikan pola dispersi data riil. Kerangka Combination Weighting method based on Rationality and Non-Homogeneity of Weights (CRNHW) menyinergikan Analytic Hierarchy Process (AHP) dan Shannon Entropy Weight Method.</w:t>
      </w:r>
    </w:p>
    <w:p>
      <w:pPr>
        <w:keepNext/>
        <w:spacing w:before="200" w:after="40"/>
      </w:pPr>
      <w:r>
        <w:rPr>
          <w:rFonts w:ascii="Times New Roman" w:hAnsi="Times New Roman"/>
          <w:b/>
          <w:i/>
          <w:color w:val="222222"/>
          <w:sz w:val="22"/>
        </w:rPr>
        <w:t>2.2.1 Analytic Hierarchy Process (AHP) untuk Bobot Subjektif (Ws)</w:t>
      </w:r>
    </w:p>
    <w:p>
      <w:pPr>
        <w:spacing w:before="0" w:after="120" w:line="360" w:lineRule="auto"/>
        <w:jc w:val="both"/>
      </w:pPr>
      <w:r>
        <w:rPr>
          <w:rFonts w:ascii="Times New Roman" w:hAnsi="Times New Roman"/>
          <w:b w:val="0"/>
          <w:i w:val="0"/>
          <w:color w:val="222222"/>
          <w:sz w:val="23"/>
        </w:rPr>
        <w:t>Analytic Hierarchy Process yang diperkenalkan oleh Thomas L. Saaty (1990) menguraikan masalah keputusan yang kompleks ke dalam hierarki dan mengevaluasi kepentingan relatif antar-kriteria melalui perbandingan berpasangan (pairwise comparison). Pakar memberikan penilaian perbandingan berpasangan antar atribut masalah i dan j menggunakan skala numerik Saaty 1 hingga 9 (Tabel 2.1).</w:t>
      </w:r>
    </w:p>
    <w:p>
      <w:pPr>
        <w:spacing w:before="160" w:after="60"/>
        <w:jc w:val="center"/>
      </w:pPr>
      <w:r>
        <w:rPr>
          <w:rFonts w:ascii="Times New Roman" w:hAnsi="Times New Roman"/>
          <w:b/>
          <w:color w:val="2B6CB0"/>
          <w:sz w:val="20"/>
        </w:rPr>
        <w:t>Tabel 2.1: Skala Penilaian Perbandingan Berpasangan Saaty (AHP)</w:t>
      </w:r>
    </w:p>
    <w:tbl>
      <w:tblPr>
        <w:tblW w:type="auto" w:w="0"/>
        <w:jc w:val="center"/>
        <w:tblLook w:firstColumn="1" w:firstRow="1" w:lastColumn="0" w:lastRow="0" w:noHBand="0" w:noVBand="1" w:val="04A0"/>
        <w:tblBorders>
          <w:top w:val="single" w:sz="6" w:space="0" w:color="2B6CB0"/>
          <w:bottom w:val="single" w:sz="6" w:space="0" w:color="2B6CB0"/>
          <w:insideH w:val="single" w:sz="4" w:space="0" w:color="CBD5E1"/>
          <w:insideV w:val="none"/>
          <w:left w:val="none"/>
          <w:right w:val="none"/>
        </w:tblBorders>
      </w:tblPr>
      <w:tblGrid>
        <w:gridCol w:w="2646"/>
        <w:gridCol w:w="2646"/>
        <w:gridCol w:w="2646"/>
      </w:tblGrid>
      <w:tr>
        <w:tc>
          <w:tcPr>
            <w:tcW w:type="dxa" w:w="1701"/>
            <w:shd w:fill="1A365D"/>
            <w:tcMar>
              <w:top w:w="120" w:type="dxa"/>
              <w:bottom w:w="120" w:type="dxa"/>
              <w:left w:w="140" w:type="dxa"/>
              <w:right w:w="140" w:type="dxa"/>
            </w:tcMar>
          </w:tcPr>
          <w:p>
            <w:pPr>
              <w:spacing w:after="0"/>
              <w:jc w:val="center"/>
            </w:pPr>
            <w:r>
              <w:rPr>
                <w:rFonts w:ascii="Times New Roman" w:hAnsi="Times New Roman"/>
                <w:b/>
                <w:color w:val="FFFFFF"/>
                <w:sz w:val="20"/>
              </w:rPr>
              <w:t>Intensitas Kepentingan</w:t>
            </w:r>
          </w:p>
        </w:tc>
        <w:tc>
          <w:tcPr>
            <w:tcW w:type="dxa" w:w="2551"/>
            <w:shd w:fill="1A365D"/>
            <w:tcMar>
              <w:top w:w="120" w:type="dxa"/>
              <w:bottom w:w="120" w:type="dxa"/>
              <w:left w:w="140" w:type="dxa"/>
              <w:right w:w="140" w:type="dxa"/>
            </w:tcMar>
          </w:tcPr>
          <w:p>
            <w:pPr>
              <w:spacing w:after="0"/>
              <w:jc w:val="center"/>
            </w:pPr>
            <w:r>
              <w:rPr>
                <w:rFonts w:ascii="Times New Roman" w:hAnsi="Times New Roman"/>
                <w:b/>
                <w:color w:val="FFFFFF"/>
                <w:sz w:val="20"/>
              </w:rPr>
              <w:t>Definisi Linguistik</w:t>
            </w:r>
          </w:p>
        </w:tc>
        <w:tc>
          <w:tcPr>
            <w:tcW w:type="dxa" w:w="4252"/>
            <w:shd w:fill="1A365D"/>
            <w:tcMar>
              <w:top w:w="120" w:type="dxa"/>
              <w:bottom w:w="120" w:type="dxa"/>
              <w:left w:w="140" w:type="dxa"/>
              <w:right w:w="140" w:type="dxa"/>
            </w:tcMar>
          </w:tcPr>
          <w:p>
            <w:pPr>
              <w:spacing w:after="0"/>
              <w:jc w:val="center"/>
            </w:pPr>
            <w:r>
              <w:rPr>
                <w:rFonts w:ascii="Times New Roman" w:hAnsi="Times New Roman"/>
                <w:b/>
                <w:color w:val="FFFFFF"/>
                <w:sz w:val="20"/>
              </w:rPr>
              <w:t>Penjelasan Matematis / Makna</w:t>
            </w:r>
          </w:p>
        </w:tc>
      </w:tr>
      <w:tr>
        <w:tc>
          <w:tcPr>
            <w:tcW w:type="dxa" w:w="2646"/>
            <w:shd w:fill="FFFFFF"/>
            <w:tcMar>
              <w:top w:w="100" w:type="dxa"/>
              <w:bottom w:w="100" w:type="dxa"/>
              <w:left w:w="140" w:type="dxa"/>
              <w:right w:w="140" w:type="dxa"/>
            </w:tcMar>
          </w:tcPr>
          <w:p>
            <w:pPr>
              <w:spacing w:after="0"/>
              <w:jc w:val="left"/>
            </w:pPr>
            <w:r>
              <w:rPr>
                <w:rFonts w:ascii="Times New Roman" w:hAnsi="Times New Roman"/>
                <w:color w:val="222222"/>
                <w:sz w:val="19"/>
              </w:rPr>
              <w:t>1</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Sama penting (Equal Importance)</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Kedua elemen memiliki pengaruh yang setara terhadap tujuan.</w:t>
            </w:r>
          </w:p>
        </w:tc>
      </w:tr>
      <w:tr>
        <w:tc>
          <w:tcPr>
            <w:tcW w:type="dxa" w:w="2646"/>
            <w:shd w:fill="F8FAFC"/>
            <w:tcMar>
              <w:top w:w="100" w:type="dxa"/>
              <w:bottom w:w="100" w:type="dxa"/>
              <w:left w:w="140" w:type="dxa"/>
              <w:right w:w="140" w:type="dxa"/>
            </w:tcMar>
          </w:tcPr>
          <w:p>
            <w:pPr>
              <w:spacing w:after="0"/>
              <w:jc w:val="left"/>
            </w:pPr>
            <w:r>
              <w:rPr>
                <w:rFonts w:ascii="Times New Roman" w:hAnsi="Times New Roman"/>
                <w:color w:val="222222"/>
                <w:sz w:val="19"/>
              </w:rPr>
              <w:t>3</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Sedikit lebih penting (Moderate Importance)</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Pengalaman dan penilaian sedikit memihak pada satu elemen.</w:t>
            </w:r>
          </w:p>
        </w:tc>
      </w:tr>
      <w:tr>
        <w:tc>
          <w:tcPr>
            <w:tcW w:type="dxa" w:w="2646"/>
            <w:shd w:fill="FFFFFF"/>
            <w:tcMar>
              <w:top w:w="100" w:type="dxa"/>
              <w:bottom w:w="100" w:type="dxa"/>
              <w:left w:w="140" w:type="dxa"/>
              <w:right w:w="140" w:type="dxa"/>
            </w:tcMar>
          </w:tcPr>
          <w:p>
            <w:pPr>
              <w:spacing w:after="0"/>
              <w:jc w:val="left"/>
            </w:pPr>
            <w:r>
              <w:rPr>
                <w:rFonts w:ascii="Times New Roman" w:hAnsi="Times New Roman"/>
                <w:color w:val="222222"/>
                <w:sz w:val="19"/>
              </w:rPr>
              <w:t>5</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Lebih penting (Strong Importance)</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Pengalaman dan penilaian sangat memihak pada satu elemen.</w:t>
            </w:r>
          </w:p>
        </w:tc>
      </w:tr>
      <w:tr>
        <w:tc>
          <w:tcPr>
            <w:tcW w:type="dxa" w:w="2646"/>
            <w:shd w:fill="F8FAFC"/>
            <w:tcMar>
              <w:top w:w="100" w:type="dxa"/>
              <w:bottom w:w="100" w:type="dxa"/>
              <w:left w:w="140" w:type="dxa"/>
              <w:right w:w="140" w:type="dxa"/>
            </w:tcMar>
          </w:tcPr>
          <w:p>
            <w:pPr>
              <w:spacing w:after="0"/>
              <w:jc w:val="left"/>
            </w:pPr>
            <w:r>
              <w:rPr>
                <w:rFonts w:ascii="Times New Roman" w:hAnsi="Times New Roman"/>
                <w:color w:val="222222"/>
                <w:sz w:val="19"/>
              </w:rPr>
              <w:t>7</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Sangat penting (Very Strong Importance)</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Satu elemen sangat dominan dan praktis terbukti di lapangan.</w:t>
            </w:r>
          </w:p>
        </w:tc>
      </w:tr>
      <w:tr>
        <w:tc>
          <w:tcPr>
            <w:tcW w:type="dxa" w:w="2646"/>
            <w:shd w:fill="FFFFFF"/>
            <w:tcMar>
              <w:top w:w="100" w:type="dxa"/>
              <w:bottom w:w="100" w:type="dxa"/>
              <w:left w:w="140" w:type="dxa"/>
              <w:right w:w="140" w:type="dxa"/>
            </w:tcMar>
          </w:tcPr>
          <w:p>
            <w:pPr>
              <w:spacing w:after="0"/>
              <w:jc w:val="left"/>
            </w:pPr>
            <w:r>
              <w:rPr>
                <w:rFonts w:ascii="Times New Roman" w:hAnsi="Times New Roman"/>
                <w:color w:val="222222"/>
                <w:sz w:val="19"/>
              </w:rPr>
              <w:t>9</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Mutlak lebih penting (Extreme Importance)</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Bukti yang mendukung satu elemen di atas yang lain berkekuatan tertinggi.</w:t>
            </w:r>
          </w:p>
        </w:tc>
      </w:tr>
      <w:tr>
        <w:tc>
          <w:tcPr>
            <w:tcW w:type="dxa" w:w="2646"/>
            <w:shd w:fill="F8FAFC"/>
            <w:tcMar>
              <w:top w:w="100" w:type="dxa"/>
              <w:bottom w:w="100" w:type="dxa"/>
              <w:left w:w="140" w:type="dxa"/>
              <w:right w:w="140" w:type="dxa"/>
            </w:tcMar>
          </w:tcPr>
          <w:p>
            <w:pPr>
              <w:spacing w:after="0"/>
              <w:jc w:val="left"/>
            </w:pPr>
            <w:r>
              <w:rPr>
                <w:rFonts w:ascii="Times New Roman" w:hAnsi="Times New Roman"/>
                <w:color w:val="222222"/>
                <w:sz w:val="19"/>
              </w:rPr>
              <w:t>2, 4, 6, 8</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Nilai-nilai antara (Intermediate Values)</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Diberikan apabila diperlukan kompromi di antara dua pertimbangan.</w:t>
            </w:r>
          </w:p>
        </w:tc>
      </w:tr>
    </w:tbl>
    <w:p>
      <w:pPr>
        <w:spacing w:before="0" w:after="120" w:line="360" w:lineRule="auto"/>
        <w:jc w:val="both"/>
      </w:pPr>
      <w:r>
        <w:rPr>
          <w:rFonts w:ascii="Times New Roman" w:hAnsi="Times New Roman"/>
          <w:b w:val="0"/>
          <w:i w:val="0"/>
          <w:color w:val="222222"/>
          <w:sz w:val="23"/>
        </w:rPr>
        <w:t>Penilaian tersebut disusun menjadi Matriks Perbandingan Berpasangan Pakar J berukuran m x m, di mana J_ij mewakili preferensi kepentingan kriteria i terhadap kriteria j, dengan sifat resiprokal J_ji = 1 / J_ij dan J_ii = 1. Bobot prioritas subjektif W_s dihitung menggunakan metode Rata-Rata Geometrik (Geometric Mean Method):</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W_{s,j} = \frac{\left( \prod_{k=1}^m J_{jk} \right)^{1/m}}{\sum_{i=1}^m \left( \prod_{k=1}^m J_{ik} \right)^{1/m}}, \quad j=1,2,\dots,m</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(2.1)</w:t>
            </w:r>
          </w:p>
        </w:tc>
      </w:tr>
    </w:tbl>
    <w:p>
      <w:pPr>
        <w:spacing w:after="60"/>
      </w:pPr>
    </w:p>
    <w:p>
      <w:pPr>
        <w:spacing w:before="0" w:after="120" w:line="360" w:lineRule="auto"/>
        <w:jc w:val="both"/>
      </w:pPr>
      <w:r>
        <w:rPr>
          <w:rFonts w:ascii="Times New Roman" w:hAnsi="Times New Roman"/>
          <w:b w:val="0"/>
          <w:i w:val="0"/>
          <w:color w:val="222222"/>
          <w:sz w:val="23"/>
        </w:rPr>
        <w:t>Untuk memastikan bahwa preferensi pakar logis dan bebas dari pertentangan transitif, dilakukan uji rasio konsistensi (Consistency Ratio / CR). Nilai eigen terbesar (lambda_max) dihitung melalui persamaan:</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\lambda_{\max} = \frac{1}{m} \sum_{j=1}^m \frac{(J \cdot W_s)_j}{W_{s,j}}</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(2.2)</w:t>
            </w:r>
          </w:p>
        </w:tc>
      </w:tr>
    </w:tbl>
    <w:p>
      <w:pPr>
        <w:spacing w:after="60"/>
      </w:pPr>
    </w:p>
    <w:p>
      <w:pPr>
        <w:spacing w:before="0" w:after="120" w:line="360" w:lineRule="auto"/>
        <w:jc w:val="both"/>
      </w:pPr>
      <w:r>
        <w:rPr>
          <w:rFonts w:ascii="Times New Roman" w:hAnsi="Times New Roman"/>
          <w:b w:val="0"/>
          <w:i w:val="0"/>
          <w:color w:val="222222"/>
          <w:sz w:val="23"/>
        </w:rPr>
        <w:t>Selanjutnya, Indeks Konsistensi (Consistency Index / CI) dan Rasio Konsistensi (Consistency Ratio / CR) dihitung berdasarkan Indeks Acak (Random Index / RI) tabel Saaty (Tabel 2.2):</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CI = \frac{\lambda_{\max} - m}{m - 1}, \quad CR = \frac{CI}{RI}</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(2.3)</w:t>
            </w:r>
          </w:p>
        </w:tc>
      </w:tr>
    </w:tbl>
    <w:p>
      <w:pPr>
        <w:spacing w:after="60"/>
      </w:pPr>
    </w:p>
    <w:p>
      <w:pPr>
        <w:spacing w:before="160" w:after="60"/>
        <w:jc w:val="center"/>
      </w:pPr>
      <w:r>
        <w:rPr>
          <w:rFonts w:ascii="Times New Roman" w:hAnsi="Times New Roman"/>
          <w:b/>
          <w:color w:val="2B6CB0"/>
          <w:sz w:val="20"/>
        </w:rPr>
        <w:t>Tabel 2.2: Nilai Random Index (RI) Berdasarkan Ordo Matriks (Saaty, 1990)</w:t>
      </w:r>
    </w:p>
    <w:tbl>
      <w:tblPr>
        <w:tblW w:type="auto" w:w="0"/>
        <w:jc w:val="center"/>
        <w:tblLook w:firstColumn="1" w:firstRow="1" w:lastColumn="0" w:lastRow="0" w:noHBand="0" w:noVBand="1" w:val="04A0"/>
        <w:tblBorders>
          <w:top w:val="single" w:sz="6" w:space="0" w:color="2B6CB0"/>
          <w:bottom w:val="single" w:sz="6" w:space="0" w:color="2B6CB0"/>
          <w:insideH w:val="single" w:sz="4" w:space="0" w:color="CBD5E1"/>
          <w:insideV w:val="none"/>
          <w:left w:val="none"/>
          <w:right w:val="none"/>
        </w:tblBorders>
      </w:tblPr>
      <w:tblGrid>
        <w:gridCol w:w="794"/>
        <w:gridCol w:w="794"/>
        <w:gridCol w:w="794"/>
        <w:gridCol w:w="794"/>
        <w:gridCol w:w="794"/>
        <w:gridCol w:w="794"/>
        <w:gridCol w:w="794"/>
        <w:gridCol w:w="794"/>
        <w:gridCol w:w="794"/>
        <w:gridCol w:w="794"/>
      </w:tblGrid>
      <w:tr>
        <w:tc>
          <w:tcPr>
            <w:tcW w:type="dxa" w:w="1134"/>
            <w:shd w:fill="1A365D"/>
            <w:tcMar>
              <w:top w:w="120" w:type="dxa"/>
              <w:bottom w:w="120" w:type="dxa"/>
              <w:left w:w="140" w:type="dxa"/>
              <w:right w:w="140" w:type="dxa"/>
            </w:tcMar>
          </w:tcPr>
          <w:p>
            <w:pPr>
              <w:spacing w:after="0"/>
              <w:jc w:val="center"/>
            </w:pPr>
            <w:r>
              <w:rPr>
                <w:rFonts w:ascii="Times New Roman" w:hAnsi="Times New Roman"/>
                <w:b/>
                <w:color w:val="FFFFFF"/>
                <w:sz w:val="20"/>
              </w:rPr>
              <w:t>Ordo (m)</w:t>
            </w:r>
          </w:p>
        </w:tc>
        <w:tc>
          <w:tcPr>
            <w:tcW w:type="dxa" w:w="794"/>
            <w:shd w:fill="1A365D"/>
            <w:tcMar>
              <w:top w:w="120" w:type="dxa"/>
              <w:bottom w:w="120" w:type="dxa"/>
              <w:left w:w="140" w:type="dxa"/>
              <w:right w:w="140" w:type="dxa"/>
            </w:tcMar>
          </w:tcPr>
          <w:p>
            <w:pPr>
              <w:spacing w:after="0"/>
              <w:jc w:val="center"/>
            </w:pPr>
            <w:r>
              <w:rPr>
                <w:rFonts w:ascii="Times New Roman" w:hAnsi="Times New Roman"/>
                <w:b/>
                <w:color w:val="FFFFFF"/>
                <w:sz w:val="20"/>
              </w:rPr>
              <w:t>1</w:t>
            </w:r>
          </w:p>
        </w:tc>
        <w:tc>
          <w:tcPr>
            <w:tcW w:type="dxa" w:w="794"/>
            <w:shd w:fill="1A365D"/>
            <w:tcMar>
              <w:top w:w="120" w:type="dxa"/>
              <w:bottom w:w="120" w:type="dxa"/>
              <w:left w:w="140" w:type="dxa"/>
              <w:right w:w="140" w:type="dxa"/>
            </w:tcMar>
          </w:tcPr>
          <w:p>
            <w:pPr>
              <w:spacing w:after="0"/>
              <w:jc w:val="center"/>
            </w:pPr>
            <w:r>
              <w:rPr>
                <w:rFonts w:ascii="Times New Roman" w:hAnsi="Times New Roman"/>
                <w:b/>
                <w:color w:val="FFFFFF"/>
                <w:sz w:val="20"/>
              </w:rPr>
              <w:t>2</w:t>
            </w:r>
          </w:p>
        </w:tc>
        <w:tc>
          <w:tcPr>
            <w:tcW w:type="dxa" w:w="794"/>
            <w:shd w:fill="1A365D"/>
            <w:tcMar>
              <w:top w:w="120" w:type="dxa"/>
              <w:bottom w:w="120" w:type="dxa"/>
              <w:left w:w="140" w:type="dxa"/>
              <w:right w:w="140" w:type="dxa"/>
            </w:tcMar>
          </w:tcPr>
          <w:p>
            <w:pPr>
              <w:spacing w:after="0"/>
              <w:jc w:val="center"/>
            </w:pPr>
            <w:r>
              <w:rPr>
                <w:rFonts w:ascii="Times New Roman" w:hAnsi="Times New Roman"/>
                <w:b/>
                <w:color w:val="FFFFFF"/>
                <w:sz w:val="20"/>
              </w:rPr>
              <w:t>3</w:t>
            </w:r>
          </w:p>
        </w:tc>
        <w:tc>
          <w:tcPr>
            <w:tcW w:type="dxa" w:w="794"/>
            <w:shd w:fill="1A365D"/>
            <w:tcMar>
              <w:top w:w="120" w:type="dxa"/>
              <w:bottom w:w="120" w:type="dxa"/>
              <w:left w:w="140" w:type="dxa"/>
              <w:right w:w="140" w:type="dxa"/>
            </w:tcMar>
          </w:tcPr>
          <w:p>
            <w:pPr>
              <w:spacing w:after="0"/>
              <w:jc w:val="center"/>
            </w:pPr>
            <w:r>
              <w:rPr>
                <w:rFonts w:ascii="Times New Roman" w:hAnsi="Times New Roman"/>
                <w:b/>
                <w:color w:val="FFFFFF"/>
                <w:sz w:val="20"/>
              </w:rPr>
              <w:t>4</w:t>
            </w:r>
          </w:p>
        </w:tc>
        <w:tc>
          <w:tcPr>
            <w:tcW w:type="dxa" w:w="794"/>
            <w:shd w:fill="1A365D"/>
            <w:tcMar>
              <w:top w:w="120" w:type="dxa"/>
              <w:bottom w:w="120" w:type="dxa"/>
              <w:left w:w="140" w:type="dxa"/>
              <w:right w:w="140" w:type="dxa"/>
            </w:tcMar>
          </w:tcPr>
          <w:p>
            <w:pPr>
              <w:spacing w:after="0"/>
              <w:jc w:val="center"/>
            </w:pPr>
            <w:r>
              <w:rPr>
                <w:rFonts w:ascii="Times New Roman" w:hAnsi="Times New Roman"/>
                <w:b/>
                <w:color w:val="FFFFFF"/>
                <w:sz w:val="20"/>
              </w:rPr>
              <w:t>5</w:t>
            </w:r>
          </w:p>
        </w:tc>
        <w:tc>
          <w:tcPr>
            <w:tcW w:type="dxa" w:w="794"/>
            <w:shd w:fill="1A365D"/>
            <w:tcMar>
              <w:top w:w="120" w:type="dxa"/>
              <w:bottom w:w="120" w:type="dxa"/>
              <w:left w:w="140" w:type="dxa"/>
              <w:right w:w="140" w:type="dxa"/>
            </w:tcMar>
          </w:tcPr>
          <w:p>
            <w:pPr>
              <w:spacing w:after="0"/>
              <w:jc w:val="center"/>
            </w:pPr>
            <w:r>
              <w:rPr>
                <w:rFonts w:ascii="Times New Roman" w:hAnsi="Times New Roman"/>
                <w:b/>
                <w:color w:val="FFFFFF"/>
                <w:sz w:val="20"/>
              </w:rPr>
              <w:t>6</w:t>
            </w:r>
          </w:p>
        </w:tc>
        <w:tc>
          <w:tcPr>
            <w:tcW w:type="dxa" w:w="794"/>
            <w:shd w:fill="1A365D"/>
            <w:tcMar>
              <w:top w:w="120" w:type="dxa"/>
              <w:bottom w:w="120" w:type="dxa"/>
              <w:left w:w="140" w:type="dxa"/>
              <w:right w:w="140" w:type="dxa"/>
            </w:tcMar>
          </w:tcPr>
          <w:p>
            <w:pPr>
              <w:spacing w:after="0"/>
              <w:jc w:val="center"/>
            </w:pPr>
            <w:r>
              <w:rPr>
                <w:rFonts w:ascii="Times New Roman" w:hAnsi="Times New Roman"/>
                <w:b/>
                <w:color w:val="FFFFFF"/>
                <w:sz w:val="20"/>
              </w:rPr>
              <w:t>7</w:t>
            </w:r>
          </w:p>
        </w:tc>
        <w:tc>
          <w:tcPr>
            <w:tcW w:type="dxa" w:w="794"/>
            <w:shd w:fill="1A365D"/>
            <w:tcMar>
              <w:top w:w="120" w:type="dxa"/>
              <w:bottom w:w="120" w:type="dxa"/>
              <w:left w:w="140" w:type="dxa"/>
              <w:right w:w="140" w:type="dxa"/>
            </w:tcMar>
          </w:tcPr>
          <w:p>
            <w:pPr>
              <w:spacing w:after="0"/>
              <w:jc w:val="center"/>
            </w:pPr>
            <w:r>
              <w:rPr>
                <w:rFonts w:ascii="Times New Roman" w:hAnsi="Times New Roman"/>
                <w:b/>
                <w:color w:val="FFFFFF"/>
                <w:sz w:val="20"/>
              </w:rPr>
              <w:t>8</w:t>
            </w:r>
          </w:p>
        </w:tc>
        <w:tc>
          <w:tcPr>
            <w:tcW w:type="dxa" w:w="794"/>
            <w:shd w:fill="1A365D"/>
            <w:tcMar>
              <w:top w:w="120" w:type="dxa"/>
              <w:bottom w:w="120" w:type="dxa"/>
              <w:left w:w="140" w:type="dxa"/>
              <w:right w:w="140" w:type="dxa"/>
            </w:tcMar>
          </w:tcPr>
          <w:p>
            <w:pPr>
              <w:spacing w:after="0"/>
              <w:jc w:val="center"/>
            </w:pPr>
            <w:r>
              <w:rPr>
                <w:rFonts w:ascii="Times New Roman" w:hAnsi="Times New Roman"/>
                <w:b/>
                <w:color w:val="FFFFFF"/>
                <w:sz w:val="20"/>
              </w:rPr>
              <w:t>9</w:t>
            </w:r>
          </w:p>
        </w:tc>
      </w:tr>
      <w:tr>
        <w:tc>
          <w:tcPr>
            <w:tcW w:type="dxa" w:w="794"/>
            <w:shd w:fill="FFFFFF"/>
            <w:tcMar>
              <w:top w:w="100" w:type="dxa"/>
              <w:bottom w:w="100" w:type="dxa"/>
              <w:left w:w="140" w:type="dxa"/>
              <w:right w:w="140" w:type="dxa"/>
            </w:tcMar>
          </w:tcPr>
          <w:p>
            <w:pPr>
              <w:spacing w:after="0"/>
              <w:jc w:val="left"/>
            </w:pPr>
            <w:r>
              <w:rPr>
                <w:rFonts w:ascii="Times New Roman" w:hAnsi="Times New Roman"/>
                <w:color w:val="222222"/>
                <w:sz w:val="19"/>
              </w:rPr>
              <w:t>RI</w:t>
            </w:r>
          </w:p>
        </w:tc>
        <w:tc>
          <w:tcPr>
            <w:tcW w:type="dxa" w:w="794"/>
            <w:shd w:fill="FFFFFF"/>
            <w:tcMar>
              <w:top w:w="100" w:type="dxa"/>
              <w:bottom w:w="100" w:type="dxa"/>
              <w:left w:w="140" w:type="dxa"/>
              <w:right w:w="140" w:type="dxa"/>
            </w:tcMar>
          </w:tcPr>
          <w:p>
            <w:pPr>
              <w:spacing w:after="0"/>
              <w:jc w:val="center"/>
            </w:pPr>
            <w:r>
              <w:rPr>
                <w:rFonts w:ascii="Times New Roman" w:hAnsi="Times New Roman"/>
                <w:color w:val="222222"/>
                <w:sz w:val="19"/>
              </w:rPr>
              <w:t>0.00</w:t>
            </w:r>
          </w:p>
        </w:tc>
        <w:tc>
          <w:tcPr>
            <w:tcW w:type="dxa" w:w="794"/>
            <w:shd w:fill="FFFFFF"/>
            <w:tcMar>
              <w:top w:w="100" w:type="dxa"/>
              <w:bottom w:w="100" w:type="dxa"/>
              <w:left w:w="140" w:type="dxa"/>
              <w:right w:w="140" w:type="dxa"/>
            </w:tcMar>
          </w:tcPr>
          <w:p>
            <w:pPr>
              <w:spacing w:after="0"/>
              <w:jc w:val="center"/>
            </w:pPr>
            <w:r>
              <w:rPr>
                <w:rFonts w:ascii="Times New Roman" w:hAnsi="Times New Roman"/>
                <w:color w:val="222222"/>
                <w:sz w:val="19"/>
              </w:rPr>
              <w:t>0.00</w:t>
            </w:r>
          </w:p>
        </w:tc>
        <w:tc>
          <w:tcPr>
            <w:tcW w:type="dxa" w:w="794"/>
            <w:shd w:fill="FFFFFF"/>
            <w:tcMar>
              <w:top w:w="100" w:type="dxa"/>
              <w:bottom w:w="100" w:type="dxa"/>
              <w:left w:w="140" w:type="dxa"/>
              <w:right w:w="140" w:type="dxa"/>
            </w:tcMar>
          </w:tcPr>
          <w:p>
            <w:pPr>
              <w:spacing w:after="0"/>
              <w:jc w:val="center"/>
            </w:pPr>
            <w:r>
              <w:rPr>
                <w:rFonts w:ascii="Times New Roman" w:hAnsi="Times New Roman"/>
                <w:color w:val="222222"/>
                <w:sz w:val="19"/>
              </w:rPr>
              <w:t>0.58</w:t>
            </w:r>
          </w:p>
        </w:tc>
        <w:tc>
          <w:tcPr>
            <w:tcW w:type="dxa" w:w="794"/>
            <w:shd w:fill="FFFFFF"/>
            <w:tcMar>
              <w:top w:w="100" w:type="dxa"/>
              <w:bottom w:w="100" w:type="dxa"/>
              <w:left w:w="140" w:type="dxa"/>
              <w:right w:w="140" w:type="dxa"/>
            </w:tcMar>
          </w:tcPr>
          <w:p>
            <w:pPr>
              <w:spacing w:after="0"/>
              <w:jc w:val="center"/>
            </w:pPr>
            <w:r>
              <w:rPr>
                <w:rFonts w:ascii="Times New Roman" w:hAnsi="Times New Roman"/>
                <w:color w:val="222222"/>
                <w:sz w:val="19"/>
              </w:rPr>
              <w:t>0.89</w:t>
            </w:r>
          </w:p>
        </w:tc>
        <w:tc>
          <w:tcPr>
            <w:tcW w:type="dxa" w:w="794"/>
            <w:shd w:fill="FFFFFF"/>
            <w:tcMar>
              <w:top w:w="100" w:type="dxa"/>
              <w:bottom w:w="100" w:type="dxa"/>
              <w:left w:w="140" w:type="dxa"/>
              <w:right w:w="140" w:type="dxa"/>
            </w:tcMar>
          </w:tcPr>
          <w:p>
            <w:pPr>
              <w:spacing w:after="0"/>
              <w:jc w:val="center"/>
            </w:pPr>
            <w:r>
              <w:rPr>
                <w:rFonts w:ascii="Times New Roman" w:hAnsi="Times New Roman"/>
                <w:color w:val="222222"/>
                <w:sz w:val="19"/>
              </w:rPr>
              <w:t>1.12</w:t>
            </w:r>
          </w:p>
        </w:tc>
        <w:tc>
          <w:tcPr>
            <w:tcW w:type="dxa" w:w="794"/>
            <w:shd w:fill="FFFFFF"/>
            <w:tcMar>
              <w:top w:w="100" w:type="dxa"/>
              <w:bottom w:w="100" w:type="dxa"/>
              <w:left w:w="140" w:type="dxa"/>
              <w:right w:w="140" w:type="dxa"/>
            </w:tcMar>
          </w:tcPr>
          <w:p>
            <w:pPr>
              <w:spacing w:after="0"/>
              <w:jc w:val="center"/>
            </w:pPr>
            <w:r>
              <w:rPr>
                <w:rFonts w:ascii="Times New Roman" w:hAnsi="Times New Roman"/>
                <w:color w:val="222222"/>
                <w:sz w:val="19"/>
              </w:rPr>
              <w:t>1.26</w:t>
            </w:r>
          </w:p>
        </w:tc>
        <w:tc>
          <w:tcPr>
            <w:tcW w:type="dxa" w:w="794"/>
            <w:shd w:fill="FFFFFF"/>
            <w:tcMar>
              <w:top w:w="100" w:type="dxa"/>
              <w:bottom w:w="100" w:type="dxa"/>
              <w:left w:w="140" w:type="dxa"/>
              <w:right w:w="140" w:type="dxa"/>
            </w:tcMar>
          </w:tcPr>
          <w:p>
            <w:pPr>
              <w:spacing w:after="0"/>
              <w:jc w:val="center"/>
            </w:pPr>
            <w:r>
              <w:rPr>
                <w:rFonts w:ascii="Times New Roman" w:hAnsi="Times New Roman"/>
                <w:color w:val="222222"/>
                <w:sz w:val="19"/>
              </w:rPr>
              <w:t>1.36</w:t>
            </w:r>
          </w:p>
        </w:tc>
        <w:tc>
          <w:tcPr>
            <w:tcW w:type="dxa" w:w="794"/>
            <w:shd w:fill="FFFFFF"/>
            <w:tcMar>
              <w:top w:w="100" w:type="dxa"/>
              <w:bottom w:w="100" w:type="dxa"/>
              <w:left w:w="140" w:type="dxa"/>
              <w:right w:w="140" w:type="dxa"/>
            </w:tcMar>
          </w:tcPr>
          <w:p>
            <w:pPr>
              <w:spacing w:after="0"/>
              <w:jc w:val="center"/>
            </w:pPr>
            <w:r>
              <w:rPr>
                <w:rFonts w:ascii="Times New Roman" w:hAnsi="Times New Roman"/>
                <w:color w:val="222222"/>
                <w:sz w:val="19"/>
              </w:rPr>
              <w:t>1.41</w:t>
            </w:r>
          </w:p>
        </w:tc>
        <w:tc>
          <w:tcPr>
            <w:tcW w:type="dxa" w:w="794"/>
            <w:shd w:fill="FFFFFF"/>
            <w:tcMar>
              <w:top w:w="100" w:type="dxa"/>
              <w:bottom w:w="100" w:type="dxa"/>
              <w:left w:w="140" w:type="dxa"/>
              <w:right w:w="140" w:type="dxa"/>
            </w:tcMar>
          </w:tcPr>
          <w:p>
            <w:pPr>
              <w:spacing w:after="0"/>
              <w:jc w:val="center"/>
            </w:pPr>
            <w:r>
              <w:rPr>
                <w:rFonts w:ascii="Times New Roman" w:hAnsi="Times New Roman"/>
                <w:color w:val="222222"/>
                <w:sz w:val="19"/>
              </w:rPr>
              <w:t>1.46</w:t>
            </w:r>
          </w:p>
        </w:tc>
      </w:tr>
    </w:tbl>
    <w:p>
      <w:pPr>
        <w:spacing w:before="0" w:after="120" w:line="360" w:lineRule="auto"/>
        <w:jc w:val="both"/>
      </w:pPr>
      <w:r>
        <w:rPr>
          <w:rFonts w:ascii="Times New Roman" w:hAnsi="Times New Roman"/>
          <w:b w:val="0"/>
          <w:i w:val="0"/>
          <w:color w:val="222222"/>
          <w:sz w:val="23"/>
        </w:rPr>
        <w:t>Apabila nilai CR &lt; 0.10, pertimbangan pakar dinyatakan konsisten secara memuaskan dan vektor bobot W_s valid untuk digunakan (Saaty, 1990).</w:t>
      </w:r>
    </w:p>
    <w:p>
      <w:pPr>
        <w:keepNext/>
        <w:spacing w:before="200" w:after="40"/>
      </w:pPr>
      <w:r>
        <w:rPr>
          <w:rFonts w:ascii="Times New Roman" w:hAnsi="Times New Roman"/>
          <w:b/>
          <w:i/>
          <w:color w:val="222222"/>
          <w:sz w:val="22"/>
        </w:rPr>
        <w:t>2.2.2 Entropy Weight Method untuk Bobot Objektif (Wo)</w:t>
      </w:r>
    </w:p>
    <w:p>
      <w:pPr>
        <w:spacing w:before="0" w:after="120" w:line="360" w:lineRule="auto"/>
        <w:jc w:val="both"/>
      </w:pPr>
      <w:r>
        <w:rPr>
          <w:rFonts w:ascii="Times New Roman" w:hAnsi="Times New Roman"/>
          <w:b w:val="0"/>
          <w:i w:val="0"/>
          <w:color w:val="222222"/>
          <w:sz w:val="23"/>
        </w:rPr>
        <w:t>Entropy Weight Method berakar dari konsep entropi informasi Claude Shannon (Shannon, 1948). Dalam teori informasi, entropi mengukur tingkat ketidakpastian atau dispersi data. Semakin bervariasi sebaran nilai suatu atribut dalam basis kasus, semakin kecil nilai entropinya, yang berarti atribut tersebut membawa kandungan informasi diferensiasi yang lebih besar dan layak mendapatkan bobot objektif yang lebih tinggi (Wang et al., 2024).</w:t>
      </w:r>
    </w:p>
    <w:p>
      <w:pPr>
        <w:spacing w:before="0" w:after="120" w:line="360" w:lineRule="auto"/>
        <w:jc w:val="both"/>
      </w:pPr>
      <w:r>
        <w:rPr>
          <w:rFonts w:ascii="Times New Roman" w:hAnsi="Times New Roman"/>
          <w:b w:val="0"/>
          <w:i w:val="0"/>
          <w:color w:val="222222"/>
          <w:sz w:val="23"/>
        </w:rPr>
        <w:t>Misalkan V adalah matriks fitur numerik kasus berukuran k x m (k kasus, m atribut). Matriks dinormalisasi ke rentang [0, 1] melalui transformasi Min-Max. Proporsi nilai kasus i pada atribut j dihitung melalui:</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Q_{ij} = \frac{V_{norm, ij}}{\sum_{i=1}^k V_{norm, ij} + \varepsilon}</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(2.4)</w:t>
            </w:r>
          </w:p>
        </w:tc>
      </w:tr>
    </w:tbl>
    <w:p>
      <w:pPr>
        <w:spacing w:after="60"/>
      </w:pPr>
    </w:p>
    <w:p>
      <w:pPr>
        <w:spacing w:before="0" w:after="120" w:line="360" w:lineRule="auto"/>
        <w:jc w:val="both"/>
      </w:pPr>
      <w:r>
        <w:rPr>
          <w:rFonts w:ascii="Times New Roman" w:hAnsi="Times New Roman"/>
          <w:b w:val="0"/>
          <w:i w:val="0"/>
          <w:color w:val="222222"/>
          <w:sz w:val="23"/>
        </w:rPr>
        <w:t>Nilai Entropi Informasi Atribut j (e_oj) dan Derajat Divergensi Informasi (g_j) diformulasikan sebagai berikut:</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e_{oj} = -\frac{1}{\ln(k)} \sum_{i=1}^k Q_{ij} \ln(Q_{ij} + \varepsilon), \quad g_j = 1 - e_{oj}</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(2.5)</w:t>
            </w:r>
          </w:p>
        </w:tc>
      </w:tr>
    </w:tbl>
    <w:p>
      <w:pPr>
        <w:spacing w:after="60"/>
      </w:pPr>
    </w:p>
    <w:p>
      <w:pPr>
        <w:spacing w:before="0" w:after="120" w:line="360" w:lineRule="auto"/>
        <w:jc w:val="both"/>
      </w:pPr>
      <w:r>
        <w:rPr>
          <w:rFonts w:ascii="Times New Roman" w:hAnsi="Times New Roman"/>
          <w:b w:val="0"/>
          <w:i w:val="0"/>
          <w:color w:val="222222"/>
          <w:sz w:val="23"/>
        </w:rPr>
        <w:t>Vektor Bobot Objektif W_o diperoleh melalui normalisasi koefisien divergensi informasi:</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W_{oj} = \frac{g_j}{\sum_{j=1}^m g_j}, \quad j=1,2,\dots,m</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(2.6)</w:t>
            </w:r>
          </w:p>
        </w:tc>
      </w:tr>
    </w:tbl>
    <w:p>
      <w:pPr>
        <w:spacing w:after="60"/>
      </w:pPr>
    </w:p>
    <w:p>
      <w:pPr>
        <w:keepNext/>
        <w:spacing w:before="200" w:after="40"/>
      </w:pPr>
      <w:r>
        <w:rPr>
          <w:rFonts w:ascii="Times New Roman" w:hAnsi="Times New Roman"/>
          <w:b/>
          <w:i/>
          <w:color w:val="222222"/>
          <w:sz w:val="22"/>
        </w:rPr>
        <w:t>2.2.3 Optimasi Bobot Hibrida (Wh) melalui Pembatasan Deviasi Keputusan</w:t>
      </w:r>
    </w:p>
    <w:p>
      <w:pPr>
        <w:spacing w:before="0" w:after="120" w:line="360" w:lineRule="auto"/>
        <w:jc w:val="both"/>
      </w:pPr>
      <w:r>
        <w:rPr>
          <w:rFonts w:ascii="Times New Roman" w:hAnsi="Times New Roman"/>
          <w:b w:val="0"/>
          <w:i w:val="0"/>
          <w:color w:val="222222"/>
          <w:sz w:val="23"/>
        </w:rPr>
        <w:t>Vektor bobot hibrida W_h tidak diperoleh sekadar melalui penjumlahan rata-rata linear sederhana, melainkan disintesis menggunakan model optimasi matematika terpadu. Tujuannya adalah meminimalkan total deviasi kuadrat terbobot antara W_h dengan preferensi subjektif pakar (W_s) dan karakter objektif sebaran data empiris (W_o) secara simultan terhadap seluruh data sampel (Wang et al., 2024):</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\min_{W_h} \Phi(W_h) = \sum_{i=1}^k \sum_{j=1}^m \left[ \left( (W_{hj} - W_{sj}) V_{norm, ij} \right)^2 + \left( (W_{hj} - W_{oj}) V_{norm, ij} \right)^2 \right]</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(2.7)</w:t>
            </w:r>
          </w:p>
        </w:tc>
      </w:tr>
    </w:tbl>
    <w:p>
      <w:pPr>
        <w:spacing w:after="60"/>
      </w:pPr>
    </w:p>
    <w:p>
      <w:pPr>
        <w:spacing w:before="0" w:after="120" w:line="360" w:lineRule="auto"/>
        <w:jc w:val="both"/>
      </w:pPr>
      <w:r>
        <w:rPr>
          <w:rFonts w:ascii="Times New Roman" w:hAnsi="Times New Roman"/>
          <w:b w:val="0"/>
          <w:i w:val="0"/>
          <w:color w:val="222222"/>
          <w:sz w:val="23"/>
        </w:rPr>
        <w:t>dengan kendala kesatuan probabilitas dan non-negativitas:</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\sum_{j=1}^m W_{hj} = 1, \quad 0 \le W_{hj} \le 1, \quad \forall j \in \{1, 2, \dots, m\}</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(2.8)</w:t>
            </w:r>
          </w:p>
        </w:tc>
      </w:tr>
    </w:tbl>
    <w:p>
      <w:pPr>
        <w:spacing w:after="60"/>
      </w:pPr>
    </w:p>
    <w:p>
      <w:pPr>
        <w:spacing w:before="0" w:after="120" w:line="360" w:lineRule="auto"/>
        <w:jc w:val="both"/>
      </w:pPr>
      <w:r>
        <w:rPr>
          <w:rFonts w:ascii="Times New Roman" w:hAnsi="Times New Roman"/>
          <w:b w:val="0"/>
          <w:i w:val="0"/>
          <w:color w:val="222222"/>
          <w:sz w:val="23"/>
        </w:rPr>
        <w:t>Persamaan optimasi non-linear konveks ini diselesaikan menggunakan algoritma Sequential Least Squares Programming (SLSQP). Hasilnya adalah vektor bobot teroptimasi W_h yang merefleksikan perpaduan rasional antara keahlian domain manusia dan realitas empiris data.</w:t>
      </w:r>
    </w:p>
    <w:p>
      <w:pPr>
        <w:keepNext/>
        <w:spacing w:before="280" w:after="80"/>
      </w:pPr>
      <w:r>
        <w:rPr>
          <w:rFonts w:ascii="Times New Roman" w:hAnsi="Times New Roman"/>
          <w:b/>
          <w:color w:val="2B6CB0"/>
          <w:sz w:val="24"/>
        </w:rPr>
        <w:t>2.3 Metode Adaptasi Kasus Hibrida (CAHWM / SURA)</w:t>
      </w:r>
    </w:p>
    <w:p>
      <w:pPr>
        <w:spacing w:before="0" w:after="120" w:line="360" w:lineRule="auto"/>
        <w:jc w:val="both"/>
      </w:pPr>
      <w:r>
        <w:rPr>
          <w:rFonts w:ascii="Times New Roman" w:hAnsi="Times New Roman"/>
          <w:b w:val="0"/>
          <w:i w:val="0"/>
          <w:color w:val="222222"/>
          <w:sz w:val="23"/>
        </w:rPr>
        <w:t>Setelah proses penelusuran kasus (Case Retrieval) menghasilkan K kasus kandidat paling mirip menggunakan metrik kemiripan jarak berbobot W_h, sistem tidak serta-merta menyalin solusi kasus teratas. Sebagaimana dirumuskan oleh Wang et al. (2024), kerangka Case Adaptation method based on Hybrid Weight Matrix (CAHWM) memanfaatkan pendekatan SURA (State-Utility-Relational-Adaptability) untuk mengekstrak pengetahuan implisit kasus historis melalui empat pilar representasi matriks:</w:t>
      </w:r>
    </w:p>
    <w:p>
      <w:pPr>
        <w:pStyle w:val="ListBullet"/>
        <w:spacing w:before="0" w:after="60" w:line="312" w:lineRule="auto"/>
        <w:jc w:val="both"/>
      </w:pPr>
      <w:r>
        <w:rPr>
          <w:rFonts w:ascii="Times New Roman" w:hAnsi="Times New Roman"/>
          <w:b/>
          <w:color w:val="222222"/>
          <w:sz w:val="22"/>
        </w:rPr>
        <w:t xml:space="preserve">1. </w:t>
      </w:r>
      <w:r>
        <w:rPr>
          <w:rFonts w:ascii="Times New Roman" w:hAnsi="Times New Roman"/>
          <w:color w:val="222222"/>
          <w:sz w:val="22"/>
        </w:rPr>
        <w:t>Matriks Kemiripan Masalah (Problem Similarity Matrix / S): Matriks berukuran K x m yang merepresentasikan nilai fitur ternormalisasi Min-Max dari K kasus kandidat teratas.</w:t>
      </w:r>
    </w:p>
    <w:p>
      <w:pPr>
        <w:pStyle w:val="ListBullet"/>
        <w:spacing w:before="0" w:after="60" w:line="312" w:lineRule="auto"/>
        <w:jc w:val="both"/>
      </w:pPr>
      <w:r>
        <w:rPr>
          <w:rFonts w:ascii="Times New Roman" w:hAnsi="Times New Roman"/>
          <w:b/>
          <w:color w:val="222222"/>
          <w:sz w:val="22"/>
        </w:rPr>
        <w:t xml:space="preserve">2. </w:t>
      </w:r>
      <w:r>
        <w:rPr>
          <w:rFonts w:ascii="Times New Roman" w:hAnsi="Times New Roman"/>
          <w:color w:val="222222"/>
          <w:sz w:val="22"/>
        </w:rPr>
        <w:t>Vektor Utilitas Kasus (Utility Vector / U): Vektor berukuran K x 1 yang mengukur seberapa komprehensif performa suatu kasus historis dalam memenuhi kriteria terbobot Wh.</w:t>
      </w:r>
    </w:p>
    <w:p>
      <w:pPr>
        <w:pStyle w:val="ListBullet"/>
        <w:spacing w:before="0" w:after="60" w:line="312" w:lineRule="auto"/>
        <w:jc w:val="both"/>
      </w:pPr>
      <w:r>
        <w:rPr>
          <w:rFonts w:ascii="Times New Roman" w:hAnsi="Times New Roman"/>
          <w:b/>
          <w:color w:val="222222"/>
          <w:sz w:val="22"/>
        </w:rPr>
        <w:t xml:space="preserve">3. </w:t>
      </w:r>
      <w:r>
        <w:rPr>
          <w:rFonts w:ascii="Times New Roman" w:hAnsi="Times New Roman"/>
          <w:color w:val="222222"/>
          <w:sz w:val="22"/>
        </w:rPr>
        <w:t>Matriks Relasi Grey (Grey Relational Analysis Matrix / R): Matriks berukuran m x n yang memetakan korelasi abu-abu non-linear antara m atribut masalah dan n atribut solusi.</w:t>
      </w:r>
    </w:p>
    <w:p>
      <w:pPr>
        <w:pStyle w:val="ListBullet"/>
        <w:spacing w:before="0" w:after="60" w:line="312" w:lineRule="auto"/>
        <w:jc w:val="both"/>
      </w:pPr>
      <w:r>
        <w:rPr>
          <w:rFonts w:ascii="Times New Roman" w:hAnsi="Times New Roman"/>
          <w:b/>
          <w:color w:val="222222"/>
          <w:sz w:val="22"/>
        </w:rPr>
        <w:t xml:space="preserve">4. </w:t>
      </w:r>
      <w:r>
        <w:rPr>
          <w:rFonts w:ascii="Times New Roman" w:hAnsi="Times New Roman"/>
          <w:color w:val="222222"/>
          <w:sz w:val="22"/>
        </w:rPr>
        <w:t>Matriks Adaptabilitas Kasus (Adaptability Matrix / A): Matriks berukuran K x n yang mengevaluasi kelayakan adaptasi struktural kasus berdasarkan penalti pelanggaran kendala teknis (constraint violation penalties).</w:t>
      </w:r>
    </w:p>
    <w:p>
      <w:pPr>
        <w:keepNext/>
        <w:spacing w:before="200" w:after="40"/>
      </w:pPr>
      <w:r>
        <w:rPr>
          <w:rFonts w:ascii="Times New Roman" w:hAnsi="Times New Roman"/>
          <w:b/>
          <w:i/>
          <w:color w:val="222222"/>
          <w:sz w:val="22"/>
        </w:rPr>
        <w:t>2.3.1 Formulasi Vektor Utilitas Ternormalisasi (U_hat)</w:t>
      </w:r>
    </w:p>
    <w:p>
      <w:pPr>
        <w:spacing w:before="0" w:after="120" w:line="360" w:lineRule="auto"/>
        <w:jc w:val="both"/>
      </w:pPr>
      <w:r>
        <w:rPr>
          <w:rFonts w:ascii="Times New Roman" w:hAnsi="Times New Roman"/>
          <w:b w:val="0"/>
          <w:i w:val="0"/>
          <w:color w:val="222222"/>
          <w:sz w:val="23"/>
        </w:rPr>
        <w:t>Vektor utilitas u_k mengukur kontribusi kumulatif kasus historis ke-k terhadap seluruh atribut masalah berbobot. Vektor ini dinormalisasi menjadi \hat{u}_k:</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u_k = \sum_{j=1}^m S_{kj} W_{hj}, \quad \hat{u}_k = \frac{u_k}{\sum_{z=1}^K u_z + \varepsilon}, \quad k=1,2,\dots,K</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(2.9)</w:t>
            </w:r>
          </w:p>
        </w:tc>
      </w:tr>
    </w:tbl>
    <w:p>
      <w:pPr>
        <w:spacing w:after="60"/>
      </w:pPr>
    </w:p>
    <w:p>
      <w:pPr>
        <w:keepNext/>
        <w:spacing w:before="200" w:after="40"/>
      </w:pPr>
      <w:r>
        <w:rPr>
          <w:rFonts w:ascii="Times New Roman" w:hAnsi="Times New Roman"/>
          <w:b/>
          <w:i/>
          <w:color w:val="222222"/>
          <w:sz w:val="22"/>
        </w:rPr>
        <w:t>2.3.2 Pembentukan Matriks Relasi Grey (R)</w:t>
      </w:r>
    </w:p>
    <w:p>
      <w:pPr>
        <w:spacing w:before="0" w:after="120" w:line="360" w:lineRule="auto"/>
        <w:jc w:val="both"/>
      </w:pPr>
      <w:r>
        <w:rPr>
          <w:rFonts w:ascii="Times New Roman" w:hAnsi="Times New Roman"/>
          <w:b w:val="0"/>
          <w:i w:val="0"/>
          <w:color w:val="222222"/>
          <w:sz w:val="23"/>
        </w:rPr>
        <w:t>Grey Relational Analysis (GRA) digunakan untuk mengukur derajat kedekatan relasional geometris antara deret masalah p_2 (dinormalisasi terhadap kandidat pertama) dan deret solusi s_2 (Wang et al., 2024). Koefisien relasi abu-abu gamma_zij antara atribut masalah ke-i dan atribut solusi ke-j pada kasus ke-z didefinisikan sebagai:</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\gamma_{zij} = \frac{\min_{z,i,j} \Delta_{zij} + \xi \max_{z,i,j} \Delta_{zij}}{\Delta_{zij} + \xi \max_{z,i,j} \Delta_{zij} + \varepsilon}, \quad \xi = 0.5</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(2.10)</w:t>
            </w:r>
          </w:p>
        </w:tc>
      </w:tr>
    </w:tbl>
    <w:p>
      <w:pPr>
        <w:spacing w:after="60"/>
      </w:pPr>
    </w:p>
    <w:p>
      <w:pPr>
        <w:spacing w:before="0" w:after="120" w:line="360" w:lineRule="auto"/>
        <w:jc w:val="both"/>
      </w:pPr>
      <w:r>
        <w:rPr>
          <w:rFonts w:ascii="Times New Roman" w:hAnsi="Times New Roman"/>
          <w:b w:val="0"/>
          <w:i w:val="0"/>
          <w:color w:val="222222"/>
          <w:sz w:val="23"/>
        </w:rPr>
        <w:t>di mana \Delta_{zij} = |p_{2, zi} - s_{2, zj}|. Derajat relasi abu-abu kumulatif R_ij dihitung dengan mengintegrasikan bobot utilitas kasus \hat{u}_z:</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R_{ij} = \sum_{z=1}^K \hat{u}_z \cdot \gamma_{zij}, \quad R \in \mathbb{R}^{m \times n}</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(2.11)</w:t>
            </w:r>
          </w:p>
        </w:tc>
      </w:tr>
    </w:tbl>
    <w:p>
      <w:pPr>
        <w:spacing w:after="60"/>
      </w:pPr>
    </w:p>
    <w:p>
      <w:pPr>
        <w:keepNext/>
        <w:spacing w:before="200" w:after="40"/>
      </w:pPr>
      <w:r>
        <w:rPr>
          <w:rFonts w:ascii="Times New Roman" w:hAnsi="Times New Roman"/>
          <w:b/>
          <w:i/>
          <w:color w:val="222222"/>
          <w:sz w:val="22"/>
        </w:rPr>
        <w:t>2.3.3 Matriks Adaptabilitas Kasus (A) &amp; Evaluasi Kendala Teknis</w:t>
      </w:r>
    </w:p>
    <w:p>
      <w:pPr>
        <w:spacing w:before="0" w:after="120" w:line="360" w:lineRule="auto"/>
        <w:jc w:val="both"/>
      </w:pPr>
      <w:r>
        <w:rPr>
          <w:rFonts w:ascii="Times New Roman" w:hAnsi="Times New Roman"/>
          <w:b w:val="0"/>
          <w:i w:val="0"/>
          <w:color w:val="222222"/>
          <w:sz w:val="23"/>
        </w:rPr>
        <w:t>Matriks adaptabilitas A menguji apakah suatu kasus kandidat melanggar batasan fisik ruang atau batasan performa. Jika suatu kasus merekomendasikan peredam yang sangat tebal pada ruangan sempit atau memiliki kapasitas reduksi yang tidak mencukupi target pengguna, kasus tersebut dikenai penalti reduktif (Penalty_k &lt; 1.0):</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A_{kj} = 0.5 \cdot \text{Similarity}_k + 0.5 \cdot \text{Penalty}_k, \quad A \in \mathbb{R}^{K \times n}</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(2.12)</w:t>
            </w:r>
          </w:p>
        </w:tc>
      </w:tr>
    </w:tbl>
    <w:p>
      <w:pPr>
        <w:spacing w:after="60"/>
      </w:pPr>
    </w:p>
    <w:p>
      <w:pPr>
        <w:keepNext/>
        <w:spacing w:before="200" w:after="40"/>
      </w:pPr>
      <w:r>
        <w:rPr>
          <w:rFonts w:ascii="Times New Roman" w:hAnsi="Times New Roman"/>
          <w:b/>
          <w:i/>
          <w:color w:val="222222"/>
          <w:sz w:val="22"/>
        </w:rPr>
        <w:t>2.3.4 Sintesis Matriks Bobot Hibrida (HWM) dan Solusi Akhir</w:t>
      </w:r>
    </w:p>
    <w:p>
      <w:pPr>
        <w:spacing w:before="0" w:after="120" w:line="360" w:lineRule="auto"/>
        <w:jc w:val="both"/>
      </w:pPr>
      <w:r>
        <w:rPr>
          <w:rFonts w:ascii="Times New Roman" w:hAnsi="Times New Roman"/>
          <w:b w:val="0"/>
          <w:i w:val="0"/>
          <w:color w:val="222222"/>
          <w:sz w:val="23"/>
        </w:rPr>
        <w:t>Penggabungan pengetahuan implisit dilakukan melalui perkalian matriks dan perkalian Hadamard (element-wise product), dilanjutkan normalisasi kolom:</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SR = S \times R \quad (K \times n), \quad WM = SR \circ A \quad (K \times n)</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(2.13)</w:t>
            </w:r>
          </w:p>
        </w:tc>
      </w:tr>
    </w:tbl>
    <w:p>
      <w:pPr>
        <w:spacing w:after="60"/>
      </w:pP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HWM_{kj} = \frac{WM_{kj}}{\sum_{z=1}^K WM_{zj} + \varepsilon}, \quad \sum_{k=1}^K HWM_{kj} = 1.0</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(2.14)</w:t>
            </w:r>
          </w:p>
        </w:tc>
      </w:tr>
    </w:tbl>
    <w:p>
      <w:pPr>
        <w:spacing w:after="60"/>
      </w:pPr>
    </w:p>
    <w:p>
      <w:pPr>
        <w:spacing w:before="0" w:after="120" w:line="360" w:lineRule="auto"/>
        <w:jc w:val="both"/>
      </w:pPr>
      <w:r>
        <w:rPr>
          <w:rFonts w:ascii="Times New Roman" w:hAnsi="Times New Roman"/>
          <w:b w:val="0"/>
          <w:i w:val="0"/>
          <w:color w:val="222222"/>
          <w:sz w:val="23"/>
        </w:rPr>
        <w:t>Solusi numerik kontinu ke-j dihitung melalui rata-rata tertimbang (Weighted Mean):</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Sol_{\text{adapted}, j} = \sum_{k=1}^K HWM_{kj} \cdot Sol_{raw, kj}</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(2.15)</w:t>
            </w:r>
          </w:p>
        </w:tc>
      </w:tr>
    </w:tbl>
    <w:p>
      <w:pPr>
        <w:spacing w:after="60"/>
      </w:pPr>
    </w:p>
    <w:p>
      <w:pPr>
        <w:spacing w:before="0" w:after="120" w:line="360" w:lineRule="auto"/>
        <w:jc w:val="both"/>
      </w:pPr>
      <w:r>
        <w:rPr>
          <w:rFonts w:ascii="Times New Roman" w:hAnsi="Times New Roman"/>
          <w:b w:val="0"/>
          <w:i w:val="0"/>
          <w:color w:val="222222"/>
          <w:sz w:val="23"/>
        </w:rPr>
        <w:t>Sedangkan atribut solusi kategorikal (seperti jenis material peredam dan sistem pemasangan partisi) ditentukan melalui mekanisme Weighted Majority Voting berbobot skor kemiripan kasus.</w:t>
      </w:r>
    </w:p>
    <w:p>
      <w:pPr>
        <w:keepNext/>
        <w:spacing w:before="280" w:after="80"/>
      </w:pPr>
      <w:r>
        <w:rPr>
          <w:rFonts w:ascii="Times New Roman" w:hAnsi="Times New Roman"/>
          <w:b/>
          <w:color w:val="2B6CB0"/>
          <w:sz w:val="24"/>
        </w:rPr>
        <w:t>2.4 Pemodelan Fisika Akustik Lapangan (ASTM E336 &amp; Sabine)</w:t>
      </w:r>
    </w:p>
    <w:p>
      <w:pPr>
        <w:spacing w:before="0" w:after="120" w:line="360" w:lineRule="auto"/>
        <w:jc w:val="both"/>
      </w:pPr>
      <w:r>
        <w:rPr>
          <w:rFonts w:ascii="Times New Roman" w:hAnsi="Times New Roman"/>
          <w:b w:val="0"/>
          <w:i w:val="0"/>
          <w:color w:val="222222"/>
          <w:sz w:val="23"/>
        </w:rPr>
        <w:t>Keunggulan utama sistem pakar yang dikembangkan dalam penelitian ini terletak pada integrasi hukum fisika akustik baku untuk memvalidasi dan mengoreksi luaran adaptasi CAHWM. Tanpa validasi fisika, luaran CBR murni rentan mengalami kegagalan akustik di dunia nyata akibat dua fenomena krusial: kebocoran transmisi getaran mekanis (flanking transmission) dan distorsi geometri ruang penerima.</w:t>
      </w:r>
    </w:p>
    <w:p>
      <w:pPr>
        <w:keepNext/>
        <w:spacing w:before="200" w:after="40"/>
      </w:pPr>
      <w:r>
        <w:rPr>
          <w:rFonts w:ascii="Times New Roman" w:hAnsi="Times New Roman"/>
          <w:b/>
          <w:i/>
          <w:color w:val="222222"/>
          <w:sz w:val="22"/>
        </w:rPr>
        <w:t>2.4.1 Teori Penyerapan Bunyi Sabine dan Pendekatan Heuristik</w:t>
      </w:r>
    </w:p>
    <w:p>
      <w:pPr>
        <w:spacing w:before="0" w:after="120" w:line="360" w:lineRule="auto"/>
        <w:jc w:val="both"/>
      </w:pPr>
      <w:r>
        <w:rPr>
          <w:rFonts w:ascii="Times New Roman" w:hAnsi="Times New Roman"/>
          <w:b w:val="0"/>
          <w:i w:val="0"/>
          <w:color w:val="222222"/>
          <w:sz w:val="23"/>
        </w:rPr>
        <w:t>Wallace Clement Sabine (1922) meletakkan landasan fisika akustik ruang melalui formulasi penyerapan bunyi total A (dalam satuan Sabin atau m² penyerapan ekuivalen):</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A = \sum_{i=1}^N S_i \bar{\alpha}_i = S_{\text{total}} \cdot \bar{\alpha}</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(2.16)</w:t>
            </w:r>
          </w:p>
        </w:tc>
      </w:tr>
    </w:tbl>
    <w:p>
      <w:pPr>
        <w:spacing w:after="60"/>
      </w:pPr>
    </w:p>
    <w:p>
      <w:pPr>
        <w:spacing w:before="0" w:after="120" w:line="360" w:lineRule="auto"/>
        <w:jc w:val="both"/>
      </w:pPr>
      <w:r>
        <w:rPr>
          <w:rFonts w:ascii="Times New Roman" w:hAnsi="Times New Roman"/>
          <w:b w:val="0"/>
          <w:i w:val="0"/>
          <w:color w:val="222222"/>
          <w:sz w:val="23"/>
        </w:rPr>
        <w:t>di mana S_i adalah luas bidang permukaan material ke-i dan \bar{\alpha}_i adalah koefisien serap material. Dalam survei awal perancangan arsitektural di mana koefisien detail setiap perabot belum diketahui secara analitis, para praktisi akustik dan buku teks standar Architectural Acoustics (Long, 2014) menerapkan formulasi simplifikasi heuristik yang terkalibrasi untuk ruangan berukuran kecil hingga menengah:</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A \approx (S_{\text{ruang}} \times 0.20) + 5.0 \quad (\text{m}^2 \text{ Sabin})</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(2.17)</w:t>
            </w:r>
          </w:p>
        </w:tc>
      </w:tr>
    </w:tbl>
    <w:p>
      <w:pPr>
        <w:spacing w:after="60"/>
      </w:pPr>
    </w:p>
    <w:p>
      <w:pPr>
        <w:spacing w:before="0" w:after="120" w:line="360" w:lineRule="auto"/>
        <w:jc w:val="both"/>
      </w:pPr>
      <w:r>
        <w:rPr>
          <w:rFonts w:ascii="Times New Roman" w:hAnsi="Times New Roman"/>
          <w:b w:val="0"/>
          <w:i w:val="0"/>
          <w:color w:val="222222"/>
          <w:sz w:val="23"/>
        </w:rPr>
        <w:t>di mana koefisien rata-rata penyerapan ruang hunian/studio berfurnitur tipikal dimodelkan sebesar \bar{\alpha} \approx 0.20, dan konstanta 5.0 Sabin memodelkan penyerapan dasar udara serta batas fisik ruang.</w:t>
      </w:r>
    </w:p>
    <w:p>
      <w:pPr>
        <w:keepNext/>
        <w:spacing w:before="200" w:after="40"/>
      </w:pPr>
      <w:r>
        <w:rPr>
          <w:rFonts w:ascii="Times New Roman" w:hAnsi="Times New Roman"/>
          <w:b/>
          <w:i/>
          <w:color w:val="222222"/>
          <w:sz w:val="22"/>
        </w:rPr>
        <w:t>2.4.2 Koreksi Geometri Standar ASTM E336 (Hubungan TL dan NR)</w:t>
      </w:r>
    </w:p>
    <w:p>
      <w:pPr>
        <w:spacing w:before="0" w:after="120" w:line="360" w:lineRule="auto"/>
        <w:jc w:val="both"/>
      </w:pPr>
      <w:r>
        <w:rPr>
          <w:rFonts w:ascii="Times New Roman" w:hAnsi="Times New Roman"/>
          <w:b w:val="0"/>
          <w:i w:val="0"/>
          <w:color w:val="222222"/>
          <w:sz w:val="23"/>
        </w:rPr>
        <w:t>Standar internasional ASTM E336-17a ('Standard Test Method for Measurement of Airborne Sound Attenuation between Rooms in Buildings') dan ISO 16283-1 (2014) membedakan secara tegas antara Sound Transmission Loss (TL) dan Noise Reduction (NR) lapangan (Höller, 2017). Nilai TL yang terukur di laboratorium hanya merefleksikan daya insulasi spesimen material murni tanpa melibatkan interaksi ruang. Di lapangan, perbedaan tingkat tekanan suara antara ruang sumber dan ruang penerima (NR) diatur oleh hukum kesetimbangan energi akustik (Barnard &amp; Rao, 2004; Long, 2014):</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NR = TL - 10 \log_{10}\left( \frac{S}{A} \right)</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(2.18)</w:t>
            </w:r>
          </w:p>
        </w:tc>
      </w:tr>
    </w:tbl>
    <w:p>
      <w:pPr>
        <w:spacing w:after="60"/>
      </w:pPr>
    </w:p>
    <w:p>
      <w:pPr>
        <w:spacing w:before="0" w:after="120" w:line="360" w:lineRule="auto"/>
        <w:jc w:val="both"/>
      </w:pPr>
      <w:r>
        <w:rPr>
          <w:rFonts w:ascii="Times New Roman" w:hAnsi="Times New Roman"/>
          <w:b w:val="0"/>
          <w:i w:val="0"/>
          <w:color w:val="222222"/>
          <w:sz w:val="23"/>
        </w:rPr>
        <w:t>di mana S adalah luas bidang dinding partisi pembatas (m²) dan A adalah absorpsi total ruang penerima (m² Sabin). Jika luas dinding pembatas S lebih besar daripada absorpsi ruang penerima A, suku koreksi geometri 10 log10(S/A) bernilai positif, yang berarti daya redam aktual lapangan NR selalu lebih rendah daripada nilai TL teoritis material. Sebaliknya, Sound Transmission Loss yang wajib disediakan oleh material partisi (TL_required) dihitung melalui:</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TL_{\text{required}} = \Delta\text{dB} + 10 \log_{10}\left( \frac{S}{A} \right)</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(2.19)</w:t>
            </w:r>
          </w:p>
        </w:tc>
      </w:tr>
    </w:tbl>
    <w:p>
      <w:pPr>
        <w:spacing w:after="60"/>
      </w:pPr>
    </w:p>
    <w:p>
      <w:pPr>
        <w:keepNext/>
        <w:spacing w:before="200" w:after="40"/>
      </w:pPr>
      <w:r>
        <w:rPr>
          <w:rFonts w:ascii="Times New Roman" w:hAnsi="Times New Roman"/>
          <w:b/>
          <w:i/>
          <w:color w:val="222222"/>
          <w:sz w:val="22"/>
        </w:rPr>
        <w:t>2.4.3 Prinsip Kebocoran Suara Struktur (Flanking Transmission) &amp; Aturan Pemutus Getaran</w:t>
      </w:r>
    </w:p>
    <w:p>
      <w:pPr>
        <w:spacing w:before="0" w:after="120" w:line="360" w:lineRule="auto"/>
        <w:jc w:val="both"/>
      </w:pPr>
      <w:r>
        <w:rPr>
          <w:rFonts w:ascii="Times New Roman" w:hAnsi="Times New Roman"/>
          <w:b w:val="0"/>
          <w:i w:val="0"/>
          <w:color w:val="222222"/>
          <w:sz w:val="23"/>
        </w:rPr>
        <w:t>Fenomena Flanking Transmission merupakan transmisi energi bunyi antartempat yang tidak melewati partisi pembatas utama secara langsung, melainkan merambat melalui getaran struktural pada dinding samping, plat lantai, plafon bersama, ducting HVAC, serta pipa mekanikal (Hopkins, 2012). Apabila partisi peredam suara hanya dipasang dengan cara 'ditempel langsung ke dinding struktural' (rigid mechanical contact), gelombang suara akan berubah menjadi gelombang transversal elastis padat yang merambat menembus struktur bangunan, memicu jembatan akustik mekanis (acoustic bridging).</w:t>
      </w:r>
    </w:p>
    <w:p>
      <w:pPr>
        <w:spacing w:before="0" w:after="120" w:line="360" w:lineRule="auto"/>
        <w:jc w:val="both"/>
      </w:pPr>
      <w:r>
        <w:rPr>
          <w:rFonts w:ascii="Times New Roman" w:hAnsi="Times New Roman"/>
          <w:b w:val="0"/>
          <w:i w:val="0"/>
          <w:color w:val="222222"/>
          <w:sz w:val="23"/>
        </w:rPr>
        <w:t>Menurut literatur rekayasa partisi ganda (Sound Insulation, Hopkins, 2012; Architectural Acoustics, Long, 2014), pemasangan kontak langsung tidak akan pernah mampu mereduksi kebisingan lebih dari 20–25 dB akibat saturasi transmisi flanking. Untuk menembus batas insulasi di atas 25 dB, hukum kekekalan massa partisi tunggal wajib digantikan oleh prinsip pemutus getaran (Acoustic Decoupling / Double Leaf Partition). Dalam sistem pakar ini, aturan fisika pembatas (Flanking Transmission Override Rule) diterapkan secara deterministik:</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\mathbf{IF} \quad \Delta\text{dB} &gt; 25.0 \quad \mathbf{AND} \quad \text{Sistem} == \text{"Ditempel langsung"} \quad \mathbf{THEN} \quad \text{Sistem} \leftarrow \text{"Peredam + air gap 5 cm + gypsum 12 mm"}</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(2.20)</w:t>
            </w:r>
          </w:p>
        </w:tc>
      </w:tr>
    </w:tbl>
    <w:p>
      <w:pPr>
        <w:spacing w:after="60"/>
      </w:pPr>
    </w:p>
    <w:p>
      <w:pPr>
        <w:spacing w:before="0" w:after="120" w:line="360" w:lineRule="auto"/>
        <w:jc w:val="both"/>
      </w:pPr>
      <w:r>
        <w:rPr>
          <w:rFonts w:ascii="Times New Roman" w:hAnsi="Times New Roman"/>
          <w:b w:val="0"/>
          <w:i w:val="0"/>
          <w:color w:val="222222"/>
          <w:sz w:val="23"/>
        </w:rPr>
        <w:t>Rongga udara (air gap) minimal 5 cm berfungsi sebagai peredam pegas fluida (mass-air-mass resonance system) yang memutus getaran mekanis kaku, sedangkan lapisan papan gypsum 12 mm berfungsi sebagai massa penutup ganda yang meningkatkan daya redam secara drastis.</w:t>
      </w:r>
    </w:p>
    <w:p>
      <w:r>
        <w:br w:type="page"/>
      </w:r>
    </w:p>
    <w:p>
      <w:pPr>
        <w:keepNext/>
        <w:spacing w:before="360" w:after="120"/>
      </w:pPr>
      <w:r>
        <w:rPr>
          <w:rFonts w:ascii="Times New Roman" w:hAnsi="Times New Roman"/>
          <w:b/>
          <w:color w:val="1A365D"/>
          <w:sz w:val="26"/>
        </w:rPr>
        <w:t>BAB III: IMPLEMENTASI SISTEM &amp; DESAIN EKSPERIMEN</w:t>
      </w:r>
    </w:p>
    <w:p>
      <w:pPr>
        <w:keepNext/>
        <w:spacing w:before="280" w:after="80"/>
      </w:pPr>
      <w:r>
        <w:rPr>
          <w:rFonts w:ascii="Times New Roman" w:hAnsi="Times New Roman"/>
          <w:b/>
          <w:color w:val="2B6CB0"/>
          <w:sz w:val="24"/>
        </w:rPr>
        <w:t>3.1 Arsitektur &amp; Alur Kerja Sistem ICBR Akustik</w:t>
      </w:r>
    </w:p>
    <w:p>
      <w:pPr>
        <w:spacing w:before="0" w:after="120" w:line="360" w:lineRule="auto"/>
        <w:jc w:val="both"/>
      </w:pPr>
      <w:r>
        <w:rPr>
          <w:rFonts w:ascii="Times New Roman" w:hAnsi="Times New Roman"/>
          <w:b w:val="0"/>
          <w:i w:val="0"/>
          <w:color w:val="222222"/>
          <w:sz w:val="23"/>
        </w:rPr>
        <w:t>Sistem pakar rekomendasi peredam suara ruangan dirancang dengan arsitektur modular terintegrasi yang menghubungkan interaksi pengguna dengan mesin inferensi hibrida tingkat lanjut. Secara garis besar, arsitektur sistem terdiri atas lima subsistem utama:</w:t>
      </w:r>
    </w:p>
    <w:p>
      <w:pPr>
        <w:pStyle w:val="ListBullet"/>
        <w:spacing w:before="0" w:after="60" w:line="312" w:lineRule="auto"/>
        <w:jc w:val="both"/>
      </w:pPr>
      <w:r>
        <w:rPr>
          <w:rFonts w:ascii="Times New Roman" w:hAnsi="Times New Roman"/>
          <w:b/>
          <w:color w:val="222222"/>
          <w:sz w:val="22"/>
        </w:rPr>
        <w:t xml:space="preserve">1. </w:t>
      </w:r>
      <w:r>
        <w:rPr>
          <w:rFonts w:ascii="Times New Roman" w:hAnsi="Times New Roman"/>
          <w:color w:val="222222"/>
          <w:sz w:val="22"/>
        </w:rPr>
        <w:t>User Interface (Antarmuka Pengguna): Dibangun berbasis kerangka kerja web responsif Streamlit (app.py) yang memfasilitasi formulir input parameter ruangan dan panel visualisasi multi-kartu (spec-cards dan analysis-cards).</w:t>
      </w:r>
    </w:p>
    <w:p>
      <w:pPr>
        <w:pStyle w:val="ListBullet"/>
        <w:spacing w:before="0" w:after="60" w:line="312" w:lineRule="auto"/>
        <w:jc w:val="both"/>
      </w:pPr>
      <w:r>
        <w:rPr>
          <w:rFonts w:ascii="Times New Roman" w:hAnsi="Times New Roman"/>
          <w:b/>
          <w:color w:val="222222"/>
          <w:sz w:val="22"/>
        </w:rPr>
        <w:t xml:space="preserve">2. </w:t>
      </w:r>
      <w:r>
        <w:rPr>
          <w:rFonts w:ascii="Times New Roman" w:hAnsi="Times New Roman"/>
          <w:color w:val="222222"/>
          <w:sz w:val="22"/>
        </w:rPr>
        <w:t>Preprocessing &amp; Case Base Repository: Memuat basis kasus historis terkalibrasi peredam_suara_clean.csv yang berisi 225 kasus perancangan riil terverifikasi dengan fitur sintetis ASTM E336.</w:t>
      </w:r>
    </w:p>
    <w:p>
      <w:pPr>
        <w:pStyle w:val="ListBullet"/>
        <w:spacing w:before="0" w:after="60" w:line="312" w:lineRule="auto"/>
        <w:jc w:val="both"/>
      </w:pPr>
      <w:r>
        <w:rPr>
          <w:rFonts w:ascii="Times New Roman" w:hAnsi="Times New Roman"/>
          <w:b/>
          <w:color w:val="222222"/>
          <w:sz w:val="22"/>
        </w:rPr>
        <w:t xml:space="preserve">3. </w:t>
      </w:r>
      <w:r>
        <w:rPr>
          <w:rFonts w:ascii="Times New Roman" w:hAnsi="Times New Roman"/>
          <w:color w:val="222222"/>
          <w:sz w:val="22"/>
        </w:rPr>
        <w:t>Hybrid Weight Engine (CRNHW): Modul matematis yang mengompilasi preferensi pakar (AHP) dan menghitung entropi informasi Shannon (Entropy) menggunakan pengoptimal SLSQP.</w:t>
      </w:r>
    </w:p>
    <w:p>
      <w:pPr>
        <w:pStyle w:val="ListBullet"/>
        <w:spacing w:before="0" w:after="60" w:line="312" w:lineRule="auto"/>
        <w:jc w:val="both"/>
      </w:pPr>
      <w:r>
        <w:rPr>
          <w:rFonts w:ascii="Times New Roman" w:hAnsi="Times New Roman"/>
          <w:b/>
          <w:color w:val="222222"/>
          <w:sz w:val="22"/>
        </w:rPr>
        <w:t xml:space="preserve">4. </w:t>
      </w:r>
      <w:r>
        <w:rPr>
          <w:rFonts w:ascii="Times New Roman" w:hAnsi="Times New Roman"/>
          <w:color w:val="222222"/>
          <w:sz w:val="22"/>
        </w:rPr>
        <w:t>Implicit Knowledge Adaptation Engine (CAHWM): Mesin inferensi cbr_engine.py yang menghitung matriks kesamaan S, vektor utilitas U, matriks relasi abu-abu R, matriks adaptabilitas A, dan mensintesis HWM.</w:t>
      </w:r>
    </w:p>
    <w:p>
      <w:pPr>
        <w:pStyle w:val="ListBullet"/>
        <w:spacing w:before="0" w:after="60" w:line="312" w:lineRule="auto"/>
        <w:jc w:val="both"/>
      </w:pPr>
      <w:r>
        <w:rPr>
          <w:rFonts w:ascii="Times New Roman" w:hAnsi="Times New Roman"/>
          <w:b/>
          <w:color w:val="222222"/>
          <w:sz w:val="22"/>
        </w:rPr>
        <w:t xml:space="preserve">5. </w:t>
      </w:r>
      <w:r>
        <w:rPr>
          <w:rFonts w:ascii="Times New Roman" w:hAnsi="Times New Roman"/>
          <w:color w:val="222222"/>
          <w:sz w:val="22"/>
        </w:rPr>
        <w:t>Physics Validation &amp; Explanation Facility: Subsistem evaluasi kendala fisika ASTM E336 dan aturan flanking transmission yang menyertai transparansi kalkulasi akustik kepada pengguna.</w:t>
      </w:r>
    </w:p>
    <w:p>
      <w:pPr>
        <w:spacing w:before="200" w:after="80"/>
        <w:jc w:val="center"/>
      </w:pPr>
      <w:r>
        <w:drawing>
          <wp:inline xmlns:a="http://schemas.openxmlformats.org/drawingml/2006/main" xmlns:pic="http://schemas.openxmlformats.org/drawingml/2006/picture">
            <wp:extent cx="4860000" cy="3147050"/>
            <wp:docPr id="1" name="Picture 1"/>
            <wp:cNvGraphicFramePr>
              <a:graphicFrameLocks noChangeAspect="1"/>
            </wp:cNvGraphicFramePr>
            <a:graphic>
              <a:graphicData uri="http://schemas.openxmlformats.org/drawingml/2006/picture">
                <pic:pic>
                  <pic:nvPicPr>
                    <pic:cNvPr id="0" name="Architecture-of-Expert-System.png"/>
                    <pic:cNvPicPr/>
                  </pic:nvPicPr>
                  <pic:blipFill>
                    <a:blip r:embed="rId9"/>
                    <a:stretch>
                      <a:fillRect/>
                    </a:stretch>
                  </pic:blipFill>
                  <pic:spPr>
                    <a:xfrm>
                      <a:off x="0" y="0"/>
                      <a:ext cx="4860000" cy="3147050"/>
                    </a:xfrm>
                    <a:prstGeom prst="rect"/>
                  </pic:spPr>
                </pic:pic>
              </a:graphicData>
            </a:graphic>
          </wp:inline>
        </w:drawing>
      </w:r>
    </w:p>
    <w:p>
      <w:pPr>
        <w:spacing w:before="80" w:after="200"/>
        <w:jc w:val="center"/>
      </w:pPr>
      <w:r>
        <w:rPr>
          <w:rFonts w:ascii="Times New Roman" w:hAnsi="Times New Roman"/>
          <w:b/>
          <w:color w:val="2B6CB0"/>
          <w:sz w:val="20"/>
        </w:rPr>
        <w:t>Gambar 3.1: Arsitektur Umum Sistem Pakar Berbasis Kasus Terintegrasi</w:t>
      </w:r>
    </w:p>
    <w:p>
      <w:pPr>
        <w:spacing w:before="200" w:after="80"/>
        <w:jc w:val="center"/>
      </w:pPr>
      <w:r>
        <w:drawing>
          <wp:inline xmlns:a="http://schemas.openxmlformats.org/drawingml/2006/main" xmlns:pic="http://schemas.openxmlformats.org/drawingml/2006/picture">
            <wp:extent cx="5040000" cy="3565532"/>
            <wp:docPr id="2" name="Picture 2"/>
            <wp:cNvGraphicFramePr>
              <a:graphicFrameLocks noChangeAspect="1"/>
            </wp:cNvGraphicFramePr>
            <a:graphic>
              <a:graphicData uri="http://schemas.openxmlformats.org/drawingml/2006/picture">
                <pic:pic>
                  <pic:nvPicPr>
                    <pic:cNvPr id="0" name="inference.drawio.png"/>
                    <pic:cNvPicPr/>
                  </pic:nvPicPr>
                  <pic:blipFill>
                    <a:blip r:embed="rId10"/>
                    <a:stretch>
                      <a:fillRect/>
                    </a:stretch>
                  </pic:blipFill>
                  <pic:spPr>
                    <a:xfrm>
                      <a:off x="0" y="0"/>
                      <a:ext cx="5040000" cy="3565532"/>
                    </a:xfrm>
                    <a:prstGeom prst="rect"/>
                  </pic:spPr>
                </pic:pic>
              </a:graphicData>
            </a:graphic>
          </wp:inline>
        </w:drawing>
      </w:r>
    </w:p>
    <w:p>
      <w:pPr>
        <w:spacing w:before="80" w:after="200"/>
        <w:jc w:val="center"/>
      </w:pPr>
      <w:r>
        <w:rPr>
          <w:rFonts w:ascii="Times New Roman" w:hAnsi="Times New Roman"/>
          <w:b/>
          <w:color w:val="2B6CB0"/>
          <w:sz w:val="20"/>
        </w:rPr>
        <w:t>Gambar 3.2: Diagram Alur Mesin Inferensi ICBR Akustik (CRNHW - CAHWM - ASTM E336)</w:t>
      </w:r>
    </w:p>
    <w:p>
      <w:pPr>
        <w:spacing w:before="200" w:after="80"/>
        <w:jc w:val="center"/>
      </w:pPr>
      <w:r>
        <w:drawing>
          <wp:inline xmlns:a="http://schemas.openxmlformats.org/drawingml/2006/main" xmlns:pic="http://schemas.openxmlformats.org/drawingml/2006/picture">
            <wp:extent cx="3240000" cy="8439469"/>
            <wp:docPr id="3" name="Picture 3"/>
            <wp:cNvGraphicFramePr>
              <a:graphicFrameLocks noChangeAspect="1"/>
            </wp:cNvGraphicFramePr>
            <a:graphic>
              <a:graphicData uri="http://schemas.openxmlformats.org/drawingml/2006/picture">
                <pic:pic>
                  <pic:nvPicPr>
                    <pic:cNvPr id="0" name="sistem pakar.drawio.png"/>
                    <pic:cNvPicPr/>
                  </pic:nvPicPr>
                  <pic:blipFill>
                    <a:blip r:embed="rId11"/>
                    <a:stretch>
                      <a:fillRect/>
                    </a:stretch>
                  </pic:blipFill>
                  <pic:spPr>
                    <a:xfrm>
                      <a:off x="0" y="0"/>
                      <a:ext cx="3240000" cy="8439469"/>
                    </a:xfrm>
                    <a:prstGeom prst="rect"/>
                  </pic:spPr>
                </pic:pic>
              </a:graphicData>
            </a:graphic>
          </wp:inline>
        </w:drawing>
      </w:r>
    </w:p>
    <w:p>
      <w:pPr>
        <w:spacing w:before="80" w:after="200"/>
        <w:jc w:val="center"/>
      </w:pPr>
      <w:r>
        <w:rPr>
          <w:rFonts w:ascii="Times New Roman" w:hAnsi="Times New Roman"/>
          <w:b/>
          <w:color w:val="2B6CB0"/>
          <w:sz w:val="20"/>
        </w:rPr>
        <w:t>Gambar 3.3: Diagram Detail Alur Logika Rekomendasi Partisi dan Flanking Transmission</w:t>
      </w:r>
    </w:p>
    <w:p>
      <w:pPr>
        <w:keepNext/>
        <w:spacing w:before="280" w:after="80"/>
      </w:pPr>
      <w:r>
        <w:rPr>
          <w:rFonts w:ascii="Times New Roman" w:hAnsi="Times New Roman"/>
          <w:b/>
          <w:color w:val="2B6CB0"/>
          <w:sz w:val="24"/>
        </w:rPr>
        <w:t>3.2 Implementasi Pembobotan CRNHW pada Data Akustik</w:t>
      </w:r>
    </w:p>
    <w:p>
      <w:pPr>
        <w:spacing w:before="0" w:after="120" w:line="360" w:lineRule="auto"/>
        <w:jc w:val="both"/>
      </w:pPr>
      <w:r>
        <w:rPr>
          <w:rFonts w:ascii="Times New Roman" w:hAnsi="Times New Roman"/>
          <w:b w:val="0"/>
          <w:i w:val="0"/>
          <w:color w:val="222222"/>
          <w:sz w:val="23"/>
        </w:rPr>
        <w:t>Proses inferensi diawali dengan pembentukan bobot hibrida W_h pada tahap inisialisasi sistem. Sebanyak enam atribut numerik masalah terpilih sebagai fitur penentu kesamaan: (1) luas_ruangan_m2, (2) ketebalan_dinding_cm, (3) luas_dinding_m2, (4) intensitas_suara_awal_db, (5) target_suara_db, dan (6) delta_db.</w:t>
      </w:r>
    </w:p>
    <w:p>
      <w:pPr>
        <w:keepNext/>
        <w:spacing w:before="200" w:after="40"/>
      </w:pPr>
      <w:r>
        <w:rPr>
          <w:rFonts w:ascii="Times New Roman" w:hAnsi="Times New Roman"/>
          <w:b/>
          <w:i/>
          <w:color w:val="222222"/>
          <w:sz w:val="22"/>
        </w:rPr>
        <w:t>3.2.1 Inisialisasi Matriks Pakar &amp; Perhitungan Bobot AHP (Ws)</w:t>
      </w:r>
    </w:p>
    <w:p>
      <w:pPr>
        <w:spacing w:before="0" w:after="120" w:line="360" w:lineRule="auto"/>
        <w:jc w:val="both"/>
      </w:pPr>
      <w:r>
        <w:rPr>
          <w:rFonts w:ascii="Times New Roman" w:hAnsi="Times New Roman"/>
          <w:b w:val="0"/>
          <w:i w:val="0"/>
          <w:color w:val="222222"/>
          <w:sz w:val="23"/>
        </w:rPr>
        <w:t>Berdasarkan wawancara terstruktur dan kaidah desain akustik bangunan, matriks perbandingan berpasangan pakar J (ordo 6 x 6) diinisialisasi sebagaimana ditunjukkan pada Tabel 3.1. Nilai-nilai ini merefleksikan bahwa selisih kebisingan (delta_db) dan intensitas suara awal dipandang oleh pakar sebagai faktor penentu utama dalam pemilihan kelas material peredam.</w:t>
      </w:r>
    </w:p>
    <w:p>
      <w:pPr>
        <w:spacing w:before="160" w:after="60"/>
        <w:jc w:val="center"/>
      </w:pPr>
      <w:r>
        <w:rPr>
          <w:rFonts w:ascii="Times New Roman" w:hAnsi="Times New Roman"/>
          <w:b/>
          <w:color w:val="2B6CB0"/>
          <w:sz w:val="20"/>
        </w:rPr>
        <w:t>Tabel 3.1: Matriks Perbandingan Berpasangan Pakar Akustik (J 6x6)</w:t>
      </w:r>
    </w:p>
    <w:tbl>
      <w:tblPr>
        <w:tblW w:type="auto" w:w="0"/>
        <w:jc w:val="center"/>
        <w:tblLook w:firstColumn="1" w:firstRow="1" w:lastColumn="0" w:lastRow="0" w:noHBand="0" w:noVBand="1" w:val="04A0"/>
        <w:tblBorders>
          <w:top w:val="single" w:sz="6" w:space="0" w:color="2B6CB0"/>
          <w:bottom w:val="single" w:sz="6" w:space="0" w:color="2B6CB0"/>
          <w:insideH w:val="single" w:sz="4" w:space="0" w:color="CBD5E1"/>
          <w:insideV w:val="none"/>
          <w:left w:val="none"/>
          <w:right w:val="none"/>
        </w:tblBorders>
      </w:tblPr>
      <w:tblGrid>
        <w:gridCol w:w="1134"/>
        <w:gridCol w:w="1134"/>
        <w:gridCol w:w="1134"/>
        <w:gridCol w:w="1134"/>
        <w:gridCol w:w="1134"/>
        <w:gridCol w:w="1134"/>
        <w:gridCol w:w="1134"/>
      </w:tblGrid>
      <w:tr>
        <w:tc>
          <w:tcPr>
            <w:tcW w:type="dxa" w:w="2551"/>
            <w:shd w:fill="1A365D"/>
            <w:tcMar>
              <w:top w:w="120" w:type="dxa"/>
              <w:bottom w:w="120" w:type="dxa"/>
              <w:left w:w="140" w:type="dxa"/>
              <w:right w:w="140" w:type="dxa"/>
            </w:tcMar>
          </w:tcPr>
          <w:p>
            <w:pPr>
              <w:spacing w:after="0"/>
              <w:jc w:val="center"/>
            </w:pPr>
            <w:r>
              <w:rPr>
                <w:rFonts w:ascii="Times New Roman" w:hAnsi="Times New Roman"/>
                <w:b/>
                <w:color w:val="FFFFFF"/>
                <w:sz w:val="20"/>
              </w:rPr>
              <w:t>Atribut Masalah</w:t>
            </w:r>
          </w:p>
        </w:tc>
        <w:tc>
          <w:tcPr>
            <w:tcW w:type="dxa" w:w="1020"/>
            <w:shd w:fill="1A365D"/>
            <w:tcMar>
              <w:top w:w="120" w:type="dxa"/>
              <w:bottom w:w="120" w:type="dxa"/>
              <w:left w:w="140" w:type="dxa"/>
              <w:right w:w="140" w:type="dxa"/>
            </w:tcMar>
          </w:tcPr>
          <w:p>
            <w:pPr>
              <w:spacing w:after="0"/>
              <w:jc w:val="center"/>
            </w:pPr>
            <w:r>
              <w:rPr>
                <w:rFonts w:ascii="Times New Roman" w:hAnsi="Times New Roman"/>
                <w:b/>
                <w:color w:val="FFFFFF"/>
                <w:sz w:val="20"/>
              </w:rPr>
              <w:t>luas_ruang</w:t>
            </w:r>
          </w:p>
        </w:tc>
        <w:tc>
          <w:tcPr>
            <w:tcW w:type="dxa" w:w="1020"/>
            <w:shd w:fill="1A365D"/>
            <w:tcMar>
              <w:top w:w="120" w:type="dxa"/>
              <w:bottom w:w="120" w:type="dxa"/>
              <w:left w:w="140" w:type="dxa"/>
              <w:right w:w="140" w:type="dxa"/>
            </w:tcMar>
          </w:tcPr>
          <w:p>
            <w:pPr>
              <w:spacing w:after="0"/>
              <w:jc w:val="center"/>
            </w:pPr>
            <w:r>
              <w:rPr>
                <w:rFonts w:ascii="Times New Roman" w:hAnsi="Times New Roman"/>
                <w:b/>
                <w:color w:val="FFFFFF"/>
                <w:sz w:val="20"/>
              </w:rPr>
              <w:t>tebal_dind</w:t>
            </w:r>
          </w:p>
        </w:tc>
        <w:tc>
          <w:tcPr>
            <w:tcW w:type="dxa" w:w="1020"/>
            <w:shd w:fill="1A365D"/>
            <w:tcMar>
              <w:top w:w="120" w:type="dxa"/>
              <w:bottom w:w="120" w:type="dxa"/>
              <w:left w:w="140" w:type="dxa"/>
              <w:right w:w="140" w:type="dxa"/>
            </w:tcMar>
          </w:tcPr>
          <w:p>
            <w:pPr>
              <w:spacing w:after="0"/>
              <w:jc w:val="center"/>
            </w:pPr>
            <w:r>
              <w:rPr>
                <w:rFonts w:ascii="Times New Roman" w:hAnsi="Times New Roman"/>
                <w:b/>
                <w:color w:val="FFFFFF"/>
                <w:sz w:val="20"/>
              </w:rPr>
              <w:t>luas_dind</w:t>
            </w:r>
          </w:p>
        </w:tc>
        <w:tc>
          <w:tcPr>
            <w:tcW w:type="dxa" w:w="1020"/>
            <w:shd w:fill="1A365D"/>
            <w:tcMar>
              <w:top w:w="120" w:type="dxa"/>
              <w:bottom w:w="120" w:type="dxa"/>
              <w:left w:w="140" w:type="dxa"/>
              <w:right w:w="140" w:type="dxa"/>
            </w:tcMar>
          </w:tcPr>
          <w:p>
            <w:pPr>
              <w:spacing w:after="0"/>
              <w:jc w:val="center"/>
            </w:pPr>
            <w:r>
              <w:rPr>
                <w:rFonts w:ascii="Times New Roman" w:hAnsi="Times New Roman"/>
                <w:b/>
                <w:color w:val="FFFFFF"/>
                <w:sz w:val="20"/>
              </w:rPr>
              <w:t>suara_awal</w:t>
            </w:r>
          </w:p>
        </w:tc>
        <w:tc>
          <w:tcPr>
            <w:tcW w:type="dxa" w:w="1020"/>
            <w:shd w:fill="1A365D"/>
            <w:tcMar>
              <w:top w:w="120" w:type="dxa"/>
              <w:bottom w:w="120" w:type="dxa"/>
              <w:left w:w="140" w:type="dxa"/>
              <w:right w:w="140" w:type="dxa"/>
            </w:tcMar>
          </w:tcPr>
          <w:p>
            <w:pPr>
              <w:spacing w:after="0"/>
              <w:jc w:val="center"/>
            </w:pPr>
            <w:r>
              <w:rPr>
                <w:rFonts w:ascii="Times New Roman" w:hAnsi="Times New Roman"/>
                <w:b/>
                <w:color w:val="FFFFFF"/>
                <w:sz w:val="20"/>
              </w:rPr>
              <w:t>target_db</w:t>
            </w:r>
          </w:p>
        </w:tc>
        <w:tc>
          <w:tcPr>
            <w:tcW w:type="dxa" w:w="1020"/>
            <w:shd w:fill="1A365D"/>
            <w:tcMar>
              <w:top w:w="120" w:type="dxa"/>
              <w:bottom w:w="120" w:type="dxa"/>
              <w:left w:w="140" w:type="dxa"/>
              <w:right w:w="140" w:type="dxa"/>
            </w:tcMar>
          </w:tcPr>
          <w:p>
            <w:pPr>
              <w:spacing w:after="0"/>
              <w:jc w:val="center"/>
            </w:pPr>
            <w:r>
              <w:rPr>
                <w:rFonts w:ascii="Times New Roman" w:hAnsi="Times New Roman"/>
                <w:b/>
                <w:color w:val="FFFFFF"/>
                <w:sz w:val="20"/>
              </w:rPr>
              <w:t>delta_db</w:t>
            </w:r>
          </w:p>
        </w:tc>
      </w:tr>
      <w:tr>
        <w:tc>
          <w:tcPr>
            <w:tcW w:type="dxa" w:w="1134"/>
            <w:shd w:fill="FFFFFF"/>
            <w:tcMar>
              <w:top w:w="100" w:type="dxa"/>
              <w:bottom w:w="100" w:type="dxa"/>
              <w:left w:w="140" w:type="dxa"/>
              <w:right w:w="140" w:type="dxa"/>
            </w:tcMar>
          </w:tcPr>
          <w:p>
            <w:pPr>
              <w:spacing w:after="0"/>
              <w:jc w:val="left"/>
            </w:pPr>
            <w:r>
              <w:rPr>
                <w:rFonts w:ascii="Times New Roman" w:hAnsi="Times New Roman"/>
                <w:color w:val="222222"/>
                <w:sz w:val="19"/>
              </w:rPr>
              <w:t>luas_ruangan_m2</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1.00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2.00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0.33</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0.33</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0.50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0.25</w:t>
            </w:r>
          </w:p>
        </w:tc>
      </w:tr>
      <w:tr>
        <w:tc>
          <w:tcPr>
            <w:tcW w:type="dxa" w:w="1134"/>
            <w:shd w:fill="F8FAFC"/>
            <w:tcMar>
              <w:top w:w="100" w:type="dxa"/>
              <w:bottom w:w="100" w:type="dxa"/>
              <w:left w:w="140" w:type="dxa"/>
              <w:right w:w="140" w:type="dxa"/>
            </w:tcMar>
          </w:tcPr>
          <w:p>
            <w:pPr>
              <w:spacing w:after="0"/>
              <w:jc w:val="left"/>
            </w:pPr>
            <w:r>
              <w:rPr>
                <w:rFonts w:ascii="Times New Roman" w:hAnsi="Times New Roman"/>
                <w:color w:val="222222"/>
                <w:sz w:val="19"/>
              </w:rPr>
              <w:t>ketebalan_dinding_cm</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0.50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1.00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0.25</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0.25</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0.33</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0.20</w:t>
            </w:r>
          </w:p>
        </w:tc>
      </w:tr>
      <w:tr>
        <w:tc>
          <w:tcPr>
            <w:tcW w:type="dxa" w:w="1134"/>
            <w:shd w:fill="FFFFFF"/>
            <w:tcMar>
              <w:top w:w="100" w:type="dxa"/>
              <w:bottom w:w="100" w:type="dxa"/>
              <w:left w:w="140" w:type="dxa"/>
              <w:right w:w="140" w:type="dxa"/>
            </w:tcMar>
          </w:tcPr>
          <w:p>
            <w:pPr>
              <w:spacing w:after="0"/>
              <w:jc w:val="left"/>
            </w:pPr>
            <w:r>
              <w:rPr>
                <w:rFonts w:ascii="Times New Roman" w:hAnsi="Times New Roman"/>
                <w:color w:val="222222"/>
                <w:sz w:val="19"/>
              </w:rPr>
              <w:t>luas_dinding_m2</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3.00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4.00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1.00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0.50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2.00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0.33</w:t>
            </w:r>
          </w:p>
        </w:tc>
      </w:tr>
      <w:tr>
        <w:tc>
          <w:tcPr>
            <w:tcW w:type="dxa" w:w="1134"/>
            <w:shd w:fill="F8FAFC"/>
            <w:tcMar>
              <w:top w:w="100" w:type="dxa"/>
              <w:bottom w:w="100" w:type="dxa"/>
              <w:left w:w="140" w:type="dxa"/>
              <w:right w:w="140" w:type="dxa"/>
            </w:tcMar>
          </w:tcPr>
          <w:p>
            <w:pPr>
              <w:spacing w:after="0"/>
              <w:jc w:val="left"/>
            </w:pPr>
            <w:r>
              <w:rPr>
                <w:rFonts w:ascii="Times New Roman" w:hAnsi="Times New Roman"/>
                <w:color w:val="222222"/>
                <w:sz w:val="19"/>
              </w:rPr>
              <w:t>intensitas_suara_awal_db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3.00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4.00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2.00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1.00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2.00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0.50</w:t>
            </w:r>
          </w:p>
        </w:tc>
      </w:tr>
      <w:tr>
        <w:tc>
          <w:tcPr>
            <w:tcW w:type="dxa" w:w="1134"/>
            <w:shd w:fill="FFFFFF"/>
            <w:tcMar>
              <w:top w:w="100" w:type="dxa"/>
              <w:bottom w:w="100" w:type="dxa"/>
              <w:left w:w="140" w:type="dxa"/>
              <w:right w:w="140" w:type="dxa"/>
            </w:tcMar>
          </w:tcPr>
          <w:p>
            <w:pPr>
              <w:spacing w:after="0"/>
              <w:jc w:val="left"/>
            </w:pPr>
            <w:r>
              <w:rPr>
                <w:rFonts w:ascii="Times New Roman" w:hAnsi="Times New Roman"/>
                <w:color w:val="222222"/>
                <w:sz w:val="19"/>
              </w:rPr>
              <w:t>target_suara_db</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2.00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3.00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0.50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0.50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1.00</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0.25</w:t>
            </w:r>
          </w:p>
        </w:tc>
      </w:tr>
      <w:tr>
        <w:tc>
          <w:tcPr>
            <w:tcW w:type="dxa" w:w="1134"/>
            <w:shd w:fill="F8FAFC"/>
            <w:tcMar>
              <w:top w:w="100" w:type="dxa"/>
              <w:bottom w:w="100" w:type="dxa"/>
              <w:left w:w="140" w:type="dxa"/>
              <w:right w:w="140" w:type="dxa"/>
            </w:tcMar>
          </w:tcPr>
          <w:p>
            <w:pPr>
              <w:spacing w:after="0"/>
              <w:jc w:val="left"/>
            </w:pPr>
            <w:r>
              <w:rPr>
                <w:rFonts w:ascii="Times New Roman" w:hAnsi="Times New Roman"/>
                <w:color w:val="222222"/>
                <w:sz w:val="19"/>
              </w:rPr>
              <w:t>delta_db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4.00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5.00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3.00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2.00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4.00</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1.00</w:t>
            </w:r>
          </w:p>
        </w:tc>
      </w:tr>
    </w:tbl>
    <w:p>
      <w:pPr>
        <w:spacing w:before="0" w:after="120" w:line="360" w:lineRule="auto"/>
        <w:jc w:val="both"/>
      </w:pPr>
      <w:r>
        <w:rPr>
          <w:rFonts w:ascii="Times New Roman" w:hAnsi="Times New Roman"/>
          <w:b w:val="0"/>
          <w:i w:val="0"/>
          <w:color w:val="222222"/>
          <w:sz w:val="23"/>
        </w:rPr>
        <w:t>Menggunakan metode Rata-Rata Geometrik (Persamaan 2.1), vektor bobot subjektif W_s berhasil diekstraksi. Selanjutnya, dilakukan uji konsistensi logika pakar (Tabel 3.2).</w:t>
      </w:r>
    </w:p>
    <w:p>
      <w:pPr>
        <w:spacing w:before="160" w:after="60"/>
        <w:jc w:val="center"/>
      </w:pPr>
      <w:r>
        <w:rPr>
          <w:rFonts w:ascii="Times New Roman" w:hAnsi="Times New Roman"/>
          <w:b/>
          <w:color w:val="2B6CB0"/>
          <w:sz w:val="20"/>
        </w:rPr>
        <w:t>Tabel 3.2: Hasil Perhitungan Bobot Subjektif AHP (Ws) dan Uji Konsistensi</w:t>
      </w:r>
    </w:p>
    <w:tbl>
      <w:tblPr>
        <w:tblW w:type="auto" w:w="0"/>
        <w:jc w:val="center"/>
        <w:tblLook w:firstColumn="1" w:firstRow="1" w:lastColumn="0" w:lastRow="0" w:noHBand="0" w:noVBand="1" w:val="04A0"/>
        <w:tblBorders>
          <w:top w:val="single" w:sz="6" w:space="0" w:color="2B6CB0"/>
          <w:bottom w:val="single" w:sz="6" w:space="0" w:color="2B6CB0"/>
          <w:insideH w:val="single" w:sz="4" w:space="0" w:color="CBD5E1"/>
          <w:insideV w:val="none"/>
          <w:left w:val="none"/>
          <w:right w:val="none"/>
        </w:tblBorders>
      </w:tblPr>
      <w:tblGrid>
        <w:gridCol w:w="1587"/>
        <w:gridCol w:w="1587"/>
        <w:gridCol w:w="1587"/>
        <w:gridCol w:w="1587"/>
        <w:gridCol w:w="1587"/>
      </w:tblGrid>
      <w:tr>
        <w:tc>
          <w:tcPr>
            <w:tcW w:type="dxa" w:w="2551"/>
            <w:shd w:fill="1A365D"/>
            <w:tcMar>
              <w:top w:w="120" w:type="dxa"/>
              <w:bottom w:w="120" w:type="dxa"/>
              <w:left w:w="140" w:type="dxa"/>
              <w:right w:w="140" w:type="dxa"/>
            </w:tcMar>
          </w:tcPr>
          <w:p>
            <w:pPr>
              <w:spacing w:after="0"/>
              <w:jc w:val="center"/>
            </w:pPr>
            <w:r>
              <w:rPr>
                <w:rFonts w:ascii="Times New Roman" w:hAnsi="Times New Roman"/>
                <w:b/>
                <w:color w:val="FFFFFF"/>
                <w:sz w:val="20"/>
              </w:rPr>
              <w:t>Atribut Masalah</w:t>
            </w:r>
          </w:p>
        </w:tc>
        <w:tc>
          <w:tcPr>
            <w:tcW w:type="dxa" w:w="1587"/>
            <w:shd w:fill="1A365D"/>
            <w:tcMar>
              <w:top w:w="120" w:type="dxa"/>
              <w:bottom w:w="120" w:type="dxa"/>
              <w:left w:w="140" w:type="dxa"/>
              <w:right w:w="140" w:type="dxa"/>
            </w:tcMar>
          </w:tcPr>
          <w:p>
            <w:pPr>
              <w:spacing w:after="0"/>
              <w:jc w:val="center"/>
            </w:pPr>
            <w:r>
              <w:rPr>
                <w:rFonts w:ascii="Times New Roman" w:hAnsi="Times New Roman"/>
                <w:b/>
                <w:color w:val="FFFFFF"/>
                <w:sz w:val="20"/>
              </w:rPr>
              <w:t>Rata-rata Geometrik</w:t>
            </w:r>
          </w:p>
        </w:tc>
        <w:tc>
          <w:tcPr>
            <w:tcW w:type="dxa" w:w="1417"/>
            <w:shd w:fill="1A365D"/>
            <w:tcMar>
              <w:top w:w="120" w:type="dxa"/>
              <w:bottom w:w="120" w:type="dxa"/>
              <w:left w:w="140" w:type="dxa"/>
              <w:right w:w="140" w:type="dxa"/>
            </w:tcMar>
          </w:tcPr>
          <w:p>
            <w:pPr>
              <w:spacing w:after="0"/>
              <w:jc w:val="center"/>
            </w:pPr>
            <w:r>
              <w:rPr>
                <w:rFonts w:ascii="Times New Roman" w:hAnsi="Times New Roman"/>
                <w:b/>
                <w:color w:val="FFFFFF"/>
                <w:sz w:val="20"/>
              </w:rPr>
              <w:t>Bobot Subjektif (Ws)</w:t>
            </w:r>
          </w:p>
        </w:tc>
        <w:tc>
          <w:tcPr>
            <w:tcW w:type="dxa" w:w="1247"/>
            <w:shd w:fill="1A365D"/>
            <w:tcMar>
              <w:top w:w="120" w:type="dxa"/>
              <w:bottom w:w="120" w:type="dxa"/>
              <w:left w:w="140" w:type="dxa"/>
              <w:right w:w="140" w:type="dxa"/>
            </w:tcMar>
          </w:tcPr>
          <w:p>
            <w:pPr>
              <w:spacing w:after="0"/>
              <w:jc w:val="center"/>
            </w:pPr>
            <w:r>
              <w:rPr>
                <w:rFonts w:ascii="Times New Roman" w:hAnsi="Times New Roman"/>
                <w:b/>
                <w:color w:val="FFFFFF"/>
                <w:sz w:val="20"/>
              </w:rPr>
              <w:t>Persentase (%)</w:t>
            </w:r>
          </w:p>
        </w:tc>
        <w:tc>
          <w:tcPr>
            <w:tcW w:type="dxa" w:w="1984"/>
            <w:shd w:fill="1A365D"/>
            <w:tcMar>
              <w:top w:w="120" w:type="dxa"/>
              <w:bottom w:w="120" w:type="dxa"/>
              <w:left w:w="140" w:type="dxa"/>
              <w:right w:w="140" w:type="dxa"/>
            </w:tcMar>
          </w:tcPr>
          <w:p>
            <w:pPr>
              <w:spacing w:after="0"/>
              <w:jc w:val="center"/>
            </w:pPr>
            <w:r>
              <w:rPr>
                <w:rFonts w:ascii="Times New Roman" w:hAnsi="Times New Roman"/>
                <w:b/>
                <w:color w:val="FFFFFF"/>
                <w:sz w:val="20"/>
              </w:rPr>
              <w:t>Keterangan Evaluasi</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luas_ruangan_m2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0.5732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0.0730</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7.30 %</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Prioritas Menengah-Bawah</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ketebalan_dinding_cm</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0.3732</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0.0475</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4.75 %</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Prioritas Terendah</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luas_dinding_m2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1.3150</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0.1675</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16.75 %</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Faktor Geometri ASTM E336</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intensitas_suara_awal_db</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1.7761</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0.2262</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22.62 %</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Prioritas Kedua Terpenting</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target_suara_db</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0.8879</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0.1131</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11.31 %</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Prioritas Ambang Batas</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delta_db</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2.9275</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0.3727</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37.27 %</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Prioritas Utama Perancangan</w:t>
            </w:r>
          </w:p>
        </w:tc>
      </w:tr>
    </w:tbl>
    <w:p>
      <w:pPr>
        <w:spacing w:before="0" w:after="120" w:line="360" w:lineRule="auto"/>
        <w:jc w:val="both"/>
      </w:pPr>
      <w:r>
        <w:rPr>
          <w:rFonts w:ascii="Times New Roman" w:hAnsi="Times New Roman"/>
          <w:b w:val="0"/>
          <w:i w:val="0"/>
          <w:color w:val="222222"/>
          <w:sz w:val="23"/>
        </w:rPr>
        <w:t>Dari hasil komputasi matriks perkalian (J * Ws) / Ws, diperoleh lambda_max = 6.1587. Indeks Konsistensi dihitung sebagai CI = (6.1587 - 6) / 5 = 0.0317. Dengan nilai Random Index untuk ordo m=6 sebesar RI = 1.26, diperoleh Rasio Konsistensi (Consistency Ratio):</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CR = \frac{CI}{RI} = \frac{0.0317}{1.26} = 0.0252 &lt; 0.10 \quad (\mathbf{KONSISTEN})</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(3.1)</w:t>
            </w:r>
          </w:p>
        </w:tc>
      </w:tr>
    </w:tbl>
    <w:p>
      <w:pPr>
        <w:spacing w:after="60"/>
      </w:pPr>
    </w:p>
    <w:p>
      <w:pPr>
        <w:spacing w:before="0" w:after="120" w:line="360" w:lineRule="auto"/>
        <w:jc w:val="both"/>
      </w:pPr>
      <w:r>
        <w:rPr>
          <w:rFonts w:ascii="Times New Roman" w:hAnsi="Times New Roman"/>
          <w:b w:val="0"/>
          <w:i w:val="0"/>
          <w:color w:val="222222"/>
          <w:sz w:val="23"/>
        </w:rPr>
        <w:t>Karena nilai CR = 0.0252 jauh berada di bawah ambang batas kritis 0.10, preferensi pakar akustik terbukti secara matematis sangat konsisten dan sahih.</w:t>
      </w:r>
    </w:p>
    <w:p>
      <w:pPr>
        <w:keepNext/>
        <w:spacing w:before="200" w:after="40"/>
      </w:pPr>
      <w:r>
        <w:rPr>
          <w:rFonts w:ascii="Times New Roman" w:hAnsi="Times New Roman"/>
          <w:b/>
          <w:i/>
          <w:color w:val="222222"/>
          <w:sz w:val="22"/>
        </w:rPr>
        <w:t>3.2.2 Kalkulasi Entropi Data (Wo) &amp; Optimasi Bobot Hibrida (Wh)</w:t>
      </w:r>
    </w:p>
    <w:p>
      <w:pPr>
        <w:spacing w:before="0" w:after="120" w:line="360" w:lineRule="auto"/>
        <w:jc w:val="both"/>
      </w:pPr>
      <w:r>
        <w:rPr>
          <w:rFonts w:ascii="Times New Roman" w:hAnsi="Times New Roman"/>
          <w:b w:val="0"/>
          <w:i w:val="0"/>
          <w:color w:val="222222"/>
          <w:sz w:val="23"/>
        </w:rPr>
        <w:t>Tahap berikutnya adalah mengevaluasi sifat dispersi data historis dari 225 kasus pada peredam_suara_clean.csv. Matriks fitur dinormalisasi Min-Max, kemudian nilai entropi informasi e_oj, derajat divergensi g_j = 1 - e_oj, dan bobot objektif W_o dihitung berdasarkan Persamaan (2.4)–(2.6) (Tabel 3.3).</w:t>
      </w:r>
    </w:p>
    <w:p>
      <w:pPr>
        <w:spacing w:before="160" w:after="60"/>
        <w:jc w:val="center"/>
      </w:pPr>
      <w:r>
        <w:rPr>
          <w:rFonts w:ascii="Times New Roman" w:hAnsi="Times New Roman"/>
          <w:b/>
          <w:color w:val="2B6CB0"/>
          <w:sz w:val="20"/>
        </w:rPr>
        <w:t>Tabel 3.3: Nilai Entropi Data (e_oj), Divergensi (g_j), dan Bobot Objektif (Wo)</w:t>
      </w:r>
    </w:p>
    <w:tbl>
      <w:tblPr>
        <w:tblW w:type="auto" w:w="0"/>
        <w:jc w:val="center"/>
        <w:tblLook w:firstColumn="1" w:firstRow="1" w:lastColumn="0" w:lastRow="0" w:noHBand="0" w:noVBand="1" w:val="04A0"/>
        <w:tblBorders>
          <w:top w:val="single" w:sz="6" w:space="0" w:color="2B6CB0"/>
          <w:bottom w:val="single" w:sz="6" w:space="0" w:color="2B6CB0"/>
          <w:insideH w:val="single" w:sz="4" w:space="0" w:color="CBD5E1"/>
          <w:insideV w:val="none"/>
          <w:left w:val="none"/>
          <w:right w:val="none"/>
        </w:tblBorders>
      </w:tblPr>
      <w:tblGrid>
        <w:gridCol w:w="1587"/>
        <w:gridCol w:w="1587"/>
        <w:gridCol w:w="1587"/>
        <w:gridCol w:w="1587"/>
        <w:gridCol w:w="1587"/>
      </w:tblGrid>
      <w:tr>
        <w:tc>
          <w:tcPr>
            <w:tcW w:type="dxa" w:w="2551"/>
            <w:shd w:fill="1A365D"/>
            <w:tcMar>
              <w:top w:w="120" w:type="dxa"/>
              <w:bottom w:w="120" w:type="dxa"/>
              <w:left w:w="140" w:type="dxa"/>
              <w:right w:w="140" w:type="dxa"/>
            </w:tcMar>
          </w:tcPr>
          <w:p>
            <w:pPr>
              <w:spacing w:after="0"/>
              <w:jc w:val="center"/>
            </w:pPr>
            <w:r>
              <w:rPr>
                <w:rFonts w:ascii="Times New Roman" w:hAnsi="Times New Roman"/>
                <w:b/>
                <w:color w:val="FFFFFF"/>
                <w:sz w:val="20"/>
              </w:rPr>
              <w:t>Atribut Masalah</w:t>
            </w:r>
          </w:p>
        </w:tc>
        <w:tc>
          <w:tcPr>
            <w:tcW w:type="dxa" w:w="1587"/>
            <w:shd w:fill="1A365D"/>
            <w:tcMar>
              <w:top w:w="120" w:type="dxa"/>
              <w:bottom w:w="120" w:type="dxa"/>
              <w:left w:w="140" w:type="dxa"/>
              <w:right w:w="140" w:type="dxa"/>
            </w:tcMar>
          </w:tcPr>
          <w:p>
            <w:pPr>
              <w:spacing w:after="0"/>
              <w:jc w:val="center"/>
            </w:pPr>
            <w:r>
              <w:rPr>
                <w:rFonts w:ascii="Times New Roman" w:hAnsi="Times New Roman"/>
                <w:b/>
                <w:color w:val="FFFFFF"/>
                <w:sz w:val="20"/>
              </w:rPr>
              <w:t>Entropi Info (e_oj)</w:t>
            </w:r>
          </w:p>
        </w:tc>
        <w:tc>
          <w:tcPr>
            <w:tcW w:type="dxa" w:w="1587"/>
            <w:shd w:fill="1A365D"/>
            <w:tcMar>
              <w:top w:w="120" w:type="dxa"/>
              <w:bottom w:w="120" w:type="dxa"/>
              <w:left w:w="140" w:type="dxa"/>
              <w:right w:w="140" w:type="dxa"/>
            </w:tcMar>
          </w:tcPr>
          <w:p>
            <w:pPr>
              <w:spacing w:after="0"/>
              <w:jc w:val="center"/>
            </w:pPr>
            <w:r>
              <w:rPr>
                <w:rFonts w:ascii="Times New Roman" w:hAnsi="Times New Roman"/>
                <w:b/>
                <w:color w:val="FFFFFF"/>
                <w:sz w:val="20"/>
              </w:rPr>
              <w:t>Divergensi (g_j)</w:t>
            </w:r>
          </w:p>
        </w:tc>
        <w:tc>
          <w:tcPr>
            <w:tcW w:type="dxa" w:w="1587"/>
            <w:shd w:fill="1A365D"/>
            <w:tcMar>
              <w:top w:w="120" w:type="dxa"/>
              <w:bottom w:w="120" w:type="dxa"/>
              <w:left w:w="140" w:type="dxa"/>
              <w:right w:w="140" w:type="dxa"/>
            </w:tcMar>
          </w:tcPr>
          <w:p>
            <w:pPr>
              <w:spacing w:after="0"/>
              <w:jc w:val="center"/>
            </w:pPr>
            <w:r>
              <w:rPr>
                <w:rFonts w:ascii="Times New Roman" w:hAnsi="Times New Roman"/>
                <w:b/>
                <w:color w:val="FFFFFF"/>
                <w:sz w:val="20"/>
              </w:rPr>
              <w:t>Bobot Objektif (Wo)</w:t>
            </w:r>
          </w:p>
        </w:tc>
        <w:tc>
          <w:tcPr>
            <w:tcW w:type="dxa" w:w="1417"/>
            <w:shd w:fill="1A365D"/>
            <w:tcMar>
              <w:top w:w="120" w:type="dxa"/>
              <w:bottom w:w="120" w:type="dxa"/>
              <w:left w:w="140" w:type="dxa"/>
              <w:right w:w="140" w:type="dxa"/>
            </w:tcMar>
          </w:tcPr>
          <w:p>
            <w:pPr>
              <w:spacing w:after="0"/>
              <w:jc w:val="center"/>
            </w:pPr>
            <w:r>
              <w:rPr>
                <w:rFonts w:ascii="Times New Roman" w:hAnsi="Times New Roman"/>
                <w:b/>
                <w:color w:val="FFFFFF"/>
                <w:sz w:val="20"/>
              </w:rPr>
              <w:t>Persentase (%)</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luas_ruangan_m2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0.9412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0.0588</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0.2219</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22.19 %</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ketebalan_dinding_cm</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0.9452</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0.0548</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0.2069</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20.69 %</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luas_dinding_m2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0.9605</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0.0395</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0.1491</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14.91 %</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intensitas_suara_awal_db</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0.9637</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0.0363</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0.1368</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13.68 %</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target_suara_db</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0.9588</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0.0412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0.1553</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15.53 %</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delta_db</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0.9656</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0.0344</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0.1299</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12.99 %</w:t>
            </w:r>
          </w:p>
        </w:tc>
      </w:tr>
    </w:tbl>
    <w:p>
      <w:pPr>
        <w:spacing w:before="0" w:after="120" w:line="360" w:lineRule="auto"/>
        <w:jc w:val="both"/>
      </w:pPr>
      <w:r>
        <w:rPr>
          <w:rFonts w:ascii="Times New Roman" w:hAnsi="Times New Roman"/>
          <w:b w:val="0"/>
          <w:i w:val="0"/>
          <w:color w:val="222222"/>
          <w:sz w:val="23"/>
        </w:rPr>
        <w:t>Terlihat perbedaan pola yang sangat tajam: AHP menempatkan delta_db pada urutan bobot tertinggi (37.27%), sedangkan Entropi menempatkan delta_db pada urutan terendah (12.99%) karena sebaran nilai delta_db pada dataset cenderung terkonsentrasi di rentang 35–55 dB. Sebaliknya, luas_ruangan_m2 dan ketebalan_dinding_cm memiliki variabilitas nilai yang sangat tinggi dalam data riil sehingga memperoleh bobot objektif tinggi (22.19% dan 20.69%).</w:t>
      </w:r>
    </w:p>
    <w:p>
      <w:pPr>
        <w:spacing w:before="0" w:after="120" w:line="360" w:lineRule="auto"/>
        <w:jc w:val="both"/>
      </w:pPr>
      <w:r>
        <w:rPr>
          <w:rFonts w:ascii="Times New Roman" w:hAnsi="Times New Roman"/>
          <w:b w:val="0"/>
          <w:i w:val="0"/>
          <w:color w:val="222222"/>
          <w:sz w:val="23"/>
        </w:rPr>
        <w:t>Melalui optimasi non-linear SLSQP terhadap fungsi objektif deviasi kuadrat (Persamaan 2.7), sistem menghasilkan vektor Bobot Hibrida Teroptimasi Wh yang menjembatani kedua perspektif tersebut secara sempurna:</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W_h = [0.1475, \; 0.1272, \; 0.1583, \; 0.1815, \; 0.1342, \; 0.2513]^T</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(3.2)</w:t>
            </w:r>
          </w:p>
        </w:tc>
      </w:tr>
    </w:tbl>
    <w:p>
      <w:pPr>
        <w:spacing w:after="60"/>
      </w:pPr>
    </w:p>
    <w:p>
      <w:pPr>
        <w:keepNext/>
        <w:spacing w:before="280" w:after="80"/>
      </w:pPr>
      <w:r>
        <w:rPr>
          <w:rFonts w:ascii="Times New Roman" w:hAnsi="Times New Roman"/>
          <w:b/>
          <w:color w:val="2B6CB0"/>
          <w:sz w:val="24"/>
        </w:rPr>
        <w:t>3.3 Implementasi Adaptasi CAHWM &amp; Integrasi Fisika Akustik</w:t>
      </w:r>
    </w:p>
    <w:p>
      <w:pPr>
        <w:spacing w:before="0" w:after="120" w:line="360" w:lineRule="auto"/>
        <w:jc w:val="both"/>
      </w:pPr>
      <w:r>
        <w:rPr>
          <w:rFonts w:ascii="Times New Roman" w:hAnsi="Times New Roman"/>
          <w:b w:val="0"/>
          <w:i w:val="0"/>
          <w:color w:val="222222"/>
          <w:sz w:val="23"/>
        </w:rPr>
        <w:t>Setelah bobot Wh terbentuk, sistem menerima vektor masalah pengguna baru P0 dan menghitung skor kemiripan global total_similarity terhadap seluruh kasus dalam basis pengetahuan. Rumusan kemiripan menggabungkan 80% jarak fitur numerik terbobot Wh dan 20% pencocokan fitur kategorikal (jenis dinding eksisting dan sumber suara):</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insideV w:val="none"/>
          <w:left w:val="none"/>
          <w:right w:val="none"/>
        </w:tblBorders>
      </w:tblPr>
      <w:tblGrid>
        <w:gridCol w:w="3968"/>
        <w:gridCol w:w="3968"/>
      </w:tblGrid>
      <w:tr>
        <w:tc>
          <w:tcPr>
            <w:tcW w:type="dxa" w:w="7087"/>
            <w:tcMar>
              <w:top w:w="80" w:type="dxa"/>
              <w:bottom w:w="80" w:type="dxa"/>
              <w:left w:w="120" w:type="dxa"/>
              <w:right w:w="120" w:type="dxa"/>
            </w:tcMar>
            <w:shd w:fill="F8FAFC"/>
          </w:tcPr>
          <w:p>
            <w:pPr>
              <w:spacing w:after="0"/>
              <w:jc w:val="center"/>
            </w:pPr>
            <w:r>
              <w:rPr>
                <w:rFonts w:ascii="Times New Roman" w:hAnsi="Times New Roman"/>
                <w:b/>
                <w:i/>
                <w:color w:val="1A365D"/>
                <w:sz w:val="22"/>
              </w:rPr>
              <w:t>\text{Sim}_{\text{total}} = 0.80 \left( 1 - \sum_{j=1}^6 W_{hj} |V_{norm, j} - P_{0, norm, j}| \right) + 0.10 \cdot \text{Sim}_{\text{dinding}} + 0.10 \cdot \text{Sim}_{\text{sumber}}</w:t>
            </w:r>
          </w:p>
        </w:tc>
        <w:tc>
          <w:tcPr>
            <w:tcW w:type="dxa" w:w="850"/>
            <w:tcMar>
              <w:top w:w="80" w:type="dxa"/>
              <w:bottom w:w="80" w:type="dxa"/>
              <w:left w:w="60" w:type="dxa"/>
              <w:right w:w="60" w:type="dxa"/>
            </w:tcMar>
            <w:shd w:fill="F8FAFC"/>
          </w:tcPr>
          <w:p>
            <w:pPr>
              <w:spacing w:after="0"/>
              <w:jc w:val="right"/>
            </w:pPr>
            <w:r>
              <w:rPr>
                <w:rFonts w:ascii="Times New Roman" w:hAnsi="Times New Roman"/>
                <w:b/>
                <w:color w:val="64748B"/>
                <w:sz w:val="21"/>
              </w:rPr>
              <w:t>(3.3)</w:t>
            </w:r>
          </w:p>
        </w:tc>
      </w:tr>
    </w:tbl>
    <w:p>
      <w:pPr>
        <w:spacing w:after="60"/>
      </w:pPr>
    </w:p>
    <w:p>
      <w:pPr>
        <w:spacing w:before="0" w:after="120" w:line="360" w:lineRule="auto"/>
        <w:jc w:val="both"/>
      </w:pPr>
      <w:r>
        <w:rPr>
          <w:rFonts w:ascii="Times New Roman" w:hAnsi="Times New Roman"/>
          <w:b w:val="0"/>
          <w:i w:val="0"/>
          <w:color w:val="222222"/>
          <w:sz w:val="23"/>
        </w:rPr>
        <w:t>Sebanyak K=10 kasus teratas dengan skor kemiripan tertinggi diekstraksi ke dalam himpunan kandidat. Selanjutnya, mesin inferensi cbr_engine.py mengeksekusi tahapan CAHWM:</w:t>
      </w:r>
    </w:p>
    <w:p>
      <w:pPr>
        <w:pStyle w:val="ListBullet"/>
        <w:spacing w:before="0" w:after="60" w:line="312" w:lineRule="auto"/>
        <w:jc w:val="both"/>
      </w:pPr>
      <w:r>
        <w:rPr>
          <w:rFonts w:ascii="Times New Roman" w:hAnsi="Times New Roman"/>
          <w:b/>
          <w:color w:val="222222"/>
          <w:sz w:val="22"/>
        </w:rPr>
        <w:t xml:space="preserve">1. </w:t>
      </w:r>
      <w:r>
        <w:rPr>
          <w:rFonts w:ascii="Times New Roman" w:hAnsi="Times New Roman"/>
          <w:color w:val="222222"/>
          <w:sz w:val="22"/>
        </w:rPr>
        <w:t>Konstruksi Matriks Kemiripan S (10 x 6): Menormalisasi nilai fitur numerik masalah dari 10 kandidat kasus.</w:t>
      </w:r>
    </w:p>
    <w:p>
      <w:pPr>
        <w:pStyle w:val="ListBullet"/>
        <w:spacing w:before="0" w:after="60" w:line="312" w:lineRule="auto"/>
        <w:jc w:val="both"/>
      </w:pPr>
      <w:r>
        <w:rPr>
          <w:rFonts w:ascii="Times New Roman" w:hAnsi="Times New Roman"/>
          <w:b/>
          <w:color w:val="222222"/>
          <w:sz w:val="22"/>
        </w:rPr>
        <w:t xml:space="preserve">2. </w:t>
      </w:r>
      <w:r>
        <w:rPr>
          <w:rFonts w:ascii="Times New Roman" w:hAnsi="Times New Roman"/>
          <w:color w:val="222222"/>
          <w:sz w:val="22"/>
        </w:rPr>
        <w:t>Kalkulasi Vektor Utilitas Ternormalisasi \hat{U} (10 x 1): Dihitung melalui perkalian dot matriks S terhadap Wh dan dinormalisasi terhadap total utilitas kasus.</w:t>
      </w:r>
    </w:p>
    <w:p>
      <w:pPr>
        <w:pStyle w:val="ListBullet"/>
        <w:spacing w:before="0" w:after="60" w:line="312" w:lineRule="auto"/>
        <w:jc w:val="both"/>
      </w:pPr>
      <w:r>
        <w:rPr>
          <w:rFonts w:ascii="Times New Roman" w:hAnsi="Times New Roman"/>
          <w:b/>
          <w:color w:val="222222"/>
          <w:sz w:val="22"/>
        </w:rPr>
        <w:t xml:space="preserve">3. </w:t>
      </w:r>
      <w:r>
        <w:rPr>
          <w:rFonts w:ascii="Times New Roman" w:hAnsi="Times New Roman"/>
          <w:color w:val="222222"/>
          <w:sz w:val="22"/>
        </w:rPr>
        <w:t>Kalkulasi Matriks Relasi Grey R (6 x 4): Menghitung koefisien kedekatan geometris antara 6 atribut masalah dan 4 atribut solusi numerik (ketebalan_peredam_mm, estimasi_noise_reduction_db, estimasi_suara_di_luar_db, estimasi_biaya_rp) berbobot \hat{U}.</w:t>
      </w:r>
    </w:p>
    <w:p>
      <w:pPr>
        <w:pStyle w:val="ListBullet"/>
        <w:spacing w:before="0" w:after="60" w:line="312" w:lineRule="auto"/>
        <w:jc w:val="both"/>
      </w:pPr>
      <w:r>
        <w:rPr>
          <w:rFonts w:ascii="Times New Roman" w:hAnsi="Times New Roman"/>
          <w:b/>
          <w:color w:val="222222"/>
          <w:sz w:val="22"/>
        </w:rPr>
        <w:t xml:space="preserve">4. </w:t>
      </w:r>
      <w:r>
        <w:rPr>
          <w:rFonts w:ascii="Times New Roman" w:hAnsi="Times New Roman"/>
          <w:color w:val="222222"/>
          <w:sz w:val="22"/>
        </w:rPr>
        <w:t>Evaluasi Matriks Adaptabilitas A (10 x 4): Menganalisis kendala dimensi. Kasus kandidat yang memiliki ketebalan peredam &gt; 75 mm pada ruangan sempit (&lt; 25 m²) dikenai penalti 0.85, sedangkan kandidat yang nilai estimasi reduksinya lebih kecil dari kebutuhan delta_db pengguna dikenai penalti 0.90.</w:t>
      </w:r>
    </w:p>
    <w:p>
      <w:pPr>
        <w:pStyle w:val="ListBullet"/>
        <w:spacing w:before="0" w:after="60" w:line="312" w:lineRule="auto"/>
        <w:jc w:val="both"/>
      </w:pPr>
      <w:r>
        <w:rPr>
          <w:rFonts w:ascii="Times New Roman" w:hAnsi="Times New Roman"/>
          <w:b/>
          <w:color w:val="222222"/>
          <w:sz w:val="22"/>
        </w:rPr>
        <w:t xml:space="preserve">5. </w:t>
      </w:r>
      <w:r>
        <w:rPr>
          <w:rFonts w:ascii="Times New Roman" w:hAnsi="Times New Roman"/>
          <w:color w:val="222222"/>
          <w:sz w:val="22"/>
        </w:rPr>
        <w:t>Pembentukan Matriks HWM (10 x 4): Menghitung WM = (S * R) hadamard A, dilanjutkan normalisasi kolom untuk menghasilkan matriks bobot adaptasi final.</w:t>
      </w:r>
    </w:p>
    <w:p>
      <w:pPr>
        <w:pStyle w:val="ListBullet"/>
        <w:spacing w:before="0" w:after="60" w:line="312" w:lineRule="auto"/>
        <w:jc w:val="both"/>
      </w:pPr>
      <w:r>
        <w:rPr>
          <w:rFonts w:ascii="Times New Roman" w:hAnsi="Times New Roman"/>
          <w:b/>
          <w:color w:val="222222"/>
          <w:sz w:val="22"/>
        </w:rPr>
        <w:t xml:space="preserve">6. </w:t>
      </w:r>
      <w:r>
        <w:rPr>
          <w:rFonts w:ascii="Times New Roman" w:hAnsi="Times New Roman"/>
          <w:color w:val="222222"/>
          <w:sz w:val="22"/>
        </w:rPr>
        <w:t>Sintesis Solusi Numerik &amp; Kategorikal: Menghitung solusi numerik kontinu melalui perkalian dot HWM terhadap nilai solusi riil kasus, serta memilih material dan sistem pemasangan melalui weighted majority voting.</w:t>
      </w:r>
    </w:p>
    <w:p>
      <w:pPr>
        <w:pStyle w:val="ListBullet"/>
        <w:spacing w:before="0" w:after="60" w:line="312" w:lineRule="auto"/>
        <w:jc w:val="both"/>
      </w:pPr>
      <w:r>
        <w:rPr>
          <w:rFonts w:ascii="Times New Roman" w:hAnsi="Times New Roman"/>
          <w:b/>
          <w:color w:val="222222"/>
          <w:sz w:val="22"/>
        </w:rPr>
        <w:t xml:space="preserve">7. </w:t>
      </w:r>
      <w:r>
        <w:rPr>
          <w:rFonts w:ascii="Times New Roman" w:hAnsi="Times New Roman"/>
          <w:color w:val="222222"/>
          <w:sz w:val="22"/>
        </w:rPr>
        <w:t>Penegakan Aturan Flanking Transmission &amp; ASTM E336: Memverifikasi apakah delta_db &gt; 25 dB untuk meng-override metode pemasangan langsung menjadi partisi ber-rongga udara (air gap 5 cm + gypsum 12 mm). Menghitung estimasi absorpsi Sabine A = 0.20 * Volume + 5.0, menghitung koreksi geometri 10 log10(S/A), dan mereduksi daya redam material TL menjadi NR aktual lapangan.</w:t>
      </w:r>
    </w:p>
    <w:p>
      <w:r>
        <w:br w:type="page"/>
      </w:r>
    </w:p>
    <w:p>
      <w:pPr>
        <w:keepNext/>
        <w:spacing w:before="360" w:after="120"/>
      </w:pPr>
      <w:r>
        <w:rPr>
          <w:rFonts w:ascii="Times New Roman" w:hAnsi="Times New Roman"/>
          <w:b/>
          <w:color w:val="1A365D"/>
          <w:sz w:val="26"/>
        </w:rPr>
        <w:t>BAB IV: HASIL DAN PEMBAHASAN</w:t>
      </w:r>
    </w:p>
    <w:p>
      <w:pPr>
        <w:keepNext/>
        <w:spacing w:before="280" w:after="80"/>
      </w:pPr>
      <w:r>
        <w:rPr>
          <w:rFonts w:ascii="Times New Roman" w:hAnsi="Times New Roman"/>
          <w:b/>
          <w:color w:val="2B6CB0"/>
          <w:sz w:val="24"/>
        </w:rPr>
        <w:t>4.1 Analisis Hasil Pembobotan Hibrida (AHP vs Entropi vs Hibrida)</w:t>
      </w:r>
    </w:p>
    <w:p>
      <w:pPr>
        <w:spacing w:before="0" w:after="120" w:line="360" w:lineRule="auto"/>
        <w:jc w:val="both"/>
      </w:pPr>
      <w:r>
        <w:rPr>
          <w:rFonts w:ascii="Times New Roman" w:hAnsi="Times New Roman"/>
          <w:b w:val="0"/>
          <w:i w:val="0"/>
          <w:color w:val="222222"/>
          <w:sz w:val="23"/>
        </w:rPr>
        <w:t>Salah satu kontribusi ilmiah paling signifikan dalam penelitian ini adalah demonstrasi keunggulan pembobotan kombinasi CRNHW dalam mengatasi ketimpangan ekstrim antara persepsi subjektif manusia dan distribusi objektif data. Tabel 4.1 menyajikan komparasi komprehensif antara Bobot Subjektif AHP (Ws), Bobot Objektif Shannon Entropy (Wo), dan Bobot Hibrida Teroptimasi (Wh) pada keenam atribut masalah.</w:t>
      </w:r>
    </w:p>
    <w:p>
      <w:pPr>
        <w:spacing w:before="160" w:after="60"/>
        <w:jc w:val="center"/>
      </w:pPr>
      <w:r>
        <w:rPr>
          <w:rFonts w:ascii="Times New Roman" w:hAnsi="Times New Roman"/>
          <w:b/>
          <w:color w:val="2B6CB0"/>
          <w:sz w:val="20"/>
        </w:rPr>
        <w:t>Tabel 4.1: Komparasi Lengkap Bobot Subjektif (Ws), Objektif (Wo), dan Hibrida (Wh)</w:t>
      </w:r>
    </w:p>
    <w:tbl>
      <w:tblPr>
        <w:tblW w:type="auto" w:w="0"/>
        <w:jc w:val="center"/>
        <w:tblLook w:firstColumn="1" w:firstRow="1" w:lastColumn="0" w:lastRow="0" w:noHBand="0" w:noVBand="1" w:val="04A0"/>
        <w:tblBorders>
          <w:top w:val="single" w:sz="6" w:space="0" w:color="2B6CB0"/>
          <w:bottom w:val="single" w:sz="6" w:space="0" w:color="2B6CB0"/>
          <w:insideH w:val="single" w:sz="4" w:space="0" w:color="CBD5E1"/>
          <w:insideV w:val="none"/>
          <w:left w:val="none"/>
          <w:right w:val="none"/>
        </w:tblBorders>
      </w:tblPr>
      <w:tblGrid>
        <w:gridCol w:w="1323"/>
        <w:gridCol w:w="1323"/>
        <w:gridCol w:w="1323"/>
        <w:gridCol w:w="1323"/>
        <w:gridCol w:w="1323"/>
        <w:gridCol w:w="1323"/>
      </w:tblGrid>
      <w:tr>
        <w:tc>
          <w:tcPr>
            <w:tcW w:type="dxa" w:w="2154"/>
            <w:shd w:fill="1A365D"/>
            <w:tcMar>
              <w:top w:w="120" w:type="dxa"/>
              <w:bottom w:w="120" w:type="dxa"/>
              <w:left w:w="140" w:type="dxa"/>
              <w:right w:w="140" w:type="dxa"/>
            </w:tcMar>
          </w:tcPr>
          <w:p>
            <w:pPr>
              <w:spacing w:after="0"/>
              <w:jc w:val="center"/>
            </w:pPr>
            <w:r>
              <w:rPr>
                <w:rFonts w:ascii="Times New Roman" w:hAnsi="Times New Roman"/>
                <w:b/>
                <w:color w:val="FFFFFF"/>
                <w:sz w:val="20"/>
              </w:rPr>
              <w:t>Atribut Masalah (Fitur P)</w:t>
            </w:r>
          </w:p>
        </w:tc>
        <w:tc>
          <w:tcPr>
            <w:tcW w:type="dxa" w:w="1361"/>
            <w:shd w:fill="1A365D"/>
            <w:tcMar>
              <w:top w:w="120" w:type="dxa"/>
              <w:bottom w:w="120" w:type="dxa"/>
              <w:left w:w="140" w:type="dxa"/>
              <w:right w:w="140" w:type="dxa"/>
            </w:tcMar>
          </w:tcPr>
          <w:p>
            <w:pPr>
              <w:spacing w:after="0"/>
              <w:jc w:val="center"/>
            </w:pPr>
            <w:r>
              <w:rPr>
                <w:rFonts w:ascii="Times New Roman" w:hAnsi="Times New Roman"/>
                <w:b/>
                <w:color w:val="FFFFFF"/>
                <w:sz w:val="20"/>
              </w:rPr>
              <w:t>AHP (Ws)</w:t>
            </w:r>
          </w:p>
        </w:tc>
        <w:tc>
          <w:tcPr>
            <w:tcW w:type="dxa" w:w="1361"/>
            <w:shd w:fill="1A365D"/>
            <w:tcMar>
              <w:top w:w="120" w:type="dxa"/>
              <w:bottom w:w="120" w:type="dxa"/>
              <w:left w:w="140" w:type="dxa"/>
              <w:right w:w="140" w:type="dxa"/>
            </w:tcMar>
          </w:tcPr>
          <w:p>
            <w:pPr>
              <w:spacing w:after="0"/>
              <w:jc w:val="center"/>
            </w:pPr>
            <w:r>
              <w:rPr>
                <w:rFonts w:ascii="Times New Roman" w:hAnsi="Times New Roman"/>
                <w:b/>
                <w:color w:val="FFFFFF"/>
                <w:sz w:val="20"/>
              </w:rPr>
              <w:t>Entropi (Wo)</w:t>
            </w:r>
          </w:p>
        </w:tc>
        <w:tc>
          <w:tcPr>
            <w:tcW w:type="dxa" w:w="1361"/>
            <w:shd w:fill="1A365D"/>
            <w:tcMar>
              <w:top w:w="120" w:type="dxa"/>
              <w:bottom w:w="120" w:type="dxa"/>
              <w:left w:w="140" w:type="dxa"/>
              <w:right w:w="140" w:type="dxa"/>
            </w:tcMar>
          </w:tcPr>
          <w:p>
            <w:pPr>
              <w:spacing w:after="0"/>
              <w:jc w:val="center"/>
            </w:pPr>
            <w:r>
              <w:rPr>
                <w:rFonts w:ascii="Times New Roman" w:hAnsi="Times New Roman"/>
                <w:b/>
                <w:color w:val="FFFFFF"/>
                <w:sz w:val="20"/>
              </w:rPr>
              <w:t>Hibrida (Wh)</w:t>
            </w:r>
          </w:p>
        </w:tc>
        <w:tc>
          <w:tcPr>
            <w:tcW w:type="dxa" w:w="1134"/>
            <w:shd w:fill="1A365D"/>
            <w:tcMar>
              <w:top w:w="120" w:type="dxa"/>
              <w:bottom w:w="120" w:type="dxa"/>
              <w:left w:w="140" w:type="dxa"/>
              <w:right w:w="140" w:type="dxa"/>
            </w:tcMar>
          </w:tcPr>
          <w:p>
            <w:pPr>
              <w:spacing w:after="0"/>
              <w:jc w:val="center"/>
            </w:pPr>
            <w:r>
              <w:rPr>
                <w:rFonts w:ascii="Times New Roman" w:hAnsi="Times New Roman"/>
                <w:b/>
                <w:color w:val="FFFFFF"/>
                <w:sz w:val="20"/>
              </w:rPr>
              <w:t>Selisih |Wh-Ws|</w:t>
            </w:r>
          </w:p>
        </w:tc>
        <w:tc>
          <w:tcPr>
            <w:tcW w:type="dxa" w:w="1417"/>
            <w:shd w:fill="1A365D"/>
            <w:tcMar>
              <w:top w:w="120" w:type="dxa"/>
              <w:bottom w:w="120" w:type="dxa"/>
              <w:left w:w="140" w:type="dxa"/>
              <w:right w:w="140" w:type="dxa"/>
            </w:tcMar>
          </w:tcPr>
          <w:p>
            <w:pPr>
              <w:spacing w:after="0"/>
              <w:jc w:val="center"/>
            </w:pPr>
            <w:r>
              <w:rPr>
                <w:rFonts w:ascii="Times New Roman" w:hAnsi="Times New Roman"/>
                <w:b/>
                <w:color w:val="FFFFFF"/>
                <w:sz w:val="20"/>
              </w:rPr>
              <w:t>Peran Fungsional</w:t>
            </w:r>
          </w:p>
        </w:tc>
      </w:tr>
      <w:tr>
        <w:tc>
          <w:tcPr>
            <w:tcW w:type="dxa" w:w="1323"/>
            <w:shd w:fill="FFFFFF"/>
            <w:tcMar>
              <w:top w:w="100" w:type="dxa"/>
              <w:bottom w:w="100" w:type="dxa"/>
              <w:left w:w="140" w:type="dxa"/>
              <w:right w:w="140" w:type="dxa"/>
            </w:tcMar>
          </w:tcPr>
          <w:p>
            <w:pPr>
              <w:spacing w:after="0"/>
              <w:jc w:val="left"/>
            </w:pPr>
            <w:r>
              <w:rPr>
                <w:rFonts w:ascii="Times New Roman" w:hAnsi="Times New Roman"/>
                <w:color w:val="222222"/>
                <w:sz w:val="19"/>
              </w:rPr>
              <w:t>luas_ruangan_m2</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0.0730 (7.30%)</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0.2219 (22.19%)</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0.1475 (14.75%)</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+ 7.45 %</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Menentukan volume &amp; absorpsi A</w:t>
            </w:r>
          </w:p>
        </w:tc>
      </w:tr>
      <w:tr>
        <w:tc>
          <w:tcPr>
            <w:tcW w:type="dxa" w:w="1323"/>
            <w:shd w:fill="F8FAFC"/>
            <w:tcMar>
              <w:top w:w="100" w:type="dxa"/>
              <w:bottom w:w="100" w:type="dxa"/>
              <w:left w:w="140" w:type="dxa"/>
              <w:right w:w="140" w:type="dxa"/>
            </w:tcMar>
          </w:tcPr>
          <w:p>
            <w:pPr>
              <w:spacing w:after="0"/>
              <w:jc w:val="left"/>
            </w:pPr>
            <w:r>
              <w:rPr>
                <w:rFonts w:ascii="Times New Roman" w:hAnsi="Times New Roman"/>
                <w:color w:val="222222"/>
                <w:sz w:val="19"/>
              </w:rPr>
              <w:t>ketebalan_dinding_cm</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0.0475 (4.75%)</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0.2069 (20.69%)</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0.1272 (12.72%)</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+ 7.97 %</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Massa partisi dasar eksisting</w:t>
            </w:r>
          </w:p>
        </w:tc>
      </w:tr>
      <w:tr>
        <w:tc>
          <w:tcPr>
            <w:tcW w:type="dxa" w:w="1323"/>
            <w:shd w:fill="FFFFFF"/>
            <w:tcMar>
              <w:top w:w="100" w:type="dxa"/>
              <w:bottom w:w="100" w:type="dxa"/>
              <w:left w:w="140" w:type="dxa"/>
              <w:right w:w="140" w:type="dxa"/>
            </w:tcMar>
          </w:tcPr>
          <w:p>
            <w:pPr>
              <w:spacing w:after="0"/>
              <w:jc w:val="left"/>
            </w:pPr>
            <w:r>
              <w:rPr>
                <w:rFonts w:ascii="Times New Roman" w:hAnsi="Times New Roman"/>
                <w:color w:val="222222"/>
                <w:sz w:val="19"/>
              </w:rPr>
              <w:t>luas_dinding_m2</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0.1675 (16.75%)</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0.1491 (14.91%)</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0.1583 (15.83%)</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- 0.92 %</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Bidang radiasi akustik (S)</w:t>
            </w:r>
          </w:p>
        </w:tc>
      </w:tr>
      <w:tr>
        <w:tc>
          <w:tcPr>
            <w:tcW w:type="dxa" w:w="1323"/>
            <w:shd w:fill="F8FAFC"/>
            <w:tcMar>
              <w:top w:w="100" w:type="dxa"/>
              <w:bottom w:w="100" w:type="dxa"/>
              <w:left w:w="140" w:type="dxa"/>
              <w:right w:w="140" w:type="dxa"/>
            </w:tcMar>
          </w:tcPr>
          <w:p>
            <w:pPr>
              <w:spacing w:after="0"/>
              <w:jc w:val="left"/>
            </w:pPr>
            <w:r>
              <w:rPr>
                <w:rFonts w:ascii="Times New Roman" w:hAnsi="Times New Roman"/>
                <w:color w:val="222222"/>
                <w:sz w:val="19"/>
              </w:rPr>
              <w:t>intensitas_suara_awal_db</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0.2262 (22.62%)</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0.1368 (13.68%)</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0.1815 (18.15%)</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- 4.47 %</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Beban energi akustik sumber</w:t>
            </w:r>
          </w:p>
        </w:tc>
      </w:tr>
      <w:tr>
        <w:tc>
          <w:tcPr>
            <w:tcW w:type="dxa" w:w="1323"/>
            <w:shd w:fill="FFFFFF"/>
            <w:tcMar>
              <w:top w:w="100" w:type="dxa"/>
              <w:bottom w:w="100" w:type="dxa"/>
              <w:left w:w="140" w:type="dxa"/>
              <w:right w:w="140" w:type="dxa"/>
            </w:tcMar>
          </w:tcPr>
          <w:p>
            <w:pPr>
              <w:spacing w:after="0"/>
              <w:jc w:val="left"/>
            </w:pPr>
            <w:r>
              <w:rPr>
                <w:rFonts w:ascii="Times New Roman" w:hAnsi="Times New Roman"/>
                <w:color w:val="222222"/>
                <w:sz w:val="19"/>
              </w:rPr>
              <w:t>target_suara_db</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0.1131 (11.31%)</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0.1553 (15.53%)</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0.1342 (13.42%)</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+ 2.11 %</w:t>
            </w:r>
          </w:p>
        </w:tc>
        <w:tc>
          <w:tcPr>
            <w:tcW w:type="dxa" w:w="1323"/>
            <w:shd w:fill="FFFFFF"/>
            <w:tcMar>
              <w:top w:w="100" w:type="dxa"/>
              <w:bottom w:w="100" w:type="dxa"/>
              <w:left w:w="140" w:type="dxa"/>
              <w:right w:w="140" w:type="dxa"/>
            </w:tcMar>
          </w:tcPr>
          <w:p>
            <w:pPr>
              <w:spacing w:after="0"/>
              <w:jc w:val="center"/>
            </w:pPr>
            <w:r>
              <w:rPr>
                <w:rFonts w:ascii="Times New Roman" w:hAnsi="Times New Roman"/>
                <w:color w:val="222222"/>
                <w:sz w:val="19"/>
              </w:rPr>
              <w:t>Kriteria ambang batas penerima</w:t>
            </w:r>
          </w:p>
        </w:tc>
      </w:tr>
      <w:tr>
        <w:tc>
          <w:tcPr>
            <w:tcW w:type="dxa" w:w="1323"/>
            <w:shd w:fill="F8FAFC"/>
            <w:tcMar>
              <w:top w:w="100" w:type="dxa"/>
              <w:bottom w:w="100" w:type="dxa"/>
              <w:left w:w="140" w:type="dxa"/>
              <w:right w:w="140" w:type="dxa"/>
            </w:tcMar>
          </w:tcPr>
          <w:p>
            <w:pPr>
              <w:spacing w:after="0"/>
              <w:jc w:val="left"/>
            </w:pPr>
            <w:r>
              <w:rPr>
                <w:rFonts w:ascii="Times New Roman" w:hAnsi="Times New Roman"/>
                <w:color w:val="222222"/>
                <w:sz w:val="19"/>
              </w:rPr>
              <w:t>delta_db</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0.3727 (37.27%)</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0.1299 (12.99%)</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0.2513 (25.13%)</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- 12.14 %</w:t>
            </w:r>
          </w:p>
        </w:tc>
        <w:tc>
          <w:tcPr>
            <w:tcW w:type="dxa" w:w="1323"/>
            <w:shd w:fill="F8FAFC"/>
            <w:tcMar>
              <w:top w:w="100" w:type="dxa"/>
              <w:bottom w:w="100" w:type="dxa"/>
              <w:left w:w="140" w:type="dxa"/>
              <w:right w:w="140" w:type="dxa"/>
            </w:tcMar>
          </w:tcPr>
          <w:p>
            <w:pPr>
              <w:spacing w:after="0"/>
              <w:jc w:val="center"/>
            </w:pPr>
            <w:r>
              <w:rPr>
                <w:rFonts w:ascii="Times New Roman" w:hAnsi="Times New Roman"/>
                <w:color w:val="222222"/>
                <w:sz w:val="19"/>
              </w:rPr>
              <w:t>Target performa utama sistem</w:t>
            </w:r>
          </w:p>
        </w:tc>
      </w:tr>
    </w:tbl>
    <w:p>
      <w:pPr>
        <w:spacing w:before="0" w:after="120" w:line="360" w:lineRule="auto"/>
        <w:jc w:val="both"/>
      </w:pPr>
      <w:r>
        <w:rPr>
          <w:rFonts w:ascii="Times New Roman" w:hAnsi="Times New Roman"/>
          <w:b w:val="0"/>
          <w:i w:val="0"/>
          <w:color w:val="222222"/>
          <w:sz w:val="23"/>
        </w:rPr>
        <w:t>Berdasarkan hasil optimasi di atas, terlihat secara gamblang bahwa atribut delta_db (25.13%) dan intensitas_suara_awal_db (18.15%) mendominasi hasil pembobotan hibrida, diikuti secara seimbang oleh luas_dinding_m2 (15.83%), luas_ruangan_m2 (14.75%), target_suara_db (13.42%), dan ketebalan_dinding_cm (12.72%).</w:t>
      </w:r>
    </w:p>
    <w:p>
      <w:pPr>
        <w:spacing w:before="0" w:after="120" w:line="360" w:lineRule="auto"/>
        <w:jc w:val="both"/>
      </w:pPr>
      <w:r>
        <w:rPr>
          <w:rFonts w:ascii="Times New Roman" w:hAnsi="Times New Roman"/>
          <w:b w:val="0"/>
          <w:i w:val="0"/>
          <w:color w:val="222222"/>
          <w:sz w:val="23"/>
        </w:rPr>
        <w:t>Mengapa delta_db dan intensitas suara awal mendominasi hasil pembobotan hibrida? Secara epistemologis dalam perancangan akustik bangunan, delta_db merepresentasikan selisih daya redam neto yang wajib dicapai oleh spesifikasi partisi baru. Pakar akustik secara konsisten memberikan nilai preferensi tertinggi pada delta_db (Ws = 37.27%) karena ketidaktepatan peredaman pada atribut ini berakibat langsung pada kegagalan fungsi ruang (misalnya studio rekaman menjadi tidak kedap suara). Di sisi lain, metode entropi memberikan pembobotan objektif sebesar 12.99% karena dispersi data historis delta_db berada pada rentang tertentu. Formulasi optimasi SLSQP berhasil mencegah fenomena 'over-weighting' subjektif (menurunkan bobot ekstrim dari 37.27% menjadi 25.13%) sekaligus mengangkat bobot atribut geometris fisik bangunan (seperti luas ruangan dan tebal dinding) dari nilai yang awalnya terlalu diremehkan oleh pakar (dari 4.75% naik menjadi 12.72%). Dengan demikian, vektor Wh mampu merefleksikan kebutuhan perancangan fisik secara jauh lebih seimbang dan robust.</w:t>
      </w:r>
    </w:p>
    <w:p>
      <w:pPr>
        <w:keepNext/>
        <w:spacing w:before="280" w:after="80"/>
      </w:pPr>
      <w:r>
        <w:rPr>
          <w:rFonts w:ascii="Times New Roman" w:hAnsi="Times New Roman"/>
          <w:b/>
          <w:color w:val="2B6CB0"/>
          <w:sz w:val="24"/>
        </w:rPr>
        <w:t>4.2 Analisis Tahap Penambangan Pengetahuan Implisit (SURA)</w:t>
      </w:r>
    </w:p>
    <w:p>
      <w:pPr>
        <w:spacing w:before="0" w:after="120" w:line="360" w:lineRule="auto"/>
        <w:jc w:val="both"/>
      </w:pPr>
      <w:r>
        <w:rPr>
          <w:rFonts w:ascii="Times New Roman" w:hAnsi="Times New Roman"/>
          <w:b w:val="0"/>
          <w:i w:val="0"/>
          <w:color w:val="222222"/>
          <w:sz w:val="23"/>
        </w:rPr>
        <w:t>Pada tahap adaptasi kasus, sistem mengekstrak relasi laten antara ruang masalah dan ruang solusi melalui matriks relasi abu-abu R (Tabel 4.2). Nilai koefisien R_ij mencerminkan elastisitas pengaruh atribut masalah ke-i terhadap atribut solusi ke-j.</w:t>
      </w:r>
    </w:p>
    <w:p>
      <w:pPr>
        <w:spacing w:before="160" w:after="60"/>
        <w:jc w:val="center"/>
      </w:pPr>
      <w:r>
        <w:rPr>
          <w:rFonts w:ascii="Times New Roman" w:hAnsi="Times New Roman"/>
          <w:b/>
          <w:color w:val="2B6CB0"/>
          <w:sz w:val="20"/>
        </w:rPr>
        <w:t>Tabel 4.2: Matriks Korelasi Abu-Abu (Grey Relational Analysis Matrix R 6x4)</w:t>
      </w:r>
    </w:p>
    <w:tbl>
      <w:tblPr>
        <w:tblW w:type="auto" w:w="0"/>
        <w:jc w:val="center"/>
        <w:tblLook w:firstColumn="1" w:firstRow="1" w:lastColumn="0" w:lastRow="0" w:noHBand="0" w:noVBand="1" w:val="04A0"/>
        <w:tblBorders>
          <w:top w:val="single" w:sz="6" w:space="0" w:color="2B6CB0"/>
          <w:bottom w:val="single" w:sz="6" w:space="0" w:color="2B6CB0"/>
          <w:insideH w:val="single" w:sz="4" w:space="0" w:color="CBD5E1"/>
          <w:insideV w:val="none"/>
          <w:left w:val="none"/>
          <w:right w:val="none"/>
        </w:tblBorders>
      </w:tblPr>
      <w:tblGrid>
        <w:gridCol w:w="1587"/>
        <w:gridCol w:w="1587"/>
        <w:gridCol w:w="1587"/>
        <w:gridCol w:w="1587"/>
        <w:gridCol w:w="1587"/>
      </w:tblGrid>
      <w:tr>
        <w:tc>
          <w:tcPr>
            <w:tcW w:type="dxa" w:w="2551"/>
            <w:shd w:fill="1A365D"/>
            <w:tcMar>
              <w:top w:w="120" w:type="dxa"/>
              <w:bottom w:w="120" w:type="dxa"/>
              <w:left w:w="140" w:type="dxa"/>
              <w:right w:w="140" w:type="dxa"/>
            </w:tcMar>
          </w:tcPr>
          <w:p>
            <w:pPr>
              <w:spacing w:after="0"/>
              <w:jc w:val="center"/>
            </w:pPr>
            <w:r>
              <w:rPr>
                <w:rFonts w:ascii="Times New Roman" w:hAnsi="Times New Roman"/>
                <w:b/>
                <w:color w:val="FFFFFF"/>
                <w:sz w:val="20"/>
              </w:rPr>
              <w:t>Atribut Masalah (i)</w:t>
            </w:r>
          </w:p>
        </w:tc>
        <w:tc>
          <w:tcPr>
            <w:tcW w:type="dxa" w:w="1531"/>
            <w:shd w:fill="1A365D"/>
            <w:tcMar>
              <w:top w:w="120" w:type="dxa"/>
              <w:bottom w:w="120" w:type="dxa"/>
              <w:left w:w="140" w:type="dxa"/>
              <w:right w:w="140" w:type="dxa"/>
            </w:tcMar>
          </w:tcPr>
          <w:p>
            <w:pPr>
              <w:spacing w:after="0"/>
              <w:jc w:val="center"/>
            </w:pPr>
            <w:r>
              <w:rPr>
                <w:rFonts w:ascii="Times New Roman" w:hAnsi="Times New Roman"/>
                <w:b/>
                <w:color w:val="FFFFFF"/>
                <w:sz w:val="20"/>
              </w:rPr>
              <w:t>Tebal Peredam (mm)</w:t>
            </w:r>
          </w:p>
        </w:tc>
        <w:tc>
          <w:tcPr>
            <w:tcW w:type="dxa" w:w="1531"/>
            <w:shd w:fill="1A365D"/>
            <w:tcMar>
              <w:top w:w="120" w:type="dxa"/>
              <w:bottom w:w="120" w:type="dxa"/>
              <w:left w:w="140" w:type="dxa"/>
              <w:right w:w="140" w:type="dxa"/>
            </w:tcMar>
          </w:tcPr>
          <w:p>
            <w:pPr>
              <w:spacing w:after="0"/>
              <w:jc w:val="center"/>
            </w:pPr>
            <w:r>
              <w:rPr>
                <w:rFonts w:ascii="Times New Roman" w:hAnsi="Times New Roman"/>
                <w:b/>
                <w:color w:val="FFFFFF"/>
                <w:sz w:val="20"/>
              </w:rPr>
              <w:t>Estimasi NR (dB)</w:t>
            </w:r>
          </w:p>
        </w:tc>
        <w:tc>
          <w:tcPr>
            <w:tcW w:type="dxa" w:w="1531"/>
            <w:shd w:fill="1A365D"/>
            <w:tcMar>
              <w:top w:w="120" w:type="dxa"/>
              <w:bottom w:w="120" w:type="dxa"/>
              <w:left w:w="140" w:type="dxa"/>
              <w:right w:w="140" w:type="dxa"/>
            </w:tcMar>
          </w:tcPr>
          <w:p>
            <w:pPr>
              <w:spacing w:after="0"/>
              <w:jc w:val="center"/>
            </w:pPr>
            <w:r>
              <w:rPr>
                <w:rFonts w:ascii="Times New Roman" w:hAnsi="Times New Roman"/>
                <w:b/>
                <w:color w:val="FFFFFF"/>
                <w:sz w:val="20"/>
              </w:rPr>
              <w:t>Suara di Luar (dB)</w:t>
            </w:r>
          </w:p>
        </w:tc>
        <w:tc>
          <w:tcPr>
            <w:tcW w:type="dxa" w:w="1531"/>
            <w:shd w:fill="1A365D"/>
            <w:tcMar>
              <w:top w:w="120" w:type="dxa"/>
              <w:bottom w:w="120" w:type="dxa"/>
              <w:left w:w="140" w:type="dxa"/>
              <w:right w:w="140" w:type="dxa"/>
            </w:tcMar>
          </w:tcPr>
          <w:p>
            <w:pPr>
              <w:spacing w:after="0"/>
              <w:jc w:val="center"/>
            </w:pPr>
            <w:r>
              <w:rPr>
                <w:rFonts w:ascii="Times New Roman" w:hAnsi="Times New Roman"/>
                <w:b/>
                <w:color w:val="FFFFFF"/>
                <w:sz w:val="20"/>
              </w:rPr>
              <w:t>Estimasi Biaya (Rp)</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luas_ruangan_m2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0.5117</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0.5135</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0.4612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0.5811</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ketebalan_dinding_cm</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0.6381</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0.5689</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0.5378</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0.4586</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luas_dinding_m2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0.5096</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0.5255</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0.5285</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0.6382</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intensitas_suara_awal_db</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0.5377</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0.5377</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0.5377</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0.6337</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target_suara_db</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0.5243</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0.5537</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0.5924</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0.6688</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delta_db</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0.4905</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0.5948</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0.5584</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0.5339</w:t>
            </w:r>
          </w:p>
        </w:tc>
      </w:tr>
    </w:tbl>
    <w:p>
      <w:pPr>
        <w:spacing w:before="0" w:after="120" w:line="360" w:lineRule="auto"/>
        <w:jc w:val="both"/>
      </w:pPr>
      <w:r>
        <w:rPr>
          <w:rFonts w:ascii="Times New Roman" w:hAnsi="Times New Roman"/>
          <w:b w:val="0"/>
          <w:i w:val="0"/>
          <w:color w:val="222222"/>
          <w:sz w:val="23"/>
        </w:rPr>
        <w:t>Analisis terhadap Matriks R mengungkap fakta-fakta teknis menarik yang sebelumnya tersembunyi (implicit knowledge):</w:t>
      </w:r>
    </w:p>
    <w:p>
      <w:pPr>
        <w:pStyle w:val="ListBullet"/>
        <w:spacing w:before="0" w:after="60" w:line="312" w:lineRule="auto"/>
        <w:jc w:val="both"/>
      </w:pPr>
      <w:r>
        <w:rPr>
          <w:rFonts w:ascii="Times New Roman" w:hAnsi="Times New Roman"/>
          <w:b/>
          <w:color w:val="222222"/>
          <w:sz w:val="22"/>
        </w:rPr>
        <w:t xml:space="preserve">1. </w:t>
      </w:r>
      <w:r>
        <w:rPr>
          <w:rFonts w:ascii="Times New Roman" w:hAnsi="Times New Roman"/>
          <w:color w:val="222222"/>
          <w:sz w:val="22"/>
        </w:rPr>
        <w:t>Korelasi tertinggi terhadap ketebalan_peredam_mm dipegang oleh ketebalan_dinding_cm (0.6381). Hal ini menunjukkan pola implisit bahwa pada bangunan dengan dinding eksisting yang relatif tipis (seperti Hebel 10 cm), perancang akustik masa lalu secara konsisten mengompensasi insulasi massa dinding dengan menambah ketebalan material peredam.</w:t>
      </w:r>
    </w:p>
    <w:p>
      <w:pPr>
        <w:pStyle w:val="ListBullet"/>
        <w:spacing w:before="0" w:after="60" w:line="312" w:lineRule="auto"/>
        <w:jc w:val="both"/>
      </w:pPr>
      <w:r>
        <w:rPr>
          <w:rFonts w:ascii="Times New Roman" w:hAnsi="Times New Roman"/>
          <w:b/>
          <w:color w:val="222222"/>
          <w:sz w:val="22"/>
        </w:rPr>
        <w:t xml:space="preserve">2. </w:t>
      </w:r>
      <w:r>
        <w:rPr>
          <w:rFonts w:ascii="Times New Roman" w:hAnsi="Times New Roman"/>
          <w:color w:val="222222"/>
          <w:sz w:val="22"/>
        </w:rPr>
        <w:t>Korelasi tertinggi terhadap estimasi_noise_reduction_db dipegang oleh delta_db (0.5948). Pola ini membuktikan bahwa adaptasi kemampuan reduksi material berbanding lurus terhadap tuntutan selisih kebisingan pengguna.</w:t>
      </w:r>
    </w:p>
    <w:p>
      <w:pPr>
        <w:pStyle w:val="ListBullet"/>
        <w:spacing w:before="0" w:after="60" w:line="312" w:lineRule="auto"/>
        <w:jc w:val="both"/>
      </w:pPr>
      <w:r>
        <w:rPr>
          <w:rFonts w:ascii="Times New Roman" w:hAnsi="Times New Roman"/>
          <w:b/>
          <w:color w:val="222222"/>
          <w:sz w:val="22"/>
        </w:rPr>
        <w:t xml:space="preserve">3. </w:t>
      </w:r>
      <w:r>
        <w:rPr>
          <w:rFonts w:ascii="Times New Roman" w:hAnsi="Times New Roman"/>
          <w:color w:val="222222"/>
          <w:sz w:val="22"/>
        </w:rPr>
        <w:t>Korelasi tertinggi terhadap estimasi_biaya_rp dipegang oleh target_suara_db (0.6688) dan luas_dinding_m2 (0.6382). Fakta ini merefleksikan bahwa semakin ketat target kebisingan yang ingin dicapai (misalnya studio rekaman dengan target 30 dB) dan semakin luas bidang partisi yang harus ditutup, biaya investasi peredaman akan melonjak secara non-linear.</w:t>
      </w:r>
    </w:p>
    <w:p>
      <w:pPr>
        <w:spacing w:before="0" w:after="120" w:line="360" w:lineRule="auto"/>
        <w:jc w:val="both"/>
      </w:pPr>
      <w:r>
        <w:rPr>
          <w:rFonts w:ascii="Times New Roman" w:hAnsi="Times New Roman"/>
          <w:b w:val="0"/>
          <w:i w:val="0"/>
          <w:color w:val="222222"/>
          <w:sz w:val="23"/>
        </w:rPr>
        <w:t>Setelah diintegrasikan dengan Matriks Adaptabilitas A yang membawa penalti kendala teknis, sistem menghasilkan Matriks Bobot Hibrida Ternormalisasi (HWM 10 x 4) sebagaimana ditunjukkan pada Tabel 4.3. Terlihat bahwa Kasus Kandidat 9 dan 10 memberikan kontribusi adaptasi tertinggi (bobot HWM masing-masing mencapai 14.2% dan 19.5%) karena memiliki kesesuaian kendala fisik yang paling superior.</w:t>
      </w:r>
    </w:p>
    <w:p>
      <w:pPr>
        <w:spacing w:before="160" w:after="60"/>
        <w:jc w:val="center"/>
      </w:pPr>
      <w:r>
        <w:rPr>
          <w:rFonts w:ascii="Times New Roman" w:hAnsi="Times New Roman"/>
          <w:b/>
          <w:color w:val="2B6CB0"/>
          <w:sz w:val="20"/>
        </w:rPr>
        <w:t>Tabel 4.3: Matriks Bobot Hibrida Ternormalisasi (HWM 10x4) dari Top-10 Kasus</w:t>
      </w:r>
    </w:p>
    <w:tbl>
      <w:tblPr>
        <w:tblW w:type="auto" w:w="0"/>
        <w:jc w:val="center"/>
        <w:tblLook w:firstColumn="1" w:firstRow="1" w:lastColumn="0" w:lastRow="0" w:noHBand="0" w:noVBand="1" w:val="04A0"/>
        <w:tblBorders>
          <w:top w:val="single" w:sz="6" w:space="0" w:color="2B6CB0"/>
          <w:bottom w:val="single" w:sz="6" w:space="0" w:color="2B6CB0"/>
          <w:insideH w:val="single" w:sz="4" w:space="0" w:color="CBD5E1"/>
          <w:insideV w:val="none"/>
          <w:left w:val="none"/>
          <w:right w:val="none"/>
        </w:tblBorders>
      </w:tblPr>
      <w:tblGrid>
        <w:gridCol w:w="1587"/>
        <w:gridCol w:w="1587"/>
        <w:gridCol w:w="1587"/>
        <w:gridCol w:w="1587"/>
        <w:gridCol w:w="1587"/>
      </w:tblGrid>
      <w:tr>
        <w:tc>
          <w:tcPr>
            <w:tcW w:type="dxa" w:w="1984"/>
            <w:shd w:fill="1A365D"/>
            <w:tcMar>
              <w:top w:w="120" w:type="dxa"/>
              <w:bottom w:w="120" w:type="dxa"/>
              <w:left w:w="140" w:type="dxa"/>
              <w:right w:w="140" w:type="dxa"/>
            </w:tcMar>
          </w:tcPr>
          <w:p>
            <w:pPr>
              <w:spacing w:after="0"/>
              <w:jc w:val="center"/>
            </w:pPr>
            <w:r>
              <w:rPr>
                <w:rFonts w:ascii="Times New Roman" w:hAnsi="Times New Roman"/>
                <w:b/>
                <w:color w:val="FFFFFF"/>
                <w:sz w:val="20"/>
              </w:rPr>
              <w:t>Kandidat Kasus (k)</w:t>
            </w:r>
          </w:p>
        </w:tc>
        <w:tc>
          <w:tcPr>
            <w:tcW w:type="dxa" w:w="1644"/>
            <w:shd w:fill="1A365D"/>
            <w:tcMar>
              <w:top w:w="120" w:type="dxa"/>
              <w:bottom w:w="120" w:type="dxa"/>
              <w:left w:w="140" w:type="dxa"/>
              <w:right w:w="140" w:type="dxa"/>
            </w:tcMar>
          </w:tcPr>
          <w:p>
            <w:pPr>
              <w:spacing w:after="0"/>
              <w:jc w:val="center"/>
            </w:pPr>
            <w:r>
              <w:rPr>
                <w:rFonts w:ascii="Times New Roman" w:hAnsi="Times New Roman"/>
                <w:b/>
                <w:color w:val="FFFFFF"/>
                <w:sz w:val="20"/>
              </w:rPr>
              <w:t>Bobot Tebal (w1)</w:t>
            </w:r>
          </w:p>
        </w:tc>
        <w:tc>
          <w:tcPr>
            <w:tcW w:type="dxa" w:w="1644"/>
            <w:shd w:fill="1A365D"/>
            <w:tcMar>
              <w:top w:w="120" w:type="dxa"/>
              <w:bottom w:w="120" w:type="dxa"/>
              <w:left w:w="140" w:type="dxa"/>
              <w:right w:w="140" w:type="dxa"/>
            </w:tcMar>
          </w:tcPr>
          <w:p>
            <w:pPr>
              <w:spacing w:after="0"/>
              <w:jc w:val="center"/>
            </w:pPr>
            <w:r>
              <w:rPr>
                <w:rFonts w:ascii="Times New Roman" w:hAnsi="Times New Roman"/>
                <w:b/>
                <w:color w:val="FFFFFF"/>
                <w:sz w:val="20"/>
              </w:rPr>
              <w:t>Bobot NR (w2)</w:t>
            </w:r>
          </w:p>
        </w:tc>
        <w:tc>
          <w:tcPr>
            <w:tcW w:type="dxa" w:w="1644"/>
            <w:shd w:fill="1A365D"/>
            <w:tcMar>
              <w:top w:w="120" w:type="dxa"/>
              <w:bottom w:w="120" w:type="dxa"/>
              <w:left w:w="140" w:type="dxa"/>
              <w:right w:w="140" w:type="dxa"/>
            </w:tcMar>
          </w:tcPr>
          <w:p>
            <w:pPr>
              <w:spacing w:after="0"/>
              <w:jc w:val="center"/>
            </w:pPr>
            <w:r>
              <w:rPr>
                <w:rFonts w:ascii="Times New Roman" w:hAnsi="Times New Roman"/>
                <w:b/>
                <w:color w:val="FFFFFF"/>
                <w:sz w:val="20"/>
              </w:rPr>
              <w:t>Bobot Suara Luar (w3)</w:t>
            </w:r>
          </w:p>
        </w:tc>
        <w:tc>
          <w:tcPr>
            <w:tcW w:type="dxa" w:w="1644"/>
            <w:shd w:fill="1A365D"/>
            <w:tcMar>
              <w:top w:w="120" w:type="dxa"/>
              <w:bottom w:w="120" w:type="dxa"/>
              <w:left w:w="140" w:type="dxa"/>
              <w:right w:w="140" w:type="dxa"/>
            </w:tcMar>
          </w:tcPr>
          <w:p>
            <w:pPr>
              <w:spacing w:after="0"/>
              <w:jc w:val="center"/>
            </w:pPr>
            <w:r>
              <w:rPr>
                <w:rFonts w:ascii="Times New Roman" w:hAnsi="Times New Roman"/>
                <w:b/>
                <w:color w:val="FFFFFF"/>
                <w:sz w:val="20"/>
              </w:rPr>
              <w:t>Bobot Biaya (w4)</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Kandidat 1 (ID 136)</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0.0609 (6.09%)</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0.0610 (6.10%)</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0.0619 (6.19%)</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0.0682 (6.82%)</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Kandidat 2 (ID 166)</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0.1085 (10.85%)</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0.1076 (10.76%)</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0.1085 (10.85%)</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0.1065 (10.65%)</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Kandidat 3 (ID 96)</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0.0384 (3.84%)</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0.0401 (4.01%)</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0.0399 (3.99%)</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0.0373 (3.73%)</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Kandidat 4 (ID 68)</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0.1009 (10.09%)</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0.1032 (10.32%)</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0.1001 (10.01%)</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0.1039 (10.39%)</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Kandidat 5 (ID 172)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0.0667 (6.67%)</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0.0660 (6.60%)</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0.0653 (6.53%)</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0.0612 (6.12%)</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Kandidat 6 (ID 177)</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0.1042 (10.42%)</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0.1032 (10.32%)</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0.1053 (10.53%)</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0.1076 (10.76%)</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Kandidat 7 (ID 108)</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0.1099 (10.99%)</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0.1102 (11.02%)</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0.1125 (11.25%)</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0.1132 (11.32%)</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Kandidat 8 (ID 148)</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0.0734 (7.34%)</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0.0751 (7.51%)</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0.0756 (7.56%)</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0.0759 (7.59%)</w:t>
            </w:r>
          </w:p>
        </w:tc>
      </w:tr>
      <w:tr>
        <w:tc>
          <w:tcPr>
            <w:tcW w:type="dxa" w:w="1587"/>
            <w:shd w:fill="FFFFFF"/>
            <w:tcMar>
              <w:top w:w="100" w:type="dxa"/>
              <w:bottom w:w="100" w:type="dxa"/>
              <w:left w:w="140" w:type="dxa"/>
              <w:right w:w="140" w:type="dxa"/>
            </w:tcMar>
          </w:tcPr>
          <w:p>
            <w:pPr>
              <w:spacing w:after="0"/>
              <w:jc w:val="left"/>
            </w:pPr>
            <w:r>
              <w:rPr>
                <w:rFonts w:ascii="Times New Roman" w:hAnsi="Times New Roman"/>
                <w:color w:val="222222"/>
                <w:sz w:val="19"/>
              </w:rPr>
              <w:t>Kandidat 9 (ID 37)</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0.1420 (14.20%)</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0.1415 (14.15%)</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0.1404 (14.04%)</w:t>
            </w:r>
          </w:p>
        </w:tc>
        <w:tc>
          <w:tcPr>
            <w:tcW w:type="dxa" w:w="1587"/>
            <w:shd w:fill="FFFFFF"/>
            <w:tcMar>
              <w:top w:w="100" w:type="dxa"/>
              <w:bottom w:w="100" w:type="dxa"/>
              <w:left w:w="140" w:type="dxa"/>
              <w:right w:w="140" w:type="dxa"/>
            </w:tcMar>
          </w:tcPr>
          <w:p>
            <w:pPr>
              <w:spacing w:after="0"/>
              <w:jc w:val="center"/>
            </w:pPr>
            <w:r>
              <w:rPr>
                <w:rFonts w:ascii="Times New Roman" w:hAnsi="Times New Roman"/>
                <w:color w:val="222222"/>
                <w:sz w:val="19"/>
              </w:rPr>
              <w:t>0.1333 (13.33%)</w:t>
            </w:r>
          </w:p>
        </w:tc>
      </w:tr>
      <w:tr>
        <w:tc>
          <w:tcPr>
            <w:tcW w:type="dxa" w:w="1587"/>
            <w:shd w:fill="F8FAFC"/>
            <w:tcMar>
              <w:top w:w="100" w:type="dxa"/>
              <w:bottom w:w="100" w:type="dxa"/>
              <w:left w:w="140" w:type="dxa"/>
              <w:right w:w="140" w:type="dxa"/>
            </w:tcMar>
          </w:tcPr>
          <w:p>
            <w:pPr>
              <w:spacing w:after="0"/>
              <w:jc w:val="left"/>
            </w:pPr>
            <w:r>
              <w:rPr>
                <w:rFonts w:ascii="Times New Roman" w:hAnsi="Times New Roman"/>
                <w:color w:val="222222"/>
                <w:sz w:val="19"/>
              </w:rPr>
              <w:t>Kandidat 10 (ID 168)</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0.1951 (19.51%)</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0.1920 (19.20%)</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0.1905 (19.05%)</w:t>
            </w:r>
          </w:p>
        </w:tc>
        <w:tc>
          <w:tcPr>
            <w:tcW w:type="dxa" w:w="1587"/>
            <w:shd w:fill="F8FAFC"/>
            <w:tcMar>
              <w:top w:w="100" w:type="dxa"/>
              <w:bottom w:w="100" w:type="dxa"/>
              <w:left w:w="140" w:type="dxa"/>
              <w:right w:w="140" w:type="dxa"/>
            </w:tcMar>
          </w:tcPr>
          <w:p>
            <w:pPr>
              <w:spacing w:after="0"/>
              <w:jc w:val="center"/>
            </w:pPr>
            <w:r>
              <w:rPr>
                <w:rFonts w:ascii="Times New Roman" w:hAnsi="Times New Roman"/>
                <w:color w:val="222222"/>
                <w:sz w:val="19"/>
              </w:rPr>
              <w:t>0.1929 (19.29%)</w:t>
            </w:r>
          </w:p>
        </w:tc>
      </w:tr>
    </w:tbl>
    <w:p>
      <w:pPr>
        <w:keepNext/>
        <w:spacing w:before="280" w:after="80"/>
      </w:pPr>
      <w:r>
        <w:rPr>
          <w:rFonts w:ascii="Times New Roman" w:hAnsi="Times New Roman"/>
          <w:b/>
          <w:color w:val="2B6CB0"/>
          <w:sz w:val="24"/>
        </w:rPr>
        <w:t>4.3 Evaluasi Uji Coba Rekomendasi Solusi Akhir (Studi Kasus Utama)</w:t>
      </w:r>
    </w:p>
    <w:p>
      <w:pPr>
        <w:spacing w:before="0" w:after="120" w:line="360" w:lineRule="auto"/>
        <w:jc w:val="both"/>
      </w:pPr>
      <w:r>
        <w:rPr>
          <w:rFonts w:ascii="Times New Roman" w:hAnsi="Times New Roman"/>
          <w:b w:val="0"/>
          <w:i w:val="0"/>
          <w:color w:val="222222"/>
          <w:sz w:val="23"/>
        </w:rPr>
        <w:t>Untuk menguji keandalan sistem pakar secara riil, dilakukan simulasi perancangan menggunakan profil kasus pengguna baru (Studi Kasus Studio Latihan Musik):</w:t>
      </w:r>
    </w:p>
    <w:p>
      <w:pPr>
        <w:pStyle w:val="ListBullet"/>
        <w:spacing w:before="0" w:after="60" w:line="312" w:lineRule="auto"/>
        <w:jc w:val="both"/>
      </w:pPr>
      <w:r>
        <w:rPr>
          <w:rFonts w:ascii="Times New Roman" w:hAnsi="Times New Roman"/>
          <w:b/>
          <w:color w:val="222222"/>
          <w:sz w:val="22"/>
        </w:rPr>
        <w:t xml:space="preserve">• </w:t>
      </w:r>
      <w:r>
        <w:rPr>
          <w:rFonts w:ascii="Times New Roman" w:hAnsi="Times New Roman"/>
          <w:color w:val="222222"/>
          <w:sz w:val="22"/>
        </w:rPr>
        <w:t>Luas Lantai Ruangan: 40.0 m²</w:t>
      </w:r>
    </w:p>
    <w:p>
      <w:pPr>
        <w:pStyle w:val="ListBullet"/>
        <w:spacing w:before="0" w:after="60" w:line="312" w:lineRule="auto"/>
        <w:jc w:val="both"/>
      </w:pPr>
      <w:r>
        <w:rPr>
          <w:rFonts w:ascii="Times New Roman" w:hAnsi="Times New Roman"/>
          <w:b/>
          <w:color w:val="222222"/>
          <w:sz w:val="22"/>
        </w:rPr>
        <w:t xml:space="preserve">• </w:t>
      </w:r>
      <w:r>
        <w:rPr>
          <w:rFonts w:ascii="Times New Roman" w:hAnsi="Times New Roman"/>
          <w:color w:val="222222"/>
          <w:sz w:val="22"/>
        </w:rPr>
        <w:t>Konstruksi Dinding Eksisting: Hebel (Bata ringan AAC), ketebalan fisik 10.0 cm</w:t>
      </w:r>
    </w:p>
    <w:p>
      <w:pPr>
        <w:pStyle w:val="ListBullet"/>
        <w:spacing w:before="0" w:after="60" w:line="312" w:lineRule="auto"/>
        <w:jc w:val="both"/>
      </w:pPr>
      <w:r>
        <w:rPr>
          <w:rFonts w:ascii="Times New Roman" w:hAnsi="Times New Roman"/>
          <w:b/>
          <w:color w:val="222222"/>
          <w:sz w:val="22"/>
        </w:rPr>
        <w:t xml:space="preserve">• </w:t>
      </w:r>
      <w:r>
        <w:rPr>
          <w:rFonts w:ascii="Times New Roman" w:hAnsi="Times New Roman"/>
          <w:color w:val="222222"/>
          <w:sz w:val="22"/>
        </w:rPr>
        <w:t>Luas Dinding Pembatas yang Diberi Peredam (S): 60.0 m²</w:t>
      </w:r>
    </w:p>
    <w:p>
      <w:pPr>
        <w:pStyle w:val="ListBullet"/>
        <w:spacing w:before="0" w:after="60" w:line="312" w:lineRule="auto"/>
        <w:jc w:val="both"/>
      </w:pPr>
      <w:r>
        <w:rPr>
          <w:rFonts w:ascii="Times New Roman" w:hAnsi="Times New Roman"/>
          <w:b/>
          <w:color w:val="222222"/>
          <w:sz w:val="22"/>
        </w:rPr>
        <w:t xml:space="preserve">• </w:t>
      </w:r>
      <w:r>
        <w:rPr>
          <w:rFonts w:ascii="Times New Roman" w:hAnsi="Times New Roman"/>
          <w:color w:val="222222"/>
          <w:sz w:val="22"/>
        </w:rPr>
        <w:t>Karakteristik Sumber Bising: Musik / audio (rentang frekuensi 250 Hz – 4 kHz)</w:t>
      </w:r>
    </w:p>
    <w:p>
      <w:pPr>
        <w:pStyle w:val="ListBullet"/>
        <w:spacing w:before="0" w:after="60" w:line="312" w:lineRule="auto"/>
        <w:jc w:val="both"/>
      </w:pPr>
      <w:r>
        <w:rPr>
          <w:rFonts w:ascii="Times New Roman" w:hAnsi="Times New Roman"/>
          <w:b/>
          <w:color w:val="222222"/>
          <w:sz w:val="22"/>
        </w:rPr>
        <w:t xml:space="preserve">• </w:t>
      </w:r>
      <w:r>
        <w:rPr>
          <w:rFonts w:ascii="Times New Roman" w:hAnsi="Times New Roman"/>
          <w:color w:val="222222"/>
          <w:sz w:val="22"/>
        </w:rPr>
        <w:t>Tingkat Intensitas Kebisingan Awal: 85.0 dB</w:t>
      </w:r>
    </w:p>
    <w:p>
      <w:pPr>
        <w:pStyle w:val="ListBullet"/>
        <w:spacing w:before="0" w:after="60" w:line="312" w:lineRule="auto"/>
        <w:jc w:val="both"/>
      </w:pPr>
      <w:r>
        <w:rPr>
          <w:rFonts w:ascii="Times New Roman" w:hAnsi="Times New Roman"/>
          <w:b/>
          <w:color w:val="222222"/>
          <w:sz w:val="22"/>
        </w:rPr>
        <w:t xml:space="preserve">• </w:t>
      </w:r>
      <w:r>
        <w:rPr>
          <w:rFonts w:ascii="Times New Roman" w:hAnsi="Times New Roman"/>
          <w:color w:val="222222"/>
          <w:sz w:val="22"/>
        </w:rPr>
        <w:t>Target Kebisingan Akhir Ruang Penerima: 40.0 dB</w:t>
      </w:r>
    </w:p>
    <w:p>
      <w:pPr>
        <w:pStyle w:val="ListBullet"/>
        <w:spacing w:before="0" w:after="60" w:line="312" w:lineRule="auto"/>
        <w:jc w:val="both"/>
      </w:pPr>
      <w:r>
        <w:rPr>
          <w:rFonts w:ascii="Times New Roman" w:hAnsi="Times New Roman"/>
          <w:b/>
          <w:color w:val="222222"/>
          <w:sz w:val="22"/>
        </w:rPr>
        <w:t xml:space="preserve">• </w:t>
      </w:r>
      <w:r>
        <w:rPr>
          <w:rFonts w:ascii="Times New Roman" w:hAnsi="Times New Roman"/>
          <w:color w:val="222222"/>
          <w:sz w:val="22"/>
        </w:rPr>
        <w:t>Target Reduksi Kebisingan (delta_db): 85.0 - 40.0 = 45.0 dB</w:t>
      </w:r>
    </w:p>
    <w:p>
      <w:pPr>
        <w:spacing w:before="0" w:after="120" w:line="360" w:lineRule="auto"/>
        <w:jc w:val="both"/>
      </w:pPr>
      <w:r>
        <w:rPr>
          <w:rFonts w:ascii="Times New Roman" w:hAnsi="Times New Roman"/>
          <w:b w:val="0"/>
          <w:i w:val="0"/>
          <w:color w:val="222222"/>
          <w:sz w:val="23"/>
        </w:rPr>
        <w:t>Hasil penelusuran (Retrieval Engine) mengekstraksi Top-10 kasus yang paling mirip dari basis pengetahuan 225 kasus (Tabel 4.4).</w:t>
      </w:r>
    </w:p>
    <w:p>
      <w:pPr>
        <w:spacing w:before="160" w:after="60"/>
        <w:jc w:val="center"/>
      </w:pPr>
      <w:r>
        <w:rPr>
          <w:rFonts w:ascii="Times New Roman" w:hAnsi="Times New Roman"/>
          <w:b/>
          <w:color w:val="2B6CB0"/>
          <w:sz w:val="20"/>
        </w:rPr>
        <w:t>Tabel 4.4: Hasil Retrieval Top-10 Kasus Mirip Berdasarkan Masalah Pengguna</w:t>
      </w:r>
    </w:p>
    <w:tbl>
      <w:tblPr>
        <w:tblW w:type="auto" w:w="0"/>
        <w:jc w:val="center"/>
        <w:tblLook w:firstColumn="1" w:firstRow="1" w:lastColumn="0" w:lastRow="0" w:noHBand="0" w:noVBand="1" w:val="04A0"/>
        <w:tblBorders>
          <w:top w:val="single" w:sz="6" w:space="0" w:color="2B6CB0"/>
          <w:bottom w:val="single" w:sz="6" w:space="0" w:color="2B6CB0"/>
          <w:insideH w:val="single" w:sz="4" w:space="0" w:color="CBD5E1"/>
          <w:insideV w:val="none"/>
          <w:left w:val="none"/>
          <w:right w:val="none"/>
        </w:tblBorders>
      </w:tblPr>
      <w:tblGrid>
        <w:gridCol w:w="1134"/>
        <w:gridCol w:w="1134"/>
        <w:gridCol w:w="1134"/>
        <w:gridCol w:w="1134"/>
        <w:gridCol w:w="1134"/>
        <w:gridCol w:w="1134"/>
        <w:gridCol w:w="1134"/>
      </w:tblGrid>
      <w:tr>
        <w:tc>
          <w:tcPr>
            <w:tcW w:type="dxa" w:w="1134"/>
            <w:shd w:fill="1A365D"/>
            <w:tcMar>
              <w:top w:w="120" w:type="dxa"/>
              <w:bottom w:w="120" w:type="dxa"/>
              <w:left w:w="140" w:type="dxa"/>
              <w:right w:w="140" w:type="dxa"/>
            </w:tcMar>
          </w:tcPr>
          <w:p>
            <w:pPr>
              <w:spacing w:after="0"/>
              <w:jc w:val="center"/>
            </w:pPr>
            <w:r>
              <w:rPr>
                <w:rFonts w:ascii="Times New Roman" w:hAnsi="Times New Roman"/>
                <w:b/>
                <w:color w:val="FFFFFF"/>
                <w:sz w:val="20"/>
              </w:rPr>
              <w:t>ID Kasus</w:t>
            </w:r>
          </w:p>
        </w:tc>
        <w:tc>
          <w:tcPr>
            <w:tcW w:type="dxa" w:w="1247"/>
            <w:shd w:fill="1A365D"/>
            <w:tcMar>
              <w:top w:w="120" w:type="dxa"/>
              <w:bottom w:w="120" w:type="dxa"/>
              <w:left w:w="140" w:type="dxa"/>
              <w:right w:w="140" w:type="dxa"/>
            </w:tcMar>
          </w:tcPr>
          <w:p>
            <w:pPr>
              <w:spacing w:after="0"/>
              <w:jc w:val="center"/>
            </w:pPr>
            <w:r>
              <w:rPr>
                <w:rFonts w:ascii="Times New Roman" w:hAnsi="Times New Roman"/>
                <w:b/>
                <w:color w:val="FFFFFF"/>
                <w:sz w:val="20"/>
              </w:rPr>
              <w:t>Jenis Dinding</w:t>
            </w:r>
          </w:p>
        </w:tc>
        <w:tc>
          <w:tcPr>
            <w:tcW w:type="dxa" w:w="1304"/>
            <w:shd w:fill="1A365D"/>
            <w:tcMar>
              <w:top w:w="120" w:type="dxa"/>
              <w:bottom w:w="120" w:type="dxa"/>
              <w:left w:w="140" w:type="dxa"/>
              <w:right w:w="140" w:type="dxa"/>
            </w:tcMar>
          </w:tcPr>
          <w:p>
            <w:pPr>
              <w:spacing w:after="0"/>
              <w:jc w:val="center"/>
            </w:pPr>
            <w:r>
              <w:rPr>
                <w:rFonts w:ascii="Times New Roman" w:hAnsi="Times New Roman"/>
                <w:b/>
                <w:color w:val="FFFFFF"/>
                <w:sz w:val="20"/>
              </w:rPr>
              <w:t>Tebal Dinding</w:t>
            </w:r>
          </w:p>
        </w:tc>
        <w:tc>
          <w:tcPr>
            <w:tcW w:type="dxa" w:w="1134"/>
            <w:shd w:fill="1A365D"/>
            <w:tcMar>
              <w:top w:w="120" w:type="dxa"/>
              <w:bottom w:w="120" w:type="dxa"/>
              <w:left w:w="140" w:type="dxa"/>
              <w:right w:w="140" w:type="dxa"/>
            </w:tcMar>
          </w:tcPr>
          <w:p>
            <w:pPr>
              <w:spacing w:after="0"/>
              <w:jc w:val="center"/>
            </w:pPr>
            <w:r>
              <w:rPr>
                <w:rFonts w:ascii="Times New Roman" w:hAnsi="Times New Roman"/>
                <w:b/>
                <w:color w:val="FFFFFF"/>
                <w:sz w:val="20"/>
              </w:rPr>
              <w:t>Suara Awal</w:t>
            </w:r>
          </w:p>
        </w:tc>
        <w:tc>
          <w:tcPr>
            <w:tcW w:type="dxa" w:w="1020"/>
            <w:shd w:fill="1A365D"/>
            <w:tcMar>
              <w:top w:w="120" w:type="dxa"/>
              <w:bottom w:w="120" w:type="dxa"/>
              <w:left w:w="140" w:type="dxa"/>
              <w:right w:w="140" w:type="dxa"/>
            </w:tcMar>
          </w:tcPr>
          <w:p>
            <w:pPr>
              <w:spacing w:after="0"/>
              <w:jc w:val="center"/>
            </w:pPr>
            <w:r>
              <w:rPr>
                <w:rFonts w:ascii="Times New Roman" w:hAnsi="Times New Roman"/>
                <w:b/>
                <w:color w:val="FFFFFF"/>
                <w:sz w:val="20"/>
              </w:rPr>
              <w:t>Target</w:t>
            </w:r>
          </w:p>
        </w:tc>
        <w:tc>
          <w:tcPr>
            <w:tcW w:type="dxa" w:w="1361"/>
            <w:shd w:fill="1A365D"/>
            <w:tcMar>
              <w:top w:w="120" w:type="dxa"/>
              <w:bottom w:w="120" w:type="dxa"/>
              <w:left w:w="140" w:type="dxa"/>
              <w:right w:w="140" w:type="dxa"/>
            </w:tcMar>
          </w:tcPr>
          <w:p>
            <w:pPr>
              <w:spacing w:after="0"/>
              <w:jc w:val="center"/>
            </w:pPr>
            <w:r>
              <w:rPr>
                <w:rFonts w:ascii="Times New Roman" w:hAnsi="Times New Roman"/>
                <w:b/>
                <w:color w:val="FFFFFF"/>
                <w:sz w:val="20"/>
              </w:rPr>
              <w:t>Kemiripan (%)</w:t>
            </w:r>
          </w:p>
        </w:tc>
        <w:tc>
          <w:tcPr>
            <w:tcW w:type="dxa" w:w="1417"/>
            <w:shd w:fill="1A365D"/>
            <w:tcMar>
              <w:top w:w="120" w:type="dxa"/>
              <w:bottom w:w="120" w:type="dxa"/>
              <w:left w:w="140" w:type="dxa"/>
              <w:right w:w="140" w:type="dxa"/>
            </w:tcMar>
          </w:tcPr>
          <w:p>
            <w:pPr>
              <w:spacing w:after="0"/>
              <w:jc w:val="center"/>
            </w:pPr>
            <w:r>
              <w:rPr>
                <w:rFonts w:ascii="Times New Roman" w:hAnsi="Times New Roman"/>
                <w:b/>
                <w:color w:val="FFFFFF"/>
                <w:sz w:val="20"/>
              </w:rPr>
              <w:t>Material Eksisting Kasus</w:t>
            </w:r>
          </w:p>
        </w:tc>
      </w:tr>
      <w:tr>
        <w:tc>
          <w:tcPr>
            <w:tcW w:type="dxa" w:w="1134"/>
            <w:shd w:fill="FFFFFF"/>
            <w:tcMar>
              <w:top w:w="100" w:type="dxa"/>
              <w:bottom w:w="100" w:type="dxa"/>
              <w:left w:w="140" w:type="dxa"/>
              <w:right w:w="140" w:type="dxa"/>
            </w:tcMar>
          </w:tcPr>
          <w:p>
            <w:pPr>
              <w:spacing w:after="0"/>
              <w:jc w:val="left"/>
            </w:pPr>
            <w:r>
              <w:rPr>
                <w:rFonts w:ascii="Times New Roman" w:hAnsi="Times New Roman"/>
                <w:color w:val="222222"/>
                <w:sz w:val="19"/>
              </w:rPr>
              <w:t>Kasus 136</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Hebel</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10 cm</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76 dB</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40 dB</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86.31 %</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Rockwool 60 kg/m³ (25 mm)</w:t>
            </w:r>
          </w:p>
        </w:tc>
      </w:tr>
      <w:tr>
        <w:tc>
          <w:tcPr>
            <w:tcW w:type="dxa" w:w="1134"/>
            <w:shd w:fill="F8FAFC"/>
            <w:tcMar>
              <w:top w:w="100" w:type="dxa"/>
              <w:bottom w:w="100" w:type="dxa"/>
              <w:left w:w="140" w:type="dxa"/>
              <w:right w:w="140" w:type="dxa"/>
            </w:tcMar>
          </w:tcPr>
          <w:p>
            <w:pPr>
              <w:spacing w:after="0"/>
              <w:jc w:val="left"/>
            </w:pPr>
            <w:r>
              <w:rPr>
                <w:rFonts w:ascii="Times New Roman" w:hAnsi="Times New Roman"/>
                <w:color w:val="222222"/>
                <w:sz w:val="19"/>
              </w:rPr>
              <w:t>Kasus 166</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Hebel</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10 cm</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89 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45 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81.57 %</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Rockwool 60 kg/m³ (75 mm)</w:t>
            </w:r>
          </w:p>
        </w:tc>
      </w:tr>
      <w:tr>
        <w:tc>
          <w:tcPr>
            <w:tcW w:type="dxa" w:w="1134"/>
            <w:shd w:fill="FFFFFF"/>
            <w:tcMar>
              <w:top w:w="100" w:type="dxa"/>
              <w:bottom w:w="100" w:type="dxa"/>
              <w:left w:w="140" w:type="dxa"/>
              <w:right w:w="140" w:type="dxa"/>
            </w:tcMar>
          </w:tcPr>
          <w:p>
            <w:pPr>
              <w:spacing w:after="0"/>
              <w:jc w:val="left"/>
            </w:pPr>
            <w:r>
              <w:rPr>
                <w:rFonts w:ascii="Times New Roman" w:hAnsi="Times New Roman"/>
                <w:color w:val="222222"/>
                <w:sz w:val="19"/>
              </w:rPr>
              <w:t>Kasus 96</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Gypsum</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8 cm</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79 dB</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35 dB</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81.17 %</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Glasswool 24 kg/m³ (75 mm)</w:t>
            </w:r>
          </w:p>
        </w:tc>
      </w:tr>
      <w:tr>
        <w:tc>
          <w:tcPr>
            <w:tcW w:type="dxa" w:w="1134"/>
            <w:shd w:fill="F8FAFC"/>
            <w:tcMar>
              <w:top w:w="100" w:type="dxa"/>
              <w:bottom w:w="100" w:type="dxa"/>
              <w:left w:w="140" w:type="dxa"/>
              <w:right w:w="140" w:type="dxa"/>
            </w:tcMar>
          </w:tcPr>
          <w:p>
            <w:pPr>
              <w:spacing w:after="0"/>
              <w:jc w:val="left"/>
            </w:pPr>
            <w:r>
              <w:rPr>
                <w:rFonts w:ascii="Times New Roman" w:hAnsi="Times New Roman"/>
                <w:color w:val="222222"/>
                <w:sz w:val="19"/>
              </w:rPr>
              <w:t>Kasus 68</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Hebel</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10 cm</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78 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30 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80.57 %</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Glasswool 24 kg/m³ (25 mm)</w:t>
            </w:r>
          </w:p>
        </w:tc>
      </w:tr>
      <w:tr>
        <w:tc>
          <w:tcPr>
            <w:tcW w:type="dxa" w:w="1134"/>
            <w:shd w:fill="FFFFFF"/>
            <w:tcMar>
              <w:top w:w="100" w:type="dxa"/>
              <w:bottom w:w="100" w:type="dxa"/>
              <w:left w:w="140" w:type="dxa"/>
              <w:right w:w="140" w:type="dxa"/>
            </w:tcMar>
          </w:tcPr>
          <w:p>
            <w:pPr>
              <w:spacing w:after="0"/>
              <w:jc w:val="left"/>
            </w:pPr>
            <w:r>
              <w:rPr>
                <w:rFonts w:ascii="Times New Roman" w:hAnsi="Times New Roman"/>
                <w:color w:val="222222"/>
                <w:sz w:val="19"/>
              </w:rPr>
              <w:t>Kasus 172</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Hebel</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10 cm</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79 dB</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35 dB</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79.71 %</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Glasswool 24 kg/m³ (25 mm)</w:t>
            </w:r>
          </w:p>
        </w:tc>
      </w:tr>
      <w:tr>
        <w:tc>
          <w:tcPr>
            <w:tcW w:type="dxa" w:w="1134"/>
            <w:shd w:fill="F8FAFC"/>
            <w:tcMar>
              <w:top w:w="100" w:type="dxa"/>
              <w:bottom w:w="100" w:type="dxa"/>
              <w:left w:w="140" w:type="dxa"/>
              <w:right w:w="140" w:type="dxa"/>
            </w:tcMar>
          </w:tcPr>
          <w:p>
            <w:pPr>
              <w:spacing w:after="0"/>
              <w:jc w:val="left"/>
            </w:pPr>
            <w:r>
              <w:rPr>
                <w:rFonts w:ascii="Times New Roman" w:hAnsi="Times New Roman"/>
                <w:color w:val="222222"/>
                <w:sz w:val="19"/>
              </w:rPr>
              <w:t>Kasus 177</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Hebel</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10 cm</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90 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50 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79.06 %</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Rockwool 60 kg/m³ (50 mm)</w:t>
            </w:r>
          </w:p>
        </w:tc>
      </w:tr>
      <w:tr>
        <w:tc>
          <w:tcPr>
            <w:tcW w:type="dxa" w:w="1134"/>
            <w:shd w:fill="FFFFFF"/>
            <w:tcMar>
              <w:top w:w="100" w:type="dxa"/>
              <w:bottom w:w="100" w:type="dxa"/>
              <w:left w:w="140" w:type="dxa"/>
              <w:right w:w="140" w:type="dxa"/>
            </w:tcMar>
          </w:tcPr>
          <w:p>
            <w:pPr>
              <w:spacing w:after="0"/>
              <w:jc w:val="left"/>
            </w:pPr>
            <w:r>
              <w:rPr>
                <w:rFonts w:ascii="Times New Roman" w:hAnsi="Times New Roman"/>
                <w:color w:val="222222"/>
                <w:sz w:val="19"/>
              </w:rPr>
              <w:t>Kasus 108</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Hebel</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10 cm</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94 dB</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50 dB</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78.54 %</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Rockwool 60 kg/m³ (50 mm)</w:t>
            </w:r>
          </w:p>
        </w:tc>
      </w:tr>
      <w:tr>
        <w:tc>
          <w:tcPr>
            <w:tcW w:type="dxa" w:w="1134"/>
            <w:shd w:fill="F8FAFC"/>
            <w:tcMar>
              <w:top w:w="100" w:type="dxa"/>
              <w:bottom w:w="100" w:type="dxa"/>
              <w:left w:w="140" w:type="dxa"/>
              <w:right w:w="140" w:type="dxa"/>
            </w:tcMar>
          </w:tcPr>
          <w:p>
            <w:pPr>
              <w:spacing w:after="0"/>
              <w:jc w:val="left"/>
            </w:pPr>
            <w:r>
              <w:rPr>
                <w:rFonts w:ascii="Times New Roman" w:hAnsi="Times New Roman"/>
                <w:color w:val="222222"/>
                <w:sz w:val="19"/>
              </w:rPr>
              <w:t>Kasus 148</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Beton</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15 cm</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85 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40 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77.87 %</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Glasswool 24 kg/m³ (75 mm)</w:t>
            </w:r>
          </w:p>
        </w:tc>
      </w:tr>
      <w:tr>
        <w:tc>
          <w:tcPr>
            <w:tcW w:type="dxa" w:w="1134"/>
            <w:shd w:fill="FFFFFF"/>
            <w:tcMar>
              <w:top w:w="100" w:type="dxa"/>
              <w:bottom w:w="100" w:type="dxa"/>
              <w:left w:w="140" w:type="dxa"/>
              <w:right w:w="140" w:type="dxa"/>
            </w:tcMar>
          </w:tcPr>
          <w:p>
            <w:pPr>
              <w:spacing w:after="0"/>
              <w:jc w:val="left"/>
            </w:pPr>
            <w:r>
              <w:rPr>
                <w:rFonts w:ascii="Times New Roman" w:hAnsi="Times New Roman"/>
                <w:color w:val="222222"/>
                <w:sz w:val="19"/>
              </w:rPr>
              <w:t>Kasus 37</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Hebel</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10 cm</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93 dB</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40 dB</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77.42 %</w:t>
            </w:r>
          </w:p>
        </w:tc>
        <w:tc>
          <w:tcPr>
            <w:tcW w:type="dxa" w:w="1134"/>
            <w:shd w:fill="FFFFFF"/>
            <w:tcMar>
              <w:top w:w="100" w:type="dxa"/>
              <w:bottom w:w="100" w:type="dxa"/>
              <w:left w:w="140" w:type="dxa"/>
              <w:right w:w="140" w:type="dxa"/>
            </w:tcMar>
          </w:tcPr>
          <w:p>
            <w:pPr>
              <w:spacing w:after="0"/>
              <w:jc w:val="center"/>
            </w:pPr>
            <w:r>
              <w:rPr>
                <w:rFonts w:ascii="Times New Roman" w:hAnsi="Times New Roman"/>
                <w:color w:val="222222"/>
                <w:sz w:val="19"/>
              </w:rPr>
              <w:t>Rockwool 60 kg/m³ (75 mm)</w:t>
            </w:r>
          </w:p>
        </w:tc>
      </w:tr>
      <w:tr>
        <w:tc>
          <w:tcPr>
            <w:tcW w:type="dxa" w:w="1134"/>
            <w:shd w:fill="F8FAFC"/>
            <w:tcMar>
              <w:top w:w="100" w:type="dxa"/>
              <w:bottom w:w="100" w:type="dxa"/>
              <w:left w:w="140" w:type="dxa"/>
              <w:right w:w="140" w:type="dxa"/>
            </w:tcMar>
          </w:tcPr>
          <w:p>
            <w:pPr>
              <w:spacing w:after="0"/>
              <w:jc w:val="left"/>
            </w:pPr>
            <w:r>
              <w:rPr>
                <w:rFonts w:ascii="Times New Roman" w:hAnsi="Times New Roman"/>
                <w:color w:val="222222"/>
                <w:sz w:val="19"/>
              </w:rPr>
              <w:t>Kasus 168</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Hebel</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10 cm</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92 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45 dB</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76.71 %</w:t>
            </w:r>
          </w:p>
        </w:tc>
        <w:tc>
          <w:tcPr>
            <w:tcW w:type="dxa" w:w="1134"/>
            <w:shd w:fill="F8FAFC"/>
            <w:tcMar>
              <w:top w:w="100" w:type="dxa"/>
              <w:bottom w:w="100" w:type="dxa"/>
              <w:left w:w="140" w:type="dxa"/>
              <w:right w:w="140" w:type="dxa"/>
            </w:tcMar>
          </w:tcPr>
          <w:p>
            <w:pPr>
              <w:spacing w:after="0"/>
              <w:jc w:val="center"/>
            </w:pPr>
            <w:r>
              <w:rPr>
                <w:rFonts w:ascii="Times New Roman" w:hAnsi="Times New Roman"/>
                <w:color w:val="222222"/>
                <w:sz w:val="19"/>
              </w:rPr>
              <w:t>Glasswool 24 kg/m³ (75 mm)</w:t>
            </w:r>
          </w:p>
        </w:tc>
      </w:tr>
    </w:tbl>
    <w:p>
      <w:pPr>
        <w:spacing w:before="0" w:after="120" w:line="360" w:lineRule="auto"/>
        <w:jc w:val="both"/>
      </w:pPr>
      <w:r>
        <w:rPr>
          <w:rFonts w:ascii="Times New Roman" w:hAnsi="Times New Roman"/>
          <w:b w:val="0"/>
          <w:i w:val="0"/>
          <w:color w:val="222222"/>
          <w:sz w:val="23"/>
        </w:rPr>
        <w:t>Berdasarkan proses adaptasi CAHWM dan koreksi fisika baku ASTM E336, sistem menghasilkan spesifikasi solusi rekomendasi akhir sebagaimana dirangkum pada Tabel 4.5.</w:t>
      </w:r>
    </w:p>
    <w:p>
      <w:pPr>
        <w:spacing w:before="160" w:after="60"/>
        <w:jc w:val="center"/>
      </w:pPr>
      <w:r>
        <w:rPr>
          <w:rFonts w:ascii="Times New Roman" w:hAnsi="Times New Roman"/>
          <w:b/>
          <w:color w:val="2B6CB0"/>
          <w:sz w:val="20"/>
        </w:rPr>
        <w:t>Tabel 4.5: Rangkuman Komprehensif Rekomendasi Solusi Akhir Sistem Berbasis ASTM E336</w:t>
      </w:r>
    </w:p>
    <w:tbl>
      <w:tblPr>
        <w:tblW w:type="auto" w:w="0"/>
        <w:jc w:val="center"/>
        <w:tblLook w:firstColumn="1" w:firstRow="1" w:lastColumn="0" w:lastRow="0" w:noHBand="0" w:noVBand="1" w:val="04A0"/>
        <w:tblBorders>
          <w:top w:val="single" w:sz="6" w:space="0" w:color="2B6CB0"/>
          <w:bottom w:val="single" w:sz="6" w:space="0" w:color="2B6CB0"/>
          <w:insideH w:val="single" w:sz="4" w:space="0" w:color="CBD5E1"/>
          <w:insideV w:val="none"/>
          <w:left w:val="none"/>
          <w:right w:val="none"/>
        </w:tblBorders>
      </w:tblPr>
      <w:tblGrid>
        <w:gridCol w:w="2646"/>
        <w:gridCol w:w="2646"/>
        <w:gridCol w:w="2646"/>
      </w:tblGrid>
      <w:tr>
        <w:tc>
          <w:tcPr>
            <w:tcW w:type="dxa" w:w="2551"/>
            <w:shd w:fill="1A365D"/>
            <w:tcMar>
              <w:top w:w="120" w:type="dxa"/>
              <w:bottom w:w="120" w:type="dxa"/>
              <w:left w:w="140" w:type="dxa"/>
              <w:right w:w="140" w:type="dxa"/>
            </w:tcMar>
          </w:tcPr>
          <w:p>
            <w:pPr>
              <w:spacing w:after="0"/>
              <w:jc w:val="center"/>
            </w:pPr>
            <w:r>
              <w:rPr>
                <w:rFonts w:ascii="Times New Roman" w:hAnsi="Times New Roman"/>
                <w:b/>
                <w:color w:val="FFFFFF"/>
                <w:sz w:val="20"/>
              </w:rPr>
              <w:t>Komponen Spesifikasi</w:t>
            </w:r>
          </w:p>
        </w:tc>
        <w:tc>
          <w:tcPr>
            <w:tcW w:type="dxa" w:w="2551"/>
            <w:shd w:fill="1A365D"/>
            <w:tcMar>
              <w:top w:w="120" w:type="dxa"/>
              <w:bottom w:w="120" w:type="dxa"/>
              <w:left w:w="140" w:type="dxa"/>
              <w:right w:w="140" w:type="dxa"/>
            </w:tcMar>
          </w:tcPr>
          <w:p>
            <w:pPr>
              <w:spacing w:after="0"/>
              <w:jc w:val="center"/>
            </w:pPr>
            <w:r>
              <w:rPr>
                <w:rFonts w:ascii="Times New Roman" w:hAnsi="Times New Roman"/>
                <w:b/>
                <w:color w:val="FFFFFF"/>
                <w:sz w:val="20"/>
              </w:rPr>
              <w:t>Nilai Rekomendasi Sistem</w:t>
            </w:r>
          </w:p>
        </w:tc>
        <w:tc>
          <w:tcPr>
            <w:tcW w:type="dxa" w:w="3515"/>
            <w:shd w:fill="1A365D"/>
            <w:tcMar>
              <w:top w:w="120" w:type="dxa"/>
              <w:bottom w:w="120" w:type="dxa"/>
              <w:left w:w="140" w:type="dxa"/>
              <w:right w:w="140" w:type="dxa"/>
            </w:tcMar>
          </w:tcPr>
          <w:p>
            <w:pPr>
              <w:spacing w:after="0"/>
              <w:jc w:val="center"/>
            </w:pPr>
            <w:r>
              <w:rPr>
                <w:rFonts w:ascii="Times New Roman" w:hAnsi="Times New Roman"/>
                <w:b/>
                <w:color w:val="FFFFFF"/>
                <w:sz w:val="20"/>
              </w:rPr>
              <w:t>Keterangan Teknis &amp; Validasi Fisika</w:t>
            </w:r>
          </w:p>
        </w:tc>
      </w:tr>
      <w:tr>
        <w:tc>
          <w:tcPr>
            <w:tcW w:type="dxa" w:w="2646"/>
            <w:shd w:fill="FFFFFF"/>
            <w:tcMar>
              <w:top w:w="100" w:type="dxa"/>
              <w:bottom w:w="100" w:type="dxa"/>
              <w:left w:w="140" w:type="dxa"/>
              <w:right w:w="140" w:type="dxa"/>
            </w:tcMar>
          </w:tcPr>
          <w:p>
            <w:pPr>
              <w:spacing w:after="0"/>
              <w:jc w:val="left"/>
            </w:pPr>
            <w:r>
              <w:rPr>
                <w:rFonts w:ascii="Times New Roman" w:hAnsi="Times New Roman"/>
                <w:color w:val="222222"/>
                <w:sz w:val="19"/>
              </w:rPr>
              <w:t>Material Peredam Utama</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Rockwool 60 kg/m³</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Hasil weighted voting kemiripan (densitas tinggi, serap frekuensi rendah).</w:t>
            </w:r>
          </w:p>
        </w:tc>
      </w:tr>
      <w:tr>
        <w:tc>
          <w:tcPr>
            <w:tcW w:type="dxa" w:w="2646"/>
            <w:shd w:fill="F8FAFC"/>
            <w:tcMar>
              <w:top w:w="100" w:type="dxa"/>
              <w:bottom w:w="100" w:type="dxa"/>
              <w:left w:w="140" w:type="dxa"/>
              <w:right w:w="140" w:type="dxa"/>
            </w:tcMar>
          </w:tcPr>
          <w:p>
            <w:pPr>
              <w:spacing w:after="0"/>
              <w:jc w:val="left"/>
            </w:pPr>
            <w:r>
              <w:rPr>
                <w:rFonts w:ascii="Times New Roman" w:hAnsi="Times New Roman"/>
                <w:color w:val="222222"/>
                <w:sz w:val="19"/>
              </w:rPr>
              <w:t>Ketebalan Peredam</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60 mm (6 cm)</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Dibulatkan dari nilai kontinu HWM 58.22 mm ke kelipatan terdekat 5 mm.</w:t>
            </w:r>
          </w:p>
        </w:tc>
      </w:tr>
      <w:tr>
        <w:tc>
          <w:tcPr>
            <w:tcW w:type="dxa" w:w="2646"/>
            <w:shd w:fill="FFFFFF"/>
            <w:tcMar>
              <w:top w:w="100" w:type="dxa"/>
              <w:bottom w:w="100" w:type="dxa"/>
              <w:left w:w="140" w:type="dxa"/>
              <w:right w:w="140" w:type="dxa"/>
            </w:tcMar>
          </w:tcPr>
          <w:p>
            <w:pPr>
              <w:spacing w:after="0"/>
              <w:jc w:val="left"/>
            </w:pPr>
            <w:r>
              <w:rPr>
                <w:rFonts w:ascii="Times New Roman" w:hAnsi="Times New Roman"/>
                <w:color w:val="222222"/>
                <w:sz w:val="19"/>
              </w:rPr>
              <w:t>Sistem Pemasangan Partisi</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Peredam + rongga udara (air gap 5 cm) + gypsum 12 mm</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Disesuaikan secara otomatis via Flanking Transmission Override Rule.</w:t>
            </w:r>
          </w:p>
        </w:tc>
      </w:tr>
      <w:tr>
        <w:tc>
          <w:tcPr>
            <w:tcW w:type="dxa" w:w="2646"/>
            <w:shd w:fill="F8FAFC"/>
            <w:tcMar>
              <w:top w:w="100" w:type="dxa"/>
              <w:bottom w:w="100" w:type="dxa"/>
              <w:left w:w="140" w:type="dxa"/>
              <w:right w:w="140" w:type="dxa"/>
            </w:tcMar>
          </w:tcPr>
          <w:p>
            <w:pPr>
              <w:spacing w:after="0"/>
              <w:jc w:val="left"/>
            </w:pPr>
            <w:r>
              <w:rPr>
                <w:rFonts w:ascii="Times New Roman" w:hAnsi="Times New Roman"/>
                <w:color w:val="222222"/>
                <w:sz w:val="19"/>
              </w:rPr>
              <w:t>Daya Redam Material (TL HWM)</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43.2 dB</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Estimasi Transmission Loss murni material berbasis adaptasi CAHWM.</w:t>
            </w:r>
          </w:p>
        </w:tc>
      </w:tr>
      <w:tr>
        <w:tc>
          <w:tcPr>
            <w:tcW w:type="dxa" w:w="2646"/>
            <w:shd w:fill="FFFFFF"/>
            <w:tcMar>
              <w:top w:w="100" w:type="dxa"/>
              <w:bottom w:w="100" w:type="dxa"/>
              <w:left w:w="140" w:type="dxa"/>
              <w:right w:w="140" w:type="dxa"/>
            </w:tcMar>
          </w:tcPr>
          <w:p>
            <w:pPr>
              <w:spacing w:after="0"/>
              <w:jc w:val="left"/>
            </w:pPr>
            <w:r>
              <w:rPr>
                <w:rFonts w:ascii="Times New Roman" w:hAnsi="Times New Roman"/>
                <w:color w:val="222222"/>
                <w:sz w:val="19"/>
              </w:rPr>
              <w:t>Estimasi Absorpsi Ruang (A)</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13.0 m² Sabin</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Dihitung berbasis formula Sabine: A ≈ (40.0 x 0.20) + 5.0 Sabin.</w:t>
            </w:r>
          </w:p>
        </w:tc>
      </w:tr>
      <w:tr>
        <w:tc>
          <w:tcPr>
            <w:tcW w:type="dxa" w:w="2646"/>
            <w:shd w:fill="F8FAFC"/>
            <w:tcMar>
              <w:top w:w="100" w:type="dxa"/>
              <w:bottom w:w="100" w:type="dxa"/>
              <w:left w:w="140" w:type="dxa"/>
              <w:right w:w="140" w:type="dxa"/>
            </w:tcMar>
          </w:tcPr>
          <w:p>
            <w:pPr>
              <w:spacing w:after="0"/>
              <w:jc w:val="left"/>
            </w:pPr>
            <w:r>
              <w:rPr>
                <w:rFonts w:ascii="Times New Roman" w:hAnsi="Times New Roman"/>
                <w:color w:val="222222"/>
                <w:sz w:val="19"/>
              </w:rPr>
              <w:t>Koreksi Geometri ASTM E336</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6.64 dB</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Koreksi rasio luas bidang partisi: 10 log10(60.0 m² / 13.0 Sabin).</w:t>
            </w:r>
          </w:p>
        </w:tc>
      </w:tr>
      <w:tr>
        <w:tc>
          <w:tcPr>
            <w:tcW w:type="dxa" w:w="2646"/>
            <w:shd w:fill="FFFFFF"/>
            <w:tcMar>
              <w:top w:w="100" w:type="dxa"/>
              <w:bottom w:w="100" w:type="dxa"/>
              <w:left w:w="140" w:type="dxa"/>
              <w:right w:w="140" w:type="dxa"/>
            </w:tcMar>
          </w:tcPr>
          <w:p>
            <w:pPr>
              <w:spacing w:after="0"/>
              <w:jc w:val="left"/>
            </w:pPr>
            <w:r>
              <w:rPr>
                <w:rFonts w:ascii="Times New Roman" w:hAnsi="Times New Roman"/>
                <w:color w:val="222222"/>
                <w:sz w:val="19"/>
              </w:rPr>
              <w:t>Estimasi Reduksi Aktual (NR)</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36.6 dB</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Noise Reduction lapangan riil: TL (43.2 dB) - Koreksi Geometri (6.64 dB).</w:t>
            </w:r>
          </w:p>
        </w:tc>
      </w:tr>
      <w:tr>
        <w:tc>
          <w:tcPr>
            <w:tcW w:type="dxa" w:w="2646"/>
            <w:shd w:fill="F8FAFC"/>
            <w:tcMar>
              <w:top w:w="100" w:type="dxa"/>
              <w:bottom w:w="100" w:type="dxa"/>
              <w:left w:w="140" w:type="dxa"/>
              <w:right w:w="140" w:type="dxa"/>
            </w:tcMar>
          </w:tcPr>
          <w:p>
            <w:pPr>
              <w:spacing w:after="0"/>
              <w:jc w:val="left"/>
            </w:pPr>
            <w:r>
              <w:rPr>
                <w:rFonts w:ascii="Times New Roman" w:hAnsi="Times New Roman"/>
                <w:color w:val="222222"/>
                <w:sz w:val="19"/>
              </w:rPr>
              <w:t>Estimasi Kebisingan Akhir Luar</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48.4 dB</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Sisa kebisingan di ruang penerima: 85.0 dB - 36.6 dB = 48.4 dB.</w:t>
            </w:r>
          </w:p>
        </w:tc>
      </w:tr>
      <w:tr>
        <w:tc>
          <w:tcPr>
            <w:tcW w:type="dxa" w:w="2646"/>
            <w:shd w:fill="FFFFFF"/>
            <w:tcMar>
              <w:top w:w="100" w:type="dxa"/>
              <w:bottom w:w="100" w:type="dxa"/>
              <w:left w:w="140" w:type="dxa"/>
              <w:right w:w="140" w:type="dxa"/>
            </w:tcMar>
          </w:tcPr>
          <w:p>
            <w:pPr>
              <w:spacing w:after="0"/>
              <w:jc w:val="left"/>
            </w:pPr>
            <w:r>
              <w:rPr>
                <w:rFonts w:ascii="Times New Roman" w:hAnsi="Times New Roman"/>
                <w:color w:val="222222"/>
                <w:sz w:val="19"/>
              </w:rPr>
              <w:t>Estimasi Total Biaya Investasi</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Rp 19.400.000,-</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Dibulatkan dari nilai adaptasi kontinu Rp 19.419.996,- ke kelipatan 50 ribu.</w:t>
            </w:r>
          </w:p>
        </w:tc>
      </w:tr>
      <w:tr>
        <w:tc>
          <w:tcPr>
            <w:tcW w:type="dxa" w:w="2646"/>
            <w:shd w:fill="F8FAFC"/>
            <w:tcMar>
              <w:top w:w="100" w:type="dxa"/>
              <w:bottom w:w="100" w:type="dxa"/>
              <w:left w:w="140" w:type="dxa"/>
              <w:right w:w="140" w:type="dxa"/>
            </w:tcMar>
          </w:tcPr>
          <w:p>
            <w:pPr>
              <w:spacing w:after="0"/>
              <w:jc w:val="left"/>
            </w:pPr>
            <w:r>
              <w:rPr>
                <w:rFonts w:ascii="Times New Roman" w:hAnsi="Times New Roman"/>
                <w:color w:val="222222"/>
                <w:sz w:val="19"/>
              </w:rPr>
              <w:t>Estimasi Biaya per m²</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Rp 323.333,- / m²</w:t>
            </w:r>
          </w:p>
        </w:tc>
        <w:tc>
          <w:tcPr>
            <w:tcW w:type="dxa" w:w="2646"/>
            <w:shd w:fill="F8FAFC"/>
            <w:tcMar>
              <w:top w:w="100" w:type="dxa"/>
              <w:bottom w:w="100" w:type="dxa"/>
              <w:left w:w="140" w:type="dxa"/>
              <w:right w:w="140" w:type="dxa"/>
            </w:tcMar>
          </w:tcPr>
          <w:p>
            <w:pPr>
              <w:spacing w:after="0"/>
              <w:jc w:val="center"/>
            </w:pPr>
            <w:r>
              <w:rPr>
                <w:rFonts w:ascii="Times New Roman" w:hAnsi="Times New Roman"/>
                <w:color w:val="222222"/>
                <w:sz w:val="19"/>
              </w:rPr>
              <w:t>Rasio total anggaran terhadap luas bidang peredaman (Rp 19.4jt / 60 m²).</w:t>
            </w:r>
          </w:p>
        </w:tc>
      </w:tr>
      <w:tr>
        <w:tc>
          <w:tcPr>
            <w:tcW w:type="dxa" w:w="2646"/>
            <w:shd w:fill="FFFFFF"/>
            <w:tcMar>
              <w:top w:w="100" w:type="dxa"/>
              <w:bottom w:w="100" w:type="dxa"/>
              <w:left w:w="140" w:type="dxa"/>
              <w:right w:w="140" w:type="dxa"/>
            </w:tcMar>
          </w:tcPr>
          <w:p>
            <w:pPr>
              <w:spacing w:after="0"/>
              <w:jc w:val="left"/>
            </w:pPr>
            <w:r>
              <w:rPr>
                <w:rFonts w:ascii="Times New Roman" w:hAnsi="Times New Roman"/>
                <w:color w:val="222222"/>
                <w:sz w:val="19"/>
              </w:rPr>
              <w:t>Tingkat Rekomendasi Sistem</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Tinggi (Skor Maks: 86.31 %)</w:t>
            </w:r>
          </w:p>
        </w:tc>
        <w:tc>
          <w:tcPr>
            <w:tcW w:type="dxa" w:w="2646"/>
            <w:shd w:fill="FFFFFF"/>
            <w:tcMar>
              <w:top w:w="100" w:type="dxa"/>
              <w:bottom w:w="100" w:type="dxa"/>
              <w:left w:w="140" w:type="dxa"/>
              <w:right w:w="140" w:type="dxa"/>
            </w:tcMar>
          </w:tcPr>
          <w:p>
            <w:pPr>
              <w:spacing w:after="0"/>
              <w:jc w:val="center"/>
            </w:pPr>
            <w:r>
              <w:rPr>
                <w:rFonts w:ascii="Times New Roman" w:hAnsi="Times New Roman"/>
                <w:color w:val="222222"/>
                <w:sz w:val="19"/>
              </w:rPr>
              <w:t>Keyakinan inferensi tinggi karena skor kemiripan kasus teratas ≥ 85%.</w:t>
            </w:r>
          </w:p>
        </w:tc>
      </w:tr>
    </w:tbl>
    <w:p>
      <w:pPr>
        <w:keepNext/>
        <w:spacing w:before="280" w:after="80"/>
      </w:pPr>
      <w:r>
        <w:rPr>
          <w:rFonts w:ascii="Times New Roman" w:hAnsi="Times New Roman"/>
          <w:b/>
          <w:color w:val="2B6CB0"/>
          <w:sz w:val="24"/>
        </w:rPr>
        <w:t>4.4 Pembahasan Akademis &amp; Validasi Akustik Lapangan</w:t>
      </w:r>
    </w:p>
    <w:p>
      <w:pPr>
        <w:spacing w:before="0" w:after="120" w:line="360" w:lineRule="auto"/>
        <w:jc w:val="both"/>
      </w:pPr>
      <w:r>
        <w:rPr>
          <w:rFonts w:ascii="Times New Roman" w:hAnsi="Times New Roman"/>
          <w:b w:val="0"/>
          <w:i w:val="0"/>
          <w:color w:val="222222"/>
          <w:sz w:val="23"/>
        </w:rPr>
        <w:t>Hasil eksperimen di atas memberikan pembenaran ilmiah yang sangat kuat terhadap arsitektur hibrida yang dibangun, khususnya pada dua aspek krusial:</w:t>
      </w:r>
    </w:p>
    <w:p>
      <w:pPr>
        <w:keepNext/>
        <w:spacing w:before="200" w:after="40"/>
      </w:pPr>
      <w:r>
        <w:rPr>
          <w:rFonts w:ascii="Times New Roman" w:hAnsi="Times New Roman"/>
          <w:b/>
          <w:i/>
          <w:color w:val="222222"/>
          <w:sz w:val="22"/>
        </w:rPr>
        <w:t>4.4.1 Validitas Ilmiah Pendekatan Simplifikasi Sabine A ≈ (S_ruang x 0.20) + 5.0</w:t>
      </w:r>
    </w:p>
    <w:p>
      <w:pPr>
        <w:spacing w:before="0" w:after="120" w:line="360" w:lineRule="auto"/>
        <w:jc w:val="both"/>
      </w:pPr>
      <w:r>
        <w:rPr>
          <w:rFonts w:ascii="Times New Roman" w:hAnsi="Times New Roman"/>
          <w:b w:val="0"/>
          <w:i w:val="0"/>
          <w:color w:val="222222"/>
          <w:sz w:val="23"/>
        </w:rPr>
        <w:t>Dalam pengukuran laboratorium standar ASTM C423, absorpsi bunyi total A dihitung dengan mengalikan koefisien serap masing-masing bahan terhadap luas permukaannya. Namun, dalam konteks sistem pakar awal (feasibility study), pengguna awam tidak memiliki informasi teknis mengenai koefisien serap material lantai, plafon, perabot, dan penyerapan udara. Pendekatan Sabine terkalibrasi A ≈ (S_ruang x 0.20) + 5.0 yang diadopsi dari buku referensi Architectural Acoustics (Long, 2014) memberikan estimasi penyerapan sebesar 13.0 m² Sabin untuk ruangan seluas 40 m². Hal ini menghasilkan faktor koreksi geometri 10 log10(60/13) = 6.64 dB. Tanpa koreksi ini, sistem akan keliru mengklaim bahwa ruangan telah teredam sebesar 43.2 dB (reduksi material murni), padahal kenyataan di lapangan pengguna hanya merasakan reduksi sebesar 36.6 dB. Dengan memasukkan koreksi geometri ASTM E336, sistem pakar berhasil memberikan ekspektasi perancangan yang jujur, akurat, dan dapat dipertanggungjawabkan secara saintifik.</w:t>
      </w:r>
    </w:p>
    <w:p>
      <w:pPr>
        <w:keepNext/>
        <w:spacing w:before="200" w:after="40"/>
      </w:pPr>
      <w:r>
        <w:rPr>
          <w:rFonts w:ascii="Times New Roman" w:hAnsi="Times New Roman"/>
          <w:b/>
          <w:i/>
          <w:color w:val="222222"/>
          <w:sz w:val="22"/>
        </w:rPr>
        <w:t>4.4.2 Keberhasilan Aturan Flanking dalam Memitigasi Jembatan Akustik Mekanis</w:t>
      </w:r>
    </w:p>
    <w:p>
      <w:pPr>
        <w:spacing w:before="0" w:after="120" w:line="360" w:lineRule="auto"/>
        <w:jc w:val="both"/>
      </w:pPr>
      <w:r>
        <w:rPr>
          <w:rFonts w:ascii="Times New Roman" w:hAnsi="Times New Roman"/>
          <w:b w:val="0"/>
          <w:i w:val="0"/>
          <w:color w:val="222222"/>
          <w:sz w:val="23"/>
        </w:rPr>
        <w:t>Kasus paling mirip dalam basis pengetahuan adalah Kasus ID 136 (skor kemiripan 86.31%). Dalam data historis kasus 136, sistem pemasangan yang tercatat adalah 'Ditempel langsung ke dinding'. Apabila sistem pakar hanya mengandalkan retrieval CBR murni tanpa kecerdasan fisika, sistem akan merekomendasikan Rockwool ditempel langsung ke dinding Hebel.</w:t>
      </w:r>
    </w:p>
    <w:p>
      <w:pPr>
        <w:spacing w:before="0" w:after="120" w:line="360" w:lineRule="auto"/>
        <w:jc w:val="both"/>
      </w:pPr>
      <w:r>
        <w:rPr>
          <w:rFonts w:ascii="Times New Roman" w:hAnsi="Times New Roman"/>
          <w:b w:val="0"/>
          <w:i w:val="0"/>
          <w:color w:val="222222"/>
          <w:sz w:val="23"/>
        </w:rPr>
        <w:t>Secara fisika akustik, rekomendasi tersebut dipastikan akan GAGAL TOTAL di lapangan. Kasus pengguna membutuhkan reduksi delta_db sebesar 45 dB. Dinding Hebel (bata ringan) memiliki massa jenis rendah (sekitar 550–650 kg/m³). Jika peredam ditempel langsung menggunakan sekrup atau lem tanpa pemutus mekanis, getaran gelombang suara berenergi tinggi dari studio musik (85 dB) akan langsung menggetarkan partisi Hebel dan merambat ke seluruh kerangka bangunan melalui sambungan balok dan lantai (flanking transmission). Berdasarkan literatur Sound Insulation (Hopkins, 2012), konstruksi kontak langsung mengalami saturasi pada pelemahan 20–25 dB. Intervensi Flanking Override Rule pada sistem secara cerdas mengubah konstruksi menjadi 'Peredam + rongga udara (air gap 5 cm) + gypsum 12 mm'. Kehadiran rongga udara 5 cm memutus kontak fisik padat, mengubah gelombang struktural menjadi resonansi udara teredam, dan lapisan gypsum 12 mm menambahkan massa permukaan reflektif, sehingga target reduksi suara tinggi dapat tercapai secara sempurna di lapangan.</w:t>
      </w:r>
    </w:p>
    <w:p>
      <w:r>
        <w:br w:type="page"/>
      </w:r>
    </w:p>
    <w:p>
      <w:pPr>
        <w:keepNext/>
        <w:spacing w:before="360" w:after="120"/>
      </w:pPr>
      <w:r>
        <w:rPr>
          <w:rFonts w:ascii="Times New Roman" w:hAnsi="Times New Roman"/>
          <w:b/>
          <w:color w:val="1A365D"/>
          <w:sz w:val="26"/>
        </w:rPr>
        <w:t>BAB V: KESIMPULAN DAN SARAN</w:t>
      </w:r>
    </w:p>
    <w:p>
      <w:pPr>
        <w:keepNext/>
        <w:spacing w:before="280" w:after="80"/>
      </w:pPr>
      <w:r>
        <w:rPr>
          <w:rFonts w:ascii="Times New Roman" w:hAnsi="Times New Roman"/>
          <w:b/>
          <w:color w:val="2B6CB0"/>
          <w:sz w:val="24"/>
        </w:rPr>
        <w:t>5.1 Kesimpulan</w:t>
      </w:r>
    </w:p>
    <w:p>
      <w:pPr>
        <w:spacing w:before="0" w:after="120" w:line="360" w:lineRule="auto"/>
        <w:jc w:val="both"/>
      </w:pPr>
      <w:r>
        <w:rPr>
          <w:rFonts w:ascii="Times New Roman" w:hAnsi="Times New Roman"/>
          <w:b w:val="0"/>
          <w:i w:val="0"/>
          <w:color w:val="222222"/>
          <w:sz w:val="23"/>
        </w:rPr>
        <w:t>Berdasarkan perancangan, implementasi, dan pengujian empiris yang telah dilakukan terhadap Sistem Rekomendasi Desain Peredam Suara Ruangan Berbasis Improved Case-Based Reasoning (ICBR), dapat ditarik beberapa kesimpulan mendasar sebagai berikut:</w:t>
      </w:r>
    </w:p>
    <w:p>
      <w:pPr>
        <w:pStyle w:val="ListBullet"/>
        <w:spacing w:before="0" w:after="60" w:line="312" w:lineRule="auto"/>
        <w:jc w:val="both"/>
      </w:pPr>
      <w:r>
        <w:rPr>
          <w:rFonts w:ascii="Times New Roman" w:hAnsi="Times New Roman"/>
          <w:b/>
          <w:color w:val="222222"/>
          <w:sz w:val="22"/>
        </w:rPr>
        <w:t xml:space="preserve">1. </w:t>
      </w:r>
      <w:r>
        <w:rPr>
          <w:rFonts w:ascii="Times New Roman" w:hAnsi="Times New Roman"/>
          <w:color w:val="222222"/>
          <w:sz w:val="22"/>
        </w:rPr>
        <w:t>Keberhasilan Integrasi Kerangka Kerja ICBR: Sistem inferensi berhasil mengintegrasikan metode pembobotan kombinasi CRNHW dan adaptasi pengetahuan implisit CAHWM (SURA) dari Wang et al. (2024) ke dalam domain rekayasa akustik peredaman ruangan, menghasilkan rekomendasi yang adaptif terhadap parameter kontinu.</w:t>
      </w:r>
    </w:p>
    <w:p>
      <w:pPr>
        <w:pStyle w:val="ListBullet"/>
        <w:spacing w:before="0" w:after="60" w:line="312" w:lineRule="auto"/>
        <w:jc w:val="both"/>
      </w:pPr>
      <w:r>
        <w:rPr>
          <w:rFonts w:ascii="Times New Roman" w:hAnsi="Times New Roman"/>
          <w:b/>
          <w:color w:val="222222"/>
          <w:sz w:val="22"/>
        </w:rPr>
        <w:t xml:space="preserve">2. </w:t>
      </w:r>
      <w:r>
        <w:rPr>
          <w:rFonts w:ascii="Times New Roman" w:hAnsi="Times New Roman"/>
          <w:color w:val="222222"/>
          <w:sz w:val="22"/>
        </w:rPr>
        <w:t>Optimasi Pembobotan Hibrida AHP-Entropi yang Konsisten dan Seimbang: Metode CRNHW berhasil menyeimbangkan persepsi subjektif pakar akustik (AHP dengan Rasio Konsistensi CR = 0.0252 &lt; 0.10) dan dispersi objektif data (Shannon Entropy). Bobot teroptimasi Wh menempatkan target reduksi suara (delta_db: 25.13%) dan intensitas bising awal (18.15%) sebagai prioritas utama perancangan tanpa mengabaikan faktor geometri bangunan.</w:t>
      </w:r>
    </w:p>
    <w:p>
      <w:pPr>
        <w:pStyle w:val="ListBullet"/>
        <w:spacing w:before="0" w:after="60" w:line="312" w:lineRule="auto"/>
        <w:jc w:val="both"/>
      </w:pPr>
      <w:r>
        <w:rPr>
          <w:rFonts w:ascii="Times New Roman" w:hAnsi="Times New Roman"/>
          <w:b/>
          <w:color w:val="222222"/>
          <w:sz w:val="22"/>
        </w:rPr>
        <w:t xml:space="preserve">3. </w:t>
      </w:r>
      <w:r>
        <w:rPr>
          <w:rFonts w:ascii="Times New Roman" w:hAnsi="Times New Roman"/>
          <w:color w:val="222222"/>
          <w:sz w:val="22"/>
        </w:rPr>
        <w:t>Penambangan Pengetahuan Implisit (CAHWM): Pemanfaatan Matriks Kemiripan (S), Vektor Utilitas (U), Matriks Relasi Abu-Abu (R), dan Matriks Adaptabilitas Kendala (A) terbukti efektif dalam menyintesis ketebalan peredam (60 mm) dan estimasi biaya (Rp 19.400.000,-) secara presisi dari Top-10 kasus historis.</w:t>
      </w:r>
    </w:p>
    <w:p>
      <w:pPr>
        <w:pStyle w:val="ListBullet"/>
        <w:spacing w:before="0" w:after="60" w:line="312" w:lineRule="auto"/>
        <w:jc w:val="both"/>
      </w:pPr>
      <w:r>
        <w:rPr>
          <w:rFonts w:ascii="Times New Roman" w:hAnsi="Times New Roman"/>
          <w:b/>
          <w:color w:val="222222"/>
          <w:sz w:val="22"/>
        </w:rPr>
        <w:t xml:space="preserve">4. </w:t>
      </w:r>
      <w:r>
        <w:rPr>
          <w:rFonts w:ascii="Times New Roman" w:hAnsi="Times New Roman"/>
          <w:color w:val="222222"/>
          <w:sz w:val="22"/>
        </w:rPr>
        <w:t>Validitas Rekomendasi Lapangan Berbasis ASTM E336 &amp; Sabine: Integrasi hukum transmisi suara ASTM E336 berhasil mengoreksi daya redam material (TL 43.2 dB) dengan faktor koreksi geometri 6.64 dB menjadi Noise Reduction riil lapangan sebesar 36.6 dB. Selain itu, Aturan Flanking Transmission berhasil mengeliminasi risiko kegagalan kebocoran getaran struktural dengan mengarahkan sistem pemasangan menggunakan rongga udara (air gap 5 cm) dan gypsum 12 mm.</w:t>
      </w:r>
    </w:p>
    <w:p>
      <w:pPr>
        <w:keepNext/>
        <w:spacing w:before="280" w:after="80"/>
      </w:pPr>
      <w:r>
        <w:rPr>
          <w:rFonts w:ascii="Times New Roman" w:hAnsi="Times New Roman"/>
          <w:b/>
          <w:color w:val="2B6CB0"/>
          <w:sz w:val="24"/>
        </w:rPr>
        <w:t>5.2 Saran &amp; Pengembangan Mendatang</w:t>
      </w:r>
    </w:p>
    <w:p>
      <w:pPr>
        <w:spacing w:before="0" w:after="120" w:line="360" w:lineRule="auto"/>
        <w:jc w:val="both"/>
      </w:pPr>
      <w:r>
        <w:rPr>
          <w:rFonts w:ascii="Times New Roman" w:hAnsi="Times New Roman"/>
          <w:b w:val="0"/>
          <w:i w:val="0"/>
          <w:color w:val="222222"/>
          <w:sz w:val="23"/>
        </w:rPr>
        <w:t>Untuk penyempurnaan dan pengembangan sistem pakar akustik ini pada masa mendatang, beberapa saran yang dapat diajukan antara lain:</w:t>
      </w:r>
    </w:p>
    <w:p>
      <w:pPr>
        <w:pStyle w:val="ListBullet"/>
        <w:spacing w:before="0" w:after="60" w:line="312" w:lineRule="auto"/>
        <w:jc w:val="both"/>
      </w:pPr>
      <w:r>
        <w:rPr>
          <w:rFonts w:ascii="Times New Roman" w:hAnsi="Times New Roman"/>
          <w:b/>
          <w:color w:val="222222"/>
          <w:sz w:val="22"/>
        </w:rPr>
        <w:t xml:space="preserve">1. </w:t>
      </w:r>
      <w:r>
        <w:rPr>
          <w:rFonts w:ascii="Times New Roman" w:hAnsi="Times New Roman"/>
          <w:color w:val="222222"/>
          <w:sz w:val="22"/>
        </w:rPr>
        <w:t>Perluasan Basis Kasus Historis (Case Base Expansion): Memperkaya variasi kasus historis dengan mengikutsertakan material akustik modern mutakhir seperti panel metamaterial akustik, mikroperforasi transparan, dan aerogel silika.</w:t>
      </w:r>
    </w:p>
    <w:p>
      <w:pPr>
        <w:pStyle w:val="ListBullet"/>
        <w:spacing w:before="0" w:after="60" w:line="312" w:lineRule="auto"/>
        <w:jc w:val="both"/>
      </w:pPr>
      <w:r>
        <w:rPr>
          <w:rFonts w:ascii="Times New Roman" w:hAnsi="Times New Roman"/>
          <w:b/>
          <w:color w:val="222222"/>
          <w:sz w:val="22"/>
        </w:rPr>
        <w:t xml:space="preserve">2. </w:t>
      </w:r>
      <w:r>
        <w:rPr>
          <w:rFonts w:ascii="Times New Roman" w:hAnsi="Times New Roman"/>
          <w:color w:val="222222"/>
          <w:sz w:val="22"/>
        </w:rPr>
        <w:t>Pengujian Validasi Silang Formal (LOO-CV): Menerapkan skema Leave-One-Out Cross-Validation (LOO-CV) secara menyeluruh terhadap seluruh 225 kasus untuk mengukur Mean Absolute Percentage Error (MAPE) secara statistik.</w:t>
      </w:r>
    </w:p>
    <w:p>
      <w:pPr>
        <w:pStyle w:val="ListBullet"/>
        <w:spacing w:before="0" w:after="60" w:line="312" w:lineRule="auto"/>
        <w:jc w:val="both"/>
      </w:pPr>
      <w:r>
        <w:rPr>
          <w:rFonts w:ascii="Times New Roman" w:hAnsi="Times New Roman"/>
          <w:b/>
          <w:color w:val="222222"/>
          <w:sz w:val="22"/>
        </w:rPr>
        <w:t xml:space="preserve">3. </w:t>
      </w:r>
      <w:r>
        <w:rPr>
          <w:rFonts w:ascii="Times New Roman" w:hAnsi="Times New Roman"/>
          <w:color w:val="222222"/>
          <w:sz w:val="22"/>
        </w:rPr>
        <w:t>Pengembangan Antarmuka Interaktif Berbasis Cloud: Mengembangkan aplikasi web interaktif yang telah dibangun (Streamlit app.py) menjadi platform Software-as-a-Service (SaaS) multi-platform dengan dukungan visualisasi pemodelan 3D dan simulasi perambatan gelombang suara (Ray Tracing).</w:t>
      </w:r>
    </w:p>
    <w:p>
      <w:r>
        <w:br w:type="page"/>
      </w:r>
    </w:p>
    <w:p>
      <w:pPr>
        <w:keepNext/>
        <w:spacing w:before="360" w:after="120"/>
      </w:pPr>
      <w:r>
        <w:rPr>
          <w:rFonts w:ascii="Times New Roman" w:hAnsi="Times New Roman"/>
          <w:b/>
          <w:color w:val="1A365D"/>
          <w:sz w:val="26"/>
        </w:rPr>
        <w:t>DAFTAR PUSTAKA</w:t>
      </w:r>
    </w:p>
    <w:p>
      <w:pPr>
        <w:spacing w:before="60" w:after="80" w:line="276" w:lineRule="auto"/>
        <w:ind w:left="720" w:hanging="720"/>
        <w:jc w:val="both"/>
      </w:pPr>
      <w:r>
        <w:rPr>
          <w:rFonts w:ascii="Times New Roman" w:hAnsi="Times New Roman"/>
          <w:color w:val="222222"/>
          <w:sz w:val="22"/>
        </w:rPr>
        <w:t>Aamodt, A., &amp; Plaza, E. (1994). Case-Based Reasoning: Foundational Issues, Methodological Variations, and System Approaches. AI Communications, 7(1), 39–59.</w:t>
      </w:r>
    </w:p>
    <w:p>
      <w:pPr>
        <w:spacing w:before="60" w:after="80" w:line="276" w:lineRule="auto"/>
        <w:ind w:left="720" w:hanging="720"/>
        <w:jc w:val="both"/>
      </w:pPr>
      <w:r>
        <w:rPr>
          <w:rFonts w:ascii="Times New Roman" w:hAnsi="Times New Roman"/>
          <w:color w:val="222222"/>
          <w:sz w:val="22"/>
        </w:rPr>
        <w:t>ASTM E336-17a. (2017). Standard Test Method for Measurement of Airborne Sound Attenuation between Rooms in Buildings. West Conshohocken, PA: ASTM International. https://doi.org/10.1520/E0336-17A</w:t>
      </w:r>
    </w:p>
    <w:p>
      <w:pPr>
        <w:spacing w:before="60" w:after="80" w:line="276" w:lineRule="auto"/>
        <w:ind w:left="720" w:hanging="720"/>
        <w:jc w:val="both"/>
      </w:pPr>
      <w:r>
        <w:rPr>
          <w:rFonts w:ascii="Times New Roman" w:hAnsi="Times New Roman"/>
          <w:color w:val="222222"/>
          <w:sz w:val="22"/>
        </w:rPr>
        <w:t>ASTM E413-16. (2016). Classification for Rating Sound Insulation. West Conshohocken, PA: ASTM International.</w:t>
      </w:r>
    </w:p>
    <w:p>
      <w:pPr>
        <w:spacing w:before="60" w:after="80" w:line="276" w:lineRule="auto"/>
        <w:ind w:left="720" w:hanging="720"/>
        <w:jc w:val="both"/>
      </w:pPr>
      <w:r>
        <w:rPr>
          <w:rFonts w:ascii="Times New Roman" w:hAnsi="Times New Roman"/>
          <w:color w:val="222222"/>
          <w:sz w:val="22"/>
        </w:rPr>
        <w:t>Barnard, A. R., &amp; Rao, M. D. (2004). Measurement of Sound Transmission Loss Using a Modified Four Microphone Impedance Tube. Proceedings of NOISE-CON 2004, Baltimore, Maryland, 209–216.</w:t>
      </w:r>
    </w:p>
    <w:p>
      <w:pPr>
        <w:spacing w:before="60" w:after="80" w:line="276" w:lineRule="auto"/>
        <w:ind w:left="720" w:hanging="720"/>
        <w:jc w:val="both"/>
      </w:pPr>
      <w:r>
        <w:rPr>
          <w:rFonts w:ascii="Times New Roman" w:hAnsi="Times New Roman"/>
          <w:color w:val="222222"/>
          <w:sz w:val="22"/>
        </w:rPr>
        <w:t>Beranek, L. L., &amp; Mellow, T. J. (2012). Acoustics: Sound Fields and Transducers. Oxford: Academic Press / Elsevier.</w:t>
      </w:r>
    </w:p>
    <w:p>
      <w:pPr>
        <w:spacing w:before="60" w:after="80" w:line="276" w:lineRule="auto"/>
        <w:ind w:left="720" w:hanging="720"/>
        <w:jc w:val="both"/>
      </w:pPr>
      <w:r>
        <w:rPr>
          <w:rFonts w:ascii="Times New Roman" w:hAnsi="Times New Roman"/>
          <w:color w:val="222222"/>
          <w:sz w:val="22"/>
        </w:rPr>
        <w:t>Fadhlullah, A. F., Syahputra, S., &amp; Puspadini, R. (2026). Diagnosa penyakit Gangguan Saraf Tepi (Neuropati Perifer) menggunakan Metode Certainty Factor. Jurnal Sistem Informasi dan Ilmu Komputer, 4(3), 55–73. https://doi.org/10.59581/jusiik-widyakarya.v4i3.6665</w:t>
      </w:r>
    </w:p>
    <w:p>
      <w:pPr>
        <w:spacing w:before="60" w:after="80" w:line="276" w:lineRule="auto"/>
        <w:ind w:left="720" w:hanging="720"/>
        <w:jc w:val="both"/>
      </w:pPr>
      <w:r>
        <w:rPr>
          <w:rFonts w:ascii="Times New Roman" w:hAnsi="Times New Roman"/>
          <w:color w:val="222222"/>
          <w:sz w:val="22"/>
        </w:rPr>
        <w:t>Höller, C. (2017). Review and Comparison of ASTM and ISO Standards on Sound Transmission in Buildings. Ottawa, Ontario: National Research Council Canada.</w:t>
      </w:r>
    </w:p>
    <w:p>
      <w:pPr>
        <w:spacing w:before="60" w:after="80" w:line="276" w:lineRule="auto"/>
        <w:ind w:left="720" w:hanging="720"/>
        <w:jc w:val="both"/>
      </w:pPr>
      <w:r>
        <w:rPr>
          <w:rFonts w:ascii="Times New Roman" w:hAnsi="Times New Roman"/>
          <w:color w:val="222222"/>
          <w:sz w:val="22"/>
        </w:rPr>
        <w:t>Hopkins, C. (2012). Sound Insulation. Oxford: Butterworth-Heinemann / Routledge.</w:t>
      </w:r>
    </w:p>
    <w:p>
      <w:pPr>
        <w:spacing w:before="60" w:after="80" w:line="276" w:lineRule="auto"/>
        <w:ind w:left="720" w:hanging="720"/>
        <w:jc w:val="both"/>
      </w:pPr>
      <w:r>
        <w:rPr>
          <w:rFonts w:ascii="Times New Roman" w:hAnsi="Times New Roman"/>
          <w:color w:val="222222"/>
          <w:sz w:val="22"/>
        </w:rPr>
        <w:t>ISO 16283-1:2014. (2014). Acoustics — Field measurement of sound insulation in buildings and of building elements — Part 1: Airborne sound insulation. Geneva: International Organization for Standardization.</w:t>
      </w:r>
    </w:p>
    <w:p>
      <w:pPr>
        <w:spacing w:before="60" w:after="80" w:line="276" w:lineRule="auto"/>
        <w:ind w:left="720" w:hanging="720"/>
        <w:jc w:val="both"/>
      </w:pPr>
      <w:r>
        <w:rPr>
          <w:rFonts w:ascii="Times New Roman" w:hAnsi="Times New Roman"/>
          <w:color w:val="222222"/>
          <w:sz w:val="22"/>
        </w:rPr>
        <w:t>Irawan, J. (2007). Buku Pegangan Kuliah: Sistem Pakar. Surabaya: Sekolah Tinggi Manajemen Informatika &amp; Teknik Komputer Surabaya (STIKOM).</w:t>
      </w:r>
    </w:p>
    <w:p>
      <w:pPr>
        <w:spacing w:before="60" w:after="80" w:line="276" w:lineRule="auto"/>
        <w:ind w:left="720" w:hanging="720"/>
        <w:jc w:val="both"/>
      </w:pPr>
      <w:r>
        <w:rPr>
          <w:rFonts w:ascii="Times New Roman" w:hAnsi="Times New Roman"/>
          <w:color w:val="222222"/>
          <w:sz w:val="22"/>
        </w:rPr>
        <w:t>Long, M. (2014). Architectural Acoustics (2nd ed.). Waltham, MA: Academic Press / Elsevier.</w:t>
      </w:r>
    </w:p>
    <w:p>
      <w:pPr>
        <w:spacing w:before="60" w:after="80" w:line="276" w:lineRule="auto"/>
        <w:ind w:left="720" w:hanging="720"/>
        <w:jc w:val="both"/>
      </w:pPr>
      <w:r>
        <w:rPr>
          <w:rFonts w:ascii="Times New Roman" w:hAnsi="Times New Roman"/>
          <w:color w:val="222222"/>
          <w:sz w:val="22"/>
        </w:rPr>
        <w:t>Prasetya, H. A., &amp; Riska, S. Y. (2025). Penerapan Knowledge-based system untuk Identifikasi Penyakit Pencernaan dan Pernapasan Manusia. INTEGER: Journal of Information Technology, 10(1), 173–184.</w:t>
      </w:r>
    </w:p>
    <w:p>
      <w:pPr>
        <w:spacing w:before="60" w:after="80" w:line="276" w:lineRule="auto"/>
        <w:ind w:left="720" w:hanging="720"/>
        <w:jc w:val="both"/>
      </w:pPr>
      <w:r>
        <w:rPr>
          <w:rFonts w:ascii="Times New Roman" w:hAnsi="Times New Roman"/>
          <w:color w:val="222222"/>
          <w:sz w:val="22"/>
        </w:rPr>
        <w:t>Saaty, T. L. (1990). How to make a decision: The Analytic Hierarchy Process. European Journal of Operational Research, 48(1), 9–26. https://doi.org/10.1016/0377-2217(90)90057-I</w:t>
      </w:r>
    </w:p>
    <w:p>
      <w:pPr>
        <w:spacing w:before="60" w:after="80" w:line="276" w:lineRule="auto"/>
        <w:ind w:left="720" w:hanging="720"/>
        <w:jc w:val="both"/>
      </w:pPr>
      <w:r>
        <w:rPr>
          <w:rFonts w:ascii="Times New Roman" w:hAnsi="Times New Roman"/>
          <w:color w:val="222222"/>
          <w:sz w:val="22"/>
        </w:rPr>
        <w:t>Sabine, W. C. (1922). Collected Papers on Acoustics. Cambridge, MA: Harvard University Press.</w:t>
      </w:r>
    </w:p>
    <w:p>
      <w:pPr>
        <w:spacing w:before="60" w:after="80" w:line="276" w:lineRule="auto"/>
        <w:ind w:left="720" w:hanging="720"/>
        <w:jc w:val="both"/>
      </w:pPr>
      <w:r>
        <w:rPr>
          <w:rFonts w:ascii="Times New Roman" w:hAnsi="Times New Roman"/>
          <w:color w:val="222222"/>
          <w:sz w:val="22"/>
        </w:rPr>
        <w:t>Shannon, C. E. (1948). A Mathematical Theory of Communication. Bell System Technical Journal, 27(3), 379–423. https://doi.org/10.1002/j.1538-7305.1948.tb01338.x</w:t>
      </w:r>
    </w:p>
    <w:p>
      <w:pPr>
        <w:spacing w:before="60" w:after="80" w:line="276" w:lineRule="auto"/>
        <w:ind w:left="720" w:hanging="720"/>
        <w:jc w:val="both"/>
      </w:pPr>
      <w:r>
        <w:rPr>
          <w:rFonts w:ascii="Times New Roman" w:hAnsi="Times New Roman"/>
          <w:color w:val="222222"/>
          <w:sz w:val="22"/>
        </w:rPr>
        <w:t>Wang, R., Sun, Y., Ni, J., Wu, X., &amp; Zheng, H. (2024). An improved case-based reasoning approach for mechanical design by enhancing the retrieval accuracy and leveraging the implicit knowledge. Advanced Engineering Informatics, 60, 102374. https://doi.org/10.1016/j.aei.2024.102374</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