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025B7">
      <w:pPr>
        <w:pStyle w:val="2"/>
        <w:keepNext w:val="0"/>
        <w:keepLines w:val="0"/>
        <w:widowControl/>
        <w:suppressLineNumbers w:val="0"/>
        <w:spacing w:line="210" w:lineRule="atLeast"/>
      </w:pPr>
      <w:r>
        <w:t>Création de sous-réseaux supplémentaires</w:t>
      </w:r>
    </w:p>
    <w:p w14:paraId="66736BA7">
      <w:pPr>
        <w:keepNext w:val="0"/>
        <w:keepLines w:val="0"/>
        <w:widowControl/>
        <w:suppressLineNumbers w:val="0"/>
        <w:shd w:val="clear" w:fill="FFFFFF"/>
        <w:spacing w:line="300" w:lineRule="atLeast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"https://catalog.workshops.aws/general-immersionday/en-US/basic-modules/20-vpc/vpc/2-vpc" \l "add-a-second-subnet"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3E2DCD0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330" w:lineRule="atLeast"/>
        <w:rPr>
          <w:rFonts w:hint="default" w:ascii="Arial" w:hAnsi="Arial" w:eastAsia="Arial" w:cs="Arial"/>
          <w:b/>
          <w:bCs/>
          <w:color w:val="0F141A"/>
          <w:spacing w:val="0"/>
          <w:sz w:val="27"/>
          <w:szCs w:val="27"/>
          <w:u w:val="none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7"/>
          <w:szCs w:val="27"/>
          <w:u w:val="none"/>
          <w:shd w:val="clear" w:fill="FFFFFF"/>
        </w:rPr>
        <w:t>Ajouter un deuxième sous-réseau</w:t>
      </w:r>
    </w:p>
    <w:p w14:paraId="5891C0A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0705B1C4">
      <w:pPr>
        <w:pStyle w:val="8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Pour maintenir une haute disponibilité, il est important de déployer des services dans plusieurs zones de disponibilité. Dans cet atelier, vous allez créer un deuxième sous-réseau dans le même VPC, mais dans une zone de disponibilité différente de celle de l’atelier précédent.</w:t>
      </w:r>
    </w:p>
    <w:p w14:paraId="2F2F0F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tLeast"/>
        <w:ind w:left="1800" w:leftChars="0"/>
      </w:pPr>
      <w:bookmarkStart w:id="0" w:name="_GoBack"/>
      <w:bookmarkEnd w:id="0"/>
    </w:p>
    <w:p w14:paraId="1567896E">
      <w:pPr>
        <w:pStyle w:val="8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Cliquez sur le menu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Sous-réseaux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dans la barre latérale gauche, puis sur le bouton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Créer un sous-réseau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00BF35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tLeast"/>
        <w:ind w:left="1800" w:leftChars="0"/>
      </w:pPr>
    </w:p>
    <w:p w14:paraId="157D69A9">
      <w:pPr>
        <w:pStyle w:val="8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1135" cy="1201420"/>
            <wp:effectExtent l="0" t="0" r="5715" b="17780"/>
            <wp:docPr id="1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1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4EC783">
      <w:pPr>
        <w:pStyle w:val="8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Pour ID VPC, choisissez .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41A"/>
          <w:spacing w:val="0"/>
          <w:sz w:val="18"/>
          <w:szCs w:val="18"/>
          <w:bdr w:val="none" w:color="auto" w:sz="0" w:space="0"/>
          <w:shd w:val="clear" w:fill="FFFFFF"/>
        </w:rPr>
        <w:t>VPC-Lab</w:t>
      </w:r>
    </w:p>
    <w:p w14:paraId="21BFEA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800" w:leftChars="0"/>
      </w:pPr>
    </w:p>
    <w:p w14:paraId="4F810D52">
      <w:pPr>
        <w:pStyle w:val="8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6055" cy="2310130"/>
            <wp:effectExtent l="0" t="0" r="10795" b="13970"/>
            <wp:docPr id="3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10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FB5F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800" w:leftChars="0"/>
      </w:pPr>
    </w:p>
    <w:p w14:paraId="139E240E">
      <w:pPr>
        <w:pStyle w:val="8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Dans la section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Paramètres du sous-réseau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, entrez les valeurs indiquées ci-dessous, en veillant à choisir une zone de disponibilité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 Cliquez ensuite sur le bouton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Créer un sous-réseau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3C6ABD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520" w:leftChars="0"/>
      </w:pPr>
    </w:p>
    <w:p w14:paraId="15D29331">
      <w:pPr>
        <w:pStyle w:val="8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7960" cy="5443855"/>
            <wp:effectExtent l="0" t="0" r="8890" b="4445"/>
            <wp:docPr id="5" name="Imag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43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D91C1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520" w:leftChars="0"/>
      </w:pPr>
    </w:p>
    <w:tbl>
      <w:tblPr>
        <w:tblW w:w="0" w:type="auto"/>
        <w:tblCellSpacing w:w="15" w:type="dxa"/>
        <w:tblInd w:w="720" w:type="dxa"/>
        <w:tblBorders>
          <w:top w:val="single" w:color="C6C6CD" w:sz="6" w:space="0"/>
          <w:left w:val="single" w:color="C6C6CD" w:sz="6" w:space="0"/>
          <w:bottom w:val="single" w:color="C6C6CD" w:sz="6" w:space="0"/>
          <w:right w:val="single" w:color="C6C6CD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0"/>
        <w:gridCol w:w="2145"/>
      </w:tblGrid>
      <w:tr w14:paraId="50879726">
        <w:tblPrEx>
          <w:tblBorders>
            <w:top w:val="single" w:color="C6C6CD" w:sz="6" w:space="0"/>
            <w:left w:val="single" w:color="C6C6CD" w:sz="6" w:space="0"/>
            <w:bottom w:val="single" w:color="C6C6CD" w:sz="6" w:space="0"/>
            <w:right w:val="single" w:color="C6C6C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bottom w:val="single" w:color="C6C6CD" w:sz="6" w:space="0"/>
            </w:tcBorders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bottom"/>
          </w:tcPr>
          <w:p w14:paraId="6BAE65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clé</w:t>
            </w:r>
          </w:p>
        </w:tc>
        <w:tc>
          <w:tcPr>
            <w:tcW w:w="0" w:type="auto"/>
            <w:tcBorders>
              <w:bottom w:val="single" w:color="C6C6CD" w:sz="6" w:space="0"/>
            </w:tcBorders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bottom"/>
          </w:tcPr>
          <w:p w14:paraId="5DB294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valeur</w:t>
            </w:r>
          </w:p>
        </w:tc>
      </w:tr>
      <w:tr w14:paraId="7EFD4E13">
        <w:tblPrEx>
          <w:tblBorders>
            <w:top w:val="single" w:color="C6C6CD" w:sz="6" w:space="0"/>
            <w:left w:val="single" w:color="C6C6CD" w:sz="6" w:space="0"/>
            <w:bottom w:val="single" w:color="C6C6CD" w:sz="6" w:space="0"/>
            <w:right w:val="single" w:color="C6C6C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025A8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Nom du sous-réseau</w:t>
            </w:r>
          </w:p>
        </w:tc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66D89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default" w:ascii="Consolas" w:hAnsi="Consolas" w:eastAsia="Consolas" w:cs="Consolas"/>
                <w:color w:val="0F14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public subnet C</w:t>
            </w:r>
          </w:p>
        </w:tc>
      </w:tr>
      <w:tr w14:paraId="60835FC8">
        <w:tblPrEx>
          <w:tblBorders>
            <w:top w:val="single" w:color="C6C6CD" w:sz="6" w:space="0"/>
            <w:left w:val="single" w:color="C6C6CD" w:sz="6" w:space="0"/>
            <w:bottom w:val="single" w:color="C6C6CD" w:sz="6" w:space="0"/>
            <w:right w:val="single" w:color="C6C6C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2013A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Zone de disponibilité</w:t>
            </w:r>
          </w:p>
        </w:tc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2E36F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default" w:ascii="Consolas" w:hAnsi="Consolas" w:eastAsia="Consolas" w:cs="Consolas"/>
                <w:color w:val="0F14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&lt;region&gt;c</w:t>
            </w:r>
          </w:p>
        </w:tc>
      </w:tr>
      <w:tr w14:paraId="3F1B7989">
        <w:tblPrEx>
          <w:tblBorders>
            <w:top w:val="single" w:color="C6C6CD" w:sz="6" w:space="0"/>
            <w:left w:val="single" w:color="C6C6CD" w:sz="6" w:space="0"/>
            <w:bottom w:val="single" w:color="C6C6CD" w:sz="6" w:space="0"/>
            <w:right w:val="single" w:color="C6C6C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3ADB4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Bloc CIDR IPv4</w:t>
            </w:r>
          </w:p>
        </w:tc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22B6F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default" w:ascii="Consolas" w:hAnsi="Consolas" w:eastAsia="Consolas" w:cs="Consolas"/>
                <w:color w:val="0F14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10.0.20.0/24</w:t>
            </w:r>
          </w:p>
        </w:tc>
      </w:tr>
      <w:tr w14:paraId="34752AF6">
        <w:tblPrEx>
          <w:tblBorders>
            <w:top w:val="single" w:color="C6C6CD" w:sz="6" w:space="0"/>
            <w:left w:val="single" w:color="C6C6CD" w:sz="6" w:space="0"/>
            <w:bottom w:val="single" w:color="C6C6CD" w:sz="6" w:space="0"/>
            <w:right w:val="single" w:color="C6C6C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1D6EF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default" w:ascii="Consolas" w:hAnsi="Consolas" w:eastAsia="Consolas" w:cs="Consolas"/>
                <w:color w:val="0F14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p w14:paraId="5EE2D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hint="default" w:ascii="Consolas" w:hAnsi="Consolas" w:eastAsia="Consolas" w:cs="Consolas"/>
                <w:color w:val="0F14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public subnet C</w:t>
            </w:r>
          </w:p>
        </w:tc>
      </w:tr>
    </w:tbl>
    <w:p w14:paraId="2C16143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520" w:leftChars="0"/>
      </w:pPr>
    </w:p>
    <w:p w14:paraId="21D65D0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800" w:leftChars="0"/>
      </w:pPr>
    </w:p>
    <w:p w14:paraId="2DA20F23">
      <w:pPr>
        <w:pStyle w:val="8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Vous pouvez voir que le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sous-réseau public A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et le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sous-réseau public C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 ont été créés.</w:t>
      </w:r>
    </w:p>
    <w:p w14:paraId="3A38034C">
      <w:pPr>
        <w:pStyle w:val="8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3515" cy="1022350"/>
            <wp:effectExtent l="0" t="0" r="13335" b="6350"/>
            <wp:docPr id="4" name="Imag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2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ACECA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800" w:leftChars="0"/>
      </w:pPr>
    </w:p>
    <w:p w14:paraId="175661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800" w:leftChars="0"/>
      </w:pPr>
    </w:p>
    <w:p w14:paraId="516EA143">
      <w:pPr>
        <w:pStyle w:val="8"/>
        <w:keepNext w:val="0"/>
        <w:keepLines w:val="0"/>
        <w:widowControl/>
        <w:suppressLineNumbers w:val="0"/>
        <w:spacing w:before="0" w:beforeAutospacing="0" w:line="360" w:lineRule="atLeast"/>
        <w:ind w:left="72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L’architecture dispose désormais d’un deuxième sous-réseau dans une zone de disponibilité différente.</w:t>
      </w:r>
    </w:p>
    <w:p w14:paraId="1FD58D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364F51EE">
      <w:pPr>
        <w:pStyle w:val="8"/>
        <w:keepNext w:val="0"/>
        <w:keepLines w:val="0"/>
        <w:widowControl/>
        <w:suppressLineNumbers w:val="0"/>
        <w:spacing w:after="0" w:afterAutospacing="0"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3675" cy="2894330"/>
            <wp:effectExtent l="0" t="0" r="3175" b="1270"/>
            <wp:docPr id="2" name="Imag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4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619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2160" w:hanging="360"/>
      </w:pPr>
    </w:p>
    <w:p w14:paraId="030FAF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2D9738"/>
    <w:multiLevelType w:val="multilevel"/>
    <w:tmpl w:val="362D97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2E6476"/>
    <w:rsid w:val="5E2E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2025-10-30T21:10:00Z</dcterms:created>
  <dc:creator>Galilée.K</dc:creator>
  <cp:lastModifiedBy>Galilée.K</cp:lastModifiedBy>
  <dcterms:modified xsi:type="dcterms:W3CDTF">2025-10-30T21:23:14Z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3084-12.2.0.23149</vt:lpwstr>
  </property>
  <property fmtid="{D5CDD505-2E9C-101B-9397-08002B2CF9AE}" pid="3" name="ICV">
    <vt:lpwstr>8AF1DDCC6416445E99BAABB38BA1738E_11</vt:lpwstr>
  </property>
</Properties>
</file>