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BC4BF">
      <w:pPr>
        <w:pStyle w:val="2"/>
        <w:keepNext w:val="0"/>
        <w:keepLines w:val="0"/>
        <w:widowControl/>
        <w:suppressLineNumbers w:val="0"/>
        <w:spacing w:line="210" w:lineRule="atLeast"/>
      </w:pPr>
      <w:r>
        <w:t>Créer un groupe de sécurité</w:t>
      </w:r>
    </w:p>
    <w:p w14:paraId="7E0C0432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"https://catalog.workshops.aws/general-immersionday/en-US/basic-modules/20-vpc/vpc/4-vpc" \l "creating-a-new-security-group"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68A3EB2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Création d’un groupe de sécurité</w:t>
      </w:r>
      <w:bookmarkStart w:id="0" w:name="_GoBack"/>
      <w:bookmarkEnd w:id="0"/>
    </w:p>
    <w:p w14:paraId="680BB0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53246E8F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Un groupe de sécurité agit comme un pare-feu virtuel pour votre instance EC2 afin de contrôler le trafic entrant et sortant.</w:t>
      </w:r>
    </w:p>
    <w:p w14:paraId="1257BB3D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cet atelier, vous allez créer un groupe de sécurité avec 2 règles entrantes pour et .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SSH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ICMP</w:t>
      </w:r>
    </w:p>
    <w:p w14:paraId="269BF917">
      <w:pPr>
        <w:pStyle w:val="10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"https://docs.aws.amazon.com/AWSEC2/latest/UserGuide/connect-linux-inst-eic.html" \t "https://catalog.workshops.aws/general-immersionday/en-US/basic-modules/20-vpc/vpc/_blank"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Connexion d’instance EC2 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permet une connectivité SSH simple et sécurisée à une instance. Afin de limiter les connexions SSH au service, le préfixe IP spécifique à la région AWS pour le service Instance Connect doit être localisé.</w:t>
      </w:r>
    </w:p>
    <w:p w14:paraId="2466A6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</w:p>
    <w:p w14:paraId="62D1489F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Identifiez le code de région qui correspond à la région attribuée par la console. Par exemple : le code est .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N. Virginiaus-east-1</w:t>
      </w:r>
    </w:p>
    <w:p w14:paraId="31C410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</w:p>
    <w:p w14:paraId="024E0F9B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9070" cy="846455"/>
            <wp:effectExtent l="0" t="0" r="17780" b="10795"/>
            <wp:docPr id="5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E76C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5CEFA39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un onglet de navigateur distinct, accédez à l’AWS fourni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"https://ip-ranges.amazonaws.com/ip-ranges.json" \t "https://catalog.workshops.aws/general-immersionday/en-US/basic-modules/20-vpc/vpc/_blank"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URL des plages d’adresses IP 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400652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34E054F0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Recherchez le service dans le JSON et localisez l’objet utilisé pour cet atelier. Les valeurs sont spécifiques à la région.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Exemple: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EC2_INSTANCE_CONNECTregion code</w:t>
      </w:r>
    </w:p>
    <w:p w14:paraId="1B710E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03BA13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72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{ "ip_prefix": "18.206.107.24/29",</w:t>
      </w:r>
    </w:p>
    <w:p w14:paraId="241DA5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72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"region": "us-east-1",</w:t>
      </w:r>
    </w:p>
    <w:p w14:paraId="265F2AF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72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"service": "EC2_INSTANCE_CONNECT",</w:t>
      </w:r>
    </w:p>
    <w:p w14:paraId="524E1E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720" w:right="0"/>
        <w:jc w:val="lef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"network_border_group": "us-east-1"</w:t>
      </w:r>
    </w:p>
    <w:p w14:paraId="36AE24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720" w:right="0"/>
        <w:jc w:val="left"/>
        <w:rPr>
          <w:rFonts w:hint="default" w:ascii="Consolas" w:hAnsi="Consolas" w:eastAsia="Consolas" w:cs="Consolas"/>
          <w:color w:val="000000"/>
          <w:sz w:val="19"/>
          <w:szCs w:val="19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}</w:t>
      </w:r>
    </w:p>
    <w:p w14:paraId="365FF5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2B9BC22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Enregistrez la valeur telle qu’elle sera utilisée pour la source de règle du groupe de sécurité SSH.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ip_prefix</w:t>
      </w:r>
    </w:p>
    <w:p w14:paraId="307BF6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4D6FCC7C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 le menu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Groupes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dans la barre latérale gauche du tableau de bord VPC. Cliquez ensuite sur le bouton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 groupe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39CD28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39A768B6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865" cy="2247265"/>
            <wp:effectExtent l="0" t="0" r="6985" b="635"/>
            <wp:docPr id="4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7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A665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76D81C37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Entrez le nom et la description du groupe de sécurité comme indiqué ci-dessous, en sélectionnant le VPC créé précédemment :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VPC-Lab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3FCE5D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p w14:paraId="5040CE87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1770" cy="3555365"/>
            <wp:effectExtent l="0" t="0" r="5080" b="6985"/>
            <wp:docPr id="2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696B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tbl>
      <w:tblPr>
        <w:tblW w:w="0" w:type="auto"/>
        <w:tblCellSpacing w:w="15" w:type="dxa"/>
        <w:tblInd w:w="720" w:type="dxa"/>
        <w:tblBorders>
          <w:top w:val="single" w:color="C6C6CD" w:sz="6" w:space="0"/>
          <w:left w:val="single" w:color="C6C6CD" w:sz="6" w:space="0"/>
          <w:bottom w:val="single" w:color="C6C6CD" w:sz="6" w:space="0"/>
          <w:right w:val="single" w:color="C6C6CD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0"/>
        <w:gridCol w:w="3530"/>
      </w:tblGrid>
      <w:tr w14:paraId="63622689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C6C6CD" w:sz="6" w:space="0"/>
            </w:tcBorders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bottom"/>
          </w:tcPr>
          <w:p w14:paraId="6C3321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clé</w:t>
            </w:r>
          </w:p>
        </w:tc>
        <w:tc>
          <w:tcPr>
            <w:tcW w:w="0" w:type="auto"/>
            <w:tcBorders>
              <w:bottom w:val="single" w:color="C6C6CD" w:sz="6" w:space="0"/>
            </w:tcBorders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bottom"/>
          </w:tcPr>
          <w:p w14:paraId="22277F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valeur</w:t>
            </w:r>
          </w:p>
        </w:tc>
      </w:tr>
      <w:tr w14:paraId="53202D6C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55D2F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Nom du groupe de sécurité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45539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vpc-lab-sg</w:t>
            </w:r>
          </w:p>
        </w:tc>
      </w:tr>
      <w:tr w14:paraId="73F63484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5CDFB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66D58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Security group for EC2 access</w:t>
            </w:r>
          </w:p>
        </w:tc>
      </w:tr>
      <w:tr w14:paraId="71BBF31D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5C588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VPC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5A703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VPC-Lab</w:t>
            </w:r>
          </w:p>
        </w:tc>
      </w:tr>
    </w:tbl>
    <w:p w14:paraId="3FF941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p w14:paraId="552D77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03B6DD31">
      <w:pPr>
        <w:pStyle w:val="10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Ajoutez les 2 règles entrantes comme indiqué ci-dessous. L’ICMP ouvert à n’importe où est uniquement à des fins de test. La source SSH varie en fonction de l’identification du préfixe IP de la région d’exploitation à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l’étape 3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Laissez l’option Sortant par défaut et cliquez sur le bouton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 groupe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en bas à droite.</w:t>
      </w:r>
    </w:p>
    <w:p w14:paraId="27B64F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2B454289">
      <w:pPr>
        <w:pStyle w:val="10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1610" cy="1052830"/>
            <wp:effectExtent l="0" t="0" r="15240" b="13970"/>
            <wp:docPr id="1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320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tbl>
      <w:tblPr>
        <w:tblW w:w="0" w:type="auto"/>
        <w:tblCellSpacing w:w="15" w:type="dxa"/>
        <w:tblInd w:w="720" w:type="dxa"/>
        <w:tblBorders>
          <w:top w:val="single" w:color="C6C6CD" w:sz="6" w:space="0"/>
          <w:left w:val="single" w:color="C6C6CD" w:sz="6" w:space="0"/>
          <w:bottom w:val="single" w:color="C6C6CD" w:sz="6" w:space="0"/>
          <w:right w:val="single" w:color="C6C6CD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6420"/>
      </w:tblGrid>
      <w:tr w14:paraId="6048D753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C6C6CD" w:sz="6" w:space="0"/>
            </w:tcBorders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bottom"/>
          </w:tcPr>
          <w:p w14:paraId="6A01C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bottom w:val="single" w:color="C6C6CD" w:sz="6" w:space="0"/>
            </w:tcBorders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bottom"/>
          </w:tcPr>
          <w:p w14:paraId="700BAB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</w:t>
            </w:r>
          </w:p>
        </w:tc>
      </w:tr>
      <w:tr w14:paraId="51740B2F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0E9DB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ICMP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16C42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N’importe où-IPV4</w:t>
            </w:r>
          </w:p>
        </w:tc>
      </w:tr>
      <w:tr w14:paraId="180544F8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324B9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4003E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Personnalisé :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préfixe IP spécifique à la région</w:t>
            </w:r>
          </w:p>
        </w:tc>
      </w:tr>
    </w:tbl>
    <w:p w14:paraId="09CFE7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270DDA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05CD5B3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Vérifiez que les règles entrantes ont été créées.</w:t>
      </w:r>
    </w:p>
    <w:p w14:paraId="365817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080" w:leftChars="0"/>
      </w:pPr>
    </w:p>
    <w:p w14:paraId="0A1D1370">
      <w:pPr>
        <w:pStyle w:val="10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4150" cy="847090"/>
            <wp:effectExtent l="0" t="0" r="12700" b="10160"/>
            <wp:docPr id="3" name="Imag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47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2D1C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D6D27"/>
    <w:rsid w:val="272D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Emphasis"/>
    <w:qFormat/>
    <w:uiPriority w:val="0"/>
    <w:rPr>
      <w:i/>
      <w:i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2025-10-30T21:36:00Z</dcterms:created>
  <dc:creator>Galilée.K</dc:creator>
  <cp:lastModifiedBy>Galilée.K</cp:lastModifiedBy>
  <dcterms:modified xsi:type="dcterms:W3CDTF">2025-10-30T21:44:44Z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3084-12.2.0.23149</vt:lpwstr>
  </property>
  <property fmtid="{D5CDD505-2E9C-101B-9397-08002B2CF9AE}" pid="3" name="ICV">
    <vt:lpwstr>D2DFE8B23CE4441EBDD383D39D2B17A1_11</vt:lpwstr>
  </property>
</Properties>
</file>