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3d4f131df2959e3e6d63002f99cb2c2593cc407"/>
      <w:r>
        <w:t xml:space="preserve">When Reassurance Drifts — One-Page Study Synopsis</w:t>
      </w:r>
      <w:bookmarkEnd w:id="20"/>
    </w:p>
    <w:p>
      <w:pPr>
        <w:pStyle w:val="FirstParagraph"/>
      </w:pPr>
      <w:r>
        <w:rPr>
          <w:i/>
        </w:rPr>
        <w:t xml:space="preserve">Clinical-stance deviation in a genetic-counseling chatbot under patient pressure. Pre-registered confirmatory study.</w:t>
      </w:r>
    </w:p>
    <w:p>
      <w:pPr>
        <w:pStyle w:val="Heading2"/>
      </w:pPr>
      <w:bookmarkStart w:id="21" w:name="rationale"/>
      <w:r>
        <w:t xml:space="preserve">Rationale</w:t>
      </w:r>
      <w:bookmarkEnd w:id="21"/>
    </w:p>
    <w:p>
      <w:pPr>
        <w:pStyle w:val="FirstParagraph"/>
      </w:pPr>
      <w:r>
        <w:t xml:space="preserve">Patients increasingly use conversational AI to make sense of results after genetic counseling. In a prenatal Variant-of-Uncertain-Significance (VUS) encounter the clinically correct position is not a fact but a</w:t>
      </w:r>
      <w:r>
        <w:t xml:space="preserve"> </w:t>
      </w:r>
      <w:r>
        <w:rPr>
          <w:i/>
        </w:rPr>
        <w:t xml:space="preserve">stance</w:t>
      </w:r>
      <w:r>
        <w:t xml:space="preserve"> </w:t>
      </w:r>
      <w:r>
        <w:t xml:space="preserve">— preserved uncertainty — so both premature reassurance and premature alarm are failures. Large language models are known to be sycophantic, drifting toward what a user wants to hear, yet existing measurement is largely single-turn, multiple-choice, anchored to a single correct answer, and built around</w:t>
      </w:r>
      <w:r>
        <w:t xml:space="preserve"> </w:t>
      </w:r>
      <w:r>
        <w:rPr>
          <w:i/>
        </w:rPr>
        <w:t xml:space="preserve">cold</w:t>
      </w:r>
      <w:r>
        <w:t xml:space="preserve"> </w:t>
      </w:r>
      <w:r>
        <w:t xml:space="preserve">(logical) pressure. It rarely captures the multi-turn, open-ended encounter; the</w:t>
      </w:r>
      <w:r>
        <w:t xml:space="preserve"> </w:t>
      </w:r>
      <w:r>
        <w:rPr>
          <w:i/>
        </w:rPr>
        <w:t xml:space="preserve">warm</w:t>
      </w:r>
      <w:r>
        <w:t xml:space="preserve"> </w:t>
      </w:r>
      <w:r>
        <w:t xml:space="preserve">affiliative pressure a frightened patient actually exerts; the subtle, disguised drift a guarded model produces; or a clinician-anchored definition of</w:t>
      </w:r>
      <w:r>
        <w:t xml:space="preserve"> </w:t>
      </w:r>
      <w:r>
        <w:t xml:space="preserve">“</w:t>
      </w:r>
      <w:r>
        <w:t xml:space="preserve">correct.</w:t>
      </w:r>
      <w:r>
        <w:t xml:space="preserve">”</w:t>
      </w:r>
      <w:r>
        <w:t xml:space="preserve"> </w:t>
      </w:r>
      <w:r>
        <w:t xml:space="preserve">We frame the question as one of patient safety: not whether a bot can be made to agree, but whether, while comforting a frightened patient, it quietly stops telling her the truth — measured as</w:t>
      </w:r>
      <w:r>
        <w:t xml:space="preserve"> </w:t>
      </w:r>
      <w:r>
        <w:rPr>
          <w:b/>
        </w:rPr>
        <w:t xml:space="preserve">signed drift around a clinician-validated stance</w:t>
      </w:r>
      <w:r>
        <w:t xml:space="preserve">, not a binary flip.</w:t>
      </w:r>
    </w:p>
    <w:p>
      <w:pPr>
        <w:pStyle w:val="Heading2"/>
      </w:pPr>
      <w:bookmarkStart w:id="22" w:name="hypotheses-pre-registered-h1h2-primary"/>
      <w:r>
        <w:t xml:space="preserve">Hypotheses (pre-registered; H1–H2 primary)</w:t>
      </w:r>
      <w:bookmarkEnd w:id="22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H1 — Pressure.</w:t>
      </w:r>
      <w:r>
        <w:t xml:space="preserve"> </w:t>
      </w:r>
      <w:r>
        <w:t xml:space="preserve">Pressure produces greater drift than the no-pressure baseline (H1a), and drift increases across turns (H1b).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H2 — Pressure type.</w:t>
      </w:r>
      <w:r>
        <w:t xml:space="preserve"> </w:t>
      </w:r>
      <w:r>
        <w:t xml:space="preserve">Cold pressure has a general effect across models; warm pressure has a model-dependent effect (model × type interaction).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H3 — Combination.</w:t>
      </w:r>
      <w:r>
        <w:t xml:space="preserve"> </w:t>
      </w:r>
      <w:r>
        <w:t xml:space="preserve">Mixed cold+warm pressure produces drift at least as large as the larger single lever.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H4 — Case valence.</w:t>
      </w:r>
      <w:r>
        <w:t xml:space="preserve"> </w:t>
      </w:r>
      <w:r>
        <w:t xml:space="preserve">Drift is directional: the inherited case (ADD1) pulls toward over-reassurance; the de-novo case (AKT3) toward over-alarm.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H5 — Model &amp; capability.</w:t>
      </w:r>
      <w:r>
        <w:t xml:space="preserve"> </w:t>
      </w:r>
      <w:r>
        <w:t xml:space="preserve">Robustness differs across models and is non-monotonic in capability (a flagship is not necessarily more robust than its lower-cost sibling).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H6 — Subtlety.</w:t>
      </w:r>
      <w:r>
        <w:t xml:space="preserve"> </w:t>
      </w:r>
      <w:r>
        <w:t xml:space="preserve">Drift is predominantly subtle/disguised rather than overt, and appears even in frontier models.</w:t>
      </w:r>
    </w:p>
    <w:p>
      <w:pPr>
        <w:pStyle w:val="Heading2"/>
      </w:pPr>
      <w:bookmarkStart w:id="23" w:name="method"/>
      <w:r>
        <w:t xml:space="preserve">Method</w:t>
      </w:r>
      <w:bookmarkEnd w:id="23"/>
    </w:p>
    <w:p>
      <w:pPr>
        <w:pStyle w:val="FirstParagraph"/>
      </w:pPr>
      <w:r>
        <w:rPr>
          <w:b/>
        </w:rPr>
        <w:t xml:space="preserve">Design.</w:t>
      </w:r>
      <w:r>
        <w:t xml:space="preserve"> </w:t>
      </w:r>
      <w:r>
        <w:t xml:space="preserve">Pre-registered confirmatory experiment; 2 cases × 4 pressure conditions × 6 models, with replication (≈384 ten-turn conversations). A standardised simulated patient (OSCE-style) pressures a guarded informational chatbot for a reassuring answer.</w:t>
      </w:r>
    </w:p>
    <w:p>
      <w:pPr>
        <w:pStyle w:val="BodyText"/>
      </w:pPr>
      <w:r>
        <w:rPr>
          <w:b/>
        </w:rPr>
        <w:t xml:space="preserve">Cases &amp; anchor.</w:t>
      </w:r>
      <w:r>
        <w:t xml:space="preserve"> </w:t>
      </w:r>
      <w:r>
        <w:t xml:space="preserve">Two matched prenatal VUS cases of opposite valence (ADD1 inherited; AKT3 de-novo), each with a counselor-validated correct-stance anchor (preserved uncertainty = 0).</w:t>
      </w:r>
    </w:p>
    <w:p>
      <w:pPr>
        <w:pStyle w:val="BodyText"/>
      </w:pPr>
      <w:r>
        <w:rPr>
          <w:b/>
        </w:rPr>
        <w:t xml:space="preserve">Conditions.</w:t>
      </w:r>
      <w:r>
        <w:t xml:space="preserve"> </w:t>
      </w:r>
      <w:r>
        <w:t xml:space="preserve">No-pressure baseline; cold (logical levers only); warm (affiliative levers only); mixed (both — the ecological arm). Pressure intensity, informational content,</w:t>
      </w:r>
      <w:r>
        <w:t xml:space="preserve"> </w:t>
      </w:r>
      <w:r>
        <w:rPr>
          <w:i/>
        </w:rPr>
        <w:t xml:space="preserve">and adaptiveness</w:t>
      </w:r>
      <w:r>
        <w:t xml:space="preserve"> </w:t>
      </w:r>
      <w:r>
        <w:t xml:space="preserve">are held constant across the three pressure arms; only the lever</w:t>
      </w:r>
      <w:r>
        <w:t xml:space="preserve"> </w:t>
      </w:r>
      <w:r>
        <w:rPr>
          <w:b/>
        </w:rPr>
        <w:t xml:space="preserve">channel</w:t>
      </w:r>
      <w:r>
        <w:t xml:space="preserve"> </w:t>
      </w:r>
      <w:r>
        <w:t xml:space="preserve">varies. Cold and warm are each adaptive — every turn the patient engages the bot’s last move through her one channel — so the two arms differ only in channel (isolating it, after the counterfactual logic of SWAY). The mixed patient may use either channel or blend both in a turn; a lightweight verbalized-sampling and anti-repetition safeguard keeps her from collapsing onto the logical channel. A blind manipulation-check coder verifies the arms are matched in intensity and that the mixed arm stays genuinely mixed.</w:t>
      </w:r>
    </w:p>
    <w:p>
      <w:pPr>
        <w:pStyle w:val="BodyText"/>
      </w:pPr>
      <w:r>
        <w:rPr>
          <w:b/>
        </w:rPr>
        <w:t xml:space="preserve">Models.</w:t>
      </w:r>
      <w:r>
        <w:t xml:space="preserve"> </w:t>
      </w:r>
      <w:r>
        <w:t xml:space="preserve">Three families (Anthropic, Google, OpenAI) × two tiers (flagship, low-cost). The simulated patient is drawn from a different family than the bot wherever possible; same-family and same-model cells are flagged and treated as a stated limitation.</w:t>
      </w:r>
    </w:p>
    <w:p>
      <w:pPr>
        <w:pStyle w:val="BodyText"/>
      </w:pPr>
      <w:r>
        <w:rPr>
          <w:b/>
        </w:rPr>
        <w:t xml:space="preserve">Measures.</w:t>
      </w:r>
      <w:r>
        <w:t xml:space="preserve"> </w:t>
      </w:r>
      <w:r>
        <w:t xml:space="preserve">Per bot turn: signed deviation from the anchor (−2 over-reassurance … 0 grounded … +2 over-alarm); graded role</w:t>
      </w: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evenAndOddHeader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2026-06-16T18:10:03Z</dcterms:created>
  <dcterms:modified xsi:type="dcterms:W3CDTF">2026-06-16T18:10:03Z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