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F25A" w14:textId="77777777" w:rsidR="00AF1346" w:rsidRDefault="00AF1346" w:rsidP="00AF1346">
      <w:pPr>
        <w:rPr>
          <w:rtl/>
        </w:rPr>
      </w:pPr>
      <w:proofErr w:type="spellStart"/>
      <w:r>
        <w:rPr>
          <w:rFonts w:hint="cs"/>
          <w:rtl/>
        </w:rPr>
        <w:t>פסיפיק</w:t>
      </w:r>
      <w:proofErr w:type="spellEnd"/>
    </w:p>
    <w:p w14:paraId="06A23A8A" w14:textId="77777777" w:rsidR="00AF1346" w:rsidRDefault="00AF1346" w:rsidP="00AF1346">
      <w:pPr>
        <w:rPr>
          <w:rtl/>
        </w:rPr>
      </w:pPr>
      <w:r>
        <w:rPr>
          <w:rFonts w:cs="Arial" w:hint="cs"/>
          <w:rtl/>
        </w:rPr>
        <w:t>במהלך הרבעון החברה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לרבעון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לשנת</w:t>
      </w:r>
      <w:r>
        <w:rPr>
          <w:rFonts w:cs="Arial"/>
          <w:rtl/>
        </w:rPr>
        <w:t xml:space="preserve"> 2025. </w:t>
      </w:r>
    </w:p>
    <w:p w14:paraId="18AC7243" w14:textId="77777777" w:rsidR="00AF1346" w:rsidRPr="005243E4" w:rsidRDefault="00AF1346" w:rsidP="00AF1346">
      <w:pPr>
        <w:jc w:val="both"/>
        <w:rPr>
          <w:rFonts w:cs="Arial"/>
          <w:b/>
          <w:bCs/>
          <w:rtl/>
        </w:rPr>
      </w:pPr>
      <w:r w:rsidRPr="005243E4">
        <w:rPr>
          <w:rFonts w:cs="Arial" w:hint="cs"/>
          <w:b/>
          <w:bCs/>
          <w:rtl/>
        </w:rPr>
        <w:t>עיקרי התוצאות לרבעון:</w:t>
      </w:r>
    </w:p>
    <w:p w14:paraId="2AA83BAC" w14:textId="77777777" w:rsidR="00AF1346" w:rsidRPr="005243E4" w:rsidRDefault="00AF1346" w:rsidP="00AF1346">
      <w:pPr>
        <w:jc w:val="both"/>
        <w:rPr>
          <w:rFonts w:cs="Arial"/>
          <w:rtl/>
        </w:rPr>
      </w:pPr>
      <w:r w:rsidRPr="005243E4">
        <w:rPr>
          <w:rFonts w:cs="Arial" w:hint="cs"/>
          <w:rtl/>
        </w:rPr>
        <w:t xml:space="preserve">הכנסות משכ"ד הסתכמו </w:t>
      </w:r>
      <w:proofErr w:type="spellStart"/>
      <w:r w:rsidRPr="005243E4">
        <w:rPr>
          <w:rFonts w:cs="Arial" w:hint="cs"/>
          <w:rtl/>
        </w:rPr>
        <w:t>בכ</w:t>
      </w:r>
      <w:proofErr w:type="spellEnd"/>
      <w:r w:rsidRPr="005243E4">
        <w:rPr>
          <w:rFonts w:cs="Arial" w:hint="cs"/>
          <w:rtl/>
        </w:rPr>
        <w:t>- 30 מ' דולר, לעומת 32 מ' דולר ברבעון המקביל. הירידה נובעת ממימוש נכסים בתחום המגורים. הפסדי שערוך עמדו על 2 מ' דולר לעומת הפסדי שערוך של כ-50 מ' דולר ברבעון המקביל אשתקד. ההפסד הנקי לבעלי המניות עמד על כ-6.5 מ' דולר לעומת הפסד של 77.5 מ' דולר ברבעון המקביל אשתקד.</w:t>
      </w:r>
    </w:p>
    <w:p w14:paraId="6A13B9FF" w14:textId="27F592B6" w:rsidR="00AF1346" w:rsidRDefault="00AF1346" w:rsidP="00622CB7">
      <w:pPr>
        <w:jc w:val="both"/>
        <w:rPr>
          <w:rFonts w:cs="Arial"/>
          <w:rtl/>
        </w:rPr>
      </w:pPr>
      <w:r w:rsidRPr="005243E4">
        <w:rPr>
          <w:rFonts w:cs="Arial"/>
          <w:rtl/>
        </w:rPr>
        <w:t>נכון ל-31 במרץ 2025, לחברה גרעון בהון חוזר של כ-264.4 מיליון דולר בדוחות המאוחדים, בעיקר בשל הלוואות לפירעון בשנה הקרובה, כולל כ-104.4 מיליון דולר בגין איגרות חוב (סדרה ב') לפירעון בינואר 2026</w:t>
      </w:r>
      <w:r w:rsidRPr="005243E4">
        <w:rPr>
          <w:rFonts w:cs="Arial" w:hint="cs"/>
          <w:rtl/>
        </w:rPr>
        <w:t>.</w:t>
      </w:r>
      <w:r w:rsidRPr="005243E4">
        <w:rPr>
          <w:rFonts w:cs="Arial"/>
          <w:rtl/>
        </w:rPr>
        <w:t xml:space="preserve"> בדוחות </w:t>
      </w:r>
      <w:r w:rsidRPr="005243E4">
        <w:rPr>
          <w:rFonts w:cs="Arial" w:hint="cs"/>
          <w:rtl/>
        </w:rPr>
        <w:t>סולו</w:t>
      </w:r>
      <w:r w:rsidRPr="005243E4">
        <w:rPr>
          <w:rFonts w:cs="Arial"/>
          <w:rtl/>
        </w:rPr>
        <w:t xml:space="preserve"> נרשם גרעון של כ-119.5 מיליון דולר מאותה סיבה</w:t>
      </w:r>
      <w:r w:rsidRPr="005243E4">
        <w:rPr>
          <w:rFonts w:cs="Arial" w:hint="cs"/>
          <w:rtl/>
        </w:rPr>
        <w:t xml:space="preserve">.  </w:t>
      </w:r>
      <w:r w:rsidRPr="005243E4">
        <w:rPr>
          <w:rFonts w:cs="Arial"/>
          <w:rtl/>
        </w:rPr>
        <w:t>תזרים מזומנים חיובי מפעילות שוטפת של כ-8.8 מיליון דולר (מאוחד) וכ-31.9 מיליון דולר (</w:t>
      </w:r>
      <w:r w:rsidRPr="005243E4">
        <w:rPr>
          <w:rFonts w:cs="Arial" w:hint="cs"/>
          <w:rtl/>
        </w:rPr>
        <w:t>סולו</w:t>
      </w:r>
      <w:r w:rsidRPr="005243E4">
        <w:rPr>
          <w:rFonts w:cs="Arial"/>
          <w:rtl/>
        </w:rPr>
        <w:t>)</w:t>
      </w:r>
      <w:r w:rsidRPr="005243E4">
        <w:rPr>
          <w:rFonts w:cs="Arial"/>
        </w:rPr>
        <w:t>.</w:t>
      </w:r>
    </w:p>
    <w:p w14:paraId="11D3506B" w14:textId="77777777" w:rsidR="00AF1346" w:rsidRPr="005243E4" w:rsidRDefault="00AF1346" w:rsidP="00AF1346">
      <w:pPr>
        <w:jc w:val="both"/>
        <w:rPr>
          <w:rFonts w:cs="Arial"/>
        </w:rPr>
      </w:pPr>
      <w:r w:rsidRPr="005243E4">
        <w:rPr>
          <w:rFonts w:cs="Arial"/>
          <w:rtl/>
        </w:rPr>
        <w:t>הנחות תחזית תזרים המזומנים לשנתיים הקרובות מתבססות על ארבעה מרכיבים עיקריים</w:t>
      </w:r>
      <w:r w:rsidRPr="005243E4">
        <w:rPr>
          <w:rFonts w:cs="Arial"/>
        </w:rPr>
        <w:t>:</w:t>
      </w:r>
    </w:p>
    <w:p w14:paraId="72C0D81C" w14:textId="77777777" w:rsidR="00AF1346" w:rsidRPr="005243E4" w:rsidRDefault="00AF1346" w:rsidP="00AF1346">
      <w:pPr>
        <w:numPr>
          <w:ilvl w:val="0"/>
          <w:numId w:val="1"/>
        </w:numPr>
        <w:jc w:val="both"/>
        <w:rPr>
          <w:rFonts w:cs="Arial"/>
        </w:rPr>
      </w:pPr>
      <w:r w:rsidRPr="005243E4">
        <w:rPr>
          <w:rFonts w:cs="Arial"/>
          <w:b/>
          <w:bCs/>
          <w:rtl/>
        </w:rPr>
        <w:t>חלוקות מחברות מוחזקות מפעילות שוטפת</w:t>
      </w:r>
      <w:r w:rsidRPr="005243E4">
        <w:rPr>
          <w:rFonts w:cs="Arial"/>
          <w:rtl/>
        </w:rPr>
        <w:t xml:space="preserve"> </w:t>
      </w:r>
      <w:r w:rsidRPr="005243E4">
        <w:rPr>
          <w:rFonts w:cs="Arial"/>
        </w:rPr>
        <w:t xml:space="preserve">– </w:t>
      </w:r>
      <w:r w:rsidRPr="005243E4">
        <w:rPr>
          <w:rFonts w:cs="Arial"/>
          <w:rtl/>
        </w:rPr>
        <w:t>מבוססות על חלק החברה מהרווח התפעולי של חברות מוחזקות, בהתאם לדמי שכירות ושיעורי תפוסה צפויים</w:t>
      </w:r>
      <w:r w:rsidRPr="005243E4">
        <w:rPr>
          <w:rFonts w:cs="Arial"/>
        </w:rPr>
        <w:t>.</w:t>
      </w:r>
    </w:p>
    <w:p w14:paraId="6E34D4A6" w14:textId="77777777" w:rsidR="00AF1346" w:rsidRPr="005243E4" w:rsidRDefault="00AF1346" w:rsidP="00AF1346">
      <w:pPr>
        <w:numPr>
          <w:ilvl w:val="0"/>
          <w:numId w:val="1"/>
        </w:numPr>
        <w:jc w:val="both"/>
        <w:rPr>
          <w:rFonts w:cs="Arial"/>
        </w:rPr>
      </w:pPr>
      <w:r w:rsidRPr="005243E4">
        <w:rPr>
          <w:rFonts w:cs="Arial"/>
          <w:b/>
          <w:bCs/>
          <w:rtl/>
        </w:rPr>
        <w:t>מזומנים נטו שצפויים להתקבל מהחברות המוחזקות</w:t>
      </w:r>
      <w:r w:rsidRPr="005243E4">
        <w:rPr>
          <w:rFonts w:cs="Arial"/>
          <w:rtl/>
        </w:rPr>
        <w:t xml:space="preserve"> </w:t>
      </w:r>
      <w:r w:rsidRPr="005243E4">
        <w:rPr>
          <w:rFonts w:cs="Arial"/>
        </w:rPr>
        <w:t xml:space="preserve">– </w:t>
      </w:r>
      <w:r w:rsidRPr="005243E4">
        <w:rPr>
          <w:rFonts w:cs="Arial"/>
          <w:rtl/>
        </w:rPr>
        <w:t>לאחר ניכוי פירעונות של הלוואות בכירות והארכות תקופת הלוואה</w:t>
      </w:r>
      <w:r w:rsidRPr="005243E4">
        <w:rPr>
          <w:rFonts w:cs="Arial"/>
        </w:rPr>
        <w:t>.</w:t>
      </w:r>
    </w:p>
    <w:p w14:paraId="7BCEE39B" w14:textId="77777777" w:rsidR="00AF1346" w:rsidRPr="005243E4" w:rsidRDefault="00AF1346" w:rsidP="00AF1346">
      <w:pPr>
        <w:numPr>
          <w:ilvl w:val="0"/>
          <w:numId w:val="1"/>
        </w:numPr>
        <w:jc w:val="both"/>
        <w:rPr>
          <w:rFonts w:cs="Arial"/>
        </w:rPr>
      </w:pPr>
      <w:r w:rsidRPr="005243E4">
        <w:rPr>
          <w:rFonts w:cs="Arial"/>
          <w:b/>
          <w:bCs/>
          <w:rtl/>
        </w:rPr>
        <w:t>חלוקות נטו ממכירת נכסים</w:t>
      </w:r>
      <w:r w:rsidRPr="005243E4">
        <w:rPr>
          <w:rFonts w:cs="Arial"/>
          <w:rtl/>
        </w:rPr>
        <w:t xml:space="preserve"> </w:t>
      </w:r>
      <w:r w:rsidRPr="005243E4">
        <w:rPr>
          <w:rFonts w:cs="Arial"/>
        </w:rPr>
        <w:t xml:space="preserve">– </w:t>
      </w:r>
      <w:r w:rsidRPr="005243E4">
        <w:rPr>
          <w:rFonts w:cs="Arial"/>
          <w:rtl/>
        </w:rPr>
        <w:t>כוללות תקבולים ברוטו של כ-272.4 מיליון דולר עד סוף 2025, בעיקר ממכירת נכסים שונים (כולל קרקעות, נכסי מגורים, משרדים וניירות ערך), מהם יקוזזו כ-142.5 מיליון דולר לפירעון הלוואות ועוד הוצאות שונות. ב-2026 צפויים תקבולים של כ-130.2 מיליון דולר ממכירת קרקעות ובתי מגורים, מהם יקוזזו כ-107 מיליון דולר להלוואות והוצאות. עד מרץ 2027 צפויים תקבולים של כ-58 מיליון דולר, מהם יקוזזו כ-39 מיליון דולר להלוואות והוצאות</w:t>
      </w:r>
      <w:r w:rsidRPr="005243E4">
        <w:rPr>
          <w:rFonts w:cs="Arial"/>
        </w:rPr>
        <w:t>.</w:t>
      </w:r>
    </w:p>
    <w:p w14:paraId="4AFEA286" w14:textId="77777777" w:rsidR="00AF1346" w:rsidRPr="005243E4" w:rsidRDefault="00AF1346" w:rsidP="00AF1346">
      <w:pPr>
        <w:numPr>
          <w:ilvl w:val="0"/>
          <w:numId w:val="1"/>
        </w:numPr>
        <w:jc w:val="both"/>
        <w:rPr>
          <w:rFonts w:cs="Arial"/>
        </w:rPr>
      </w:pPr>
      <w:r w:rsidRPr="005243E4">
        <w:rPr>
          <w:rFonts w:cs="Arial"/>
          <w:b/>
          <w:bCs/>
          <w:rtl/>
        </w:rPr>
        <w:t>גיוס מימון חדש</w:t>
      </w:r>
      <w:r w:rsidRPr="005243E4">
        <w:rPr>
          <w:rFonts w:cs="Arial"/>
          <w:rtl/>
        </w:rPr>
        <w:t xml:space="preserve"> </w:t>
      </w:r>
      <w:r w:rsidRPr="005243E4">
        <w:rPr>
          <w:rFonts w:cs="Arial"/>
        </w:rPr>
        <w:t xml:space="preserve">– </w:t>
      </w:r>
      <w:r w:rsidRPr="005243E4">
        <w:rPr>
          <w:rFonts w:cs="Arial"/>
          <w:rtl/>
        </w:rPr>
        <w:t>החברה צופה לגייס כ-80 מיליון דולר מהסכמי מימון חדשים או מהנפקת אג"ח חדשה, בהתבסס על נכסים משועבדים ושאינם משועבדים, כולל פרויקטים כמו</w:t>
      </w:r>
      <w:r w:rsidRPr="005243E4">
        <w:rPr>
          <w:rFonts w:cs="Arial"/>
        </w:rPr>
        <w:t xml:space="preserve"> Park Highlands, Richardson </w:t>
      </w:r>
      <w:r w:rsidRPr="005243E4">
        <w:rPr>
          <w:rFonts w:cs="Arial"/>
          <w:rtl/>
        </w:rPr>
        <w:t>ו</w:t>
      </w:r>
      <w:r w:rsidRPr="005243E4">
        <w:rPr>
          <w:rFonts w:cs="Arial"/>
        </w:rPr>
        <w:t xml:space="preserve">-West 210 </w:t>
      </w:r>
      <w:proofErr w:type="spellStart"/>
      <w:r w:rsidRPr="005243E4">
        <w:rPr>
          <w:rFonts w:cs="Arial"/>
        </w:rPr>
        <w:t>st</w:t>
      </w:r>
      <w:proofErr w:type="spellEnd"/>
      <w:r w:rsidRPr="005243E4">
        <w:rPr>
          <w:rFonts w:cs="Arial"/>
        </w:rPr>
        <w:t xml:space="preserve"> 31 </w:t>
      </w:r>
      <w:r w:rsidRPr="005243E4">
        <w:rPr>
          <w:rFonts w:cs="Arial"/>
          <w:rtl/>
        </w:rPr>
        <w:t>בניו יורק</w:t>
      </w:r>
      <w:r w:rsidRPr="005243E4">
        <w:rPr>
          <w:rFonts w:cs="Arial"/>
        </w:rPr>
        <w:t>.</w:t>
      </w:r>
    </w:p>
    <w:p w14:paraId="25ADDA34" w14:textId="77777777" w:rsidR="00AF1346" w:rsidRPr="005243E4" w:rsidRDefault="00AF1346" w:rsidP="00AF1346">
      <w:pPr>
        <w:jc w:val="both"/>
        <w:rPr>
          <w:rFonts w:cs="Arial"/>
          <w:b/>
          <w:bCs/>
          <w:rtl/>
        </w:rPr>
      </w:pPr>
      <w:proofErr w:type="spellStart"/>
      <w:r w:rsidRPr="005243E4">
        <w:rPr>
          <w:rFonts w:cs="Arial" w:hint="cs"/>
          <w:b/>
          <w:bCs/>
          <w:rtl/>
        </w:rPr>
        <w:t>ארועים</w:t>
      </w:r>
      <w:proofErr w:type="spellEnd"/>
      <w:r w:rsidRPr="005243E4">
        <w:rPr>
          <w:rFonts w:cs="Arial" w:hint="cs"/>
          <w:b/>
          <w:bCs/>
          <w:rtl/>
        </w:rPr>
        <w:t xml:space="preserve"> נוספים:</w:t>
      </w:r>
    </w:p>
    <w:p w14:paraId="1998C978" w14:textId="77777777" w:rsidR="00AF1346" w:rsidRPr="005243E4" w:rsidRDefault="00AF1346" w:rsidP="00AF1346">
      <w:pPr>
        <w:jc w:val="both"/>
        <w:rPr>
          <w:rFonts w:cs="Arial"/>
          <w:rtl/>
        </w:rPr>
      </w:pPr>
      <w:r w:rsidRPr="005243E4">
        <w:rPr>
          <w:rFonts w:cs="Arial"/>
          <w:b/>
          <w:bCs/>
          <w:rtl/>
        </w:rPr>
        <w:t>מכירת 12 בתי מגורים</w:t>
      </w:r>
      <w:r w:rsidRPr="005243E4">
        <w:rPr>
          <w:rFonts w:cs="Arial"/>
        </w:rPr>
        <w:t xml:space="preserve"> </w:t>
      </w:r>
      <w:r w:rsidRPr="005243E4">
        <w:rPr>
          <w:rFonts w:cs="Arial" w:hint="cs"/>
          <w:rtl/>
        </w:rPr>
        <w:t xml:space="preserve">- </w:t>
      </w:r>
      <w:r w:rsidRPr="005243E4">
        <w:rPr>
          <w:rFonts w:cs="Arial"/>
          <w:rtl/>
        </w:rPr>
        <w:t xml:space="preserve">ברבעון הראשון של 2025 נמכרו 12 בתי מגורים בתמורה כוללת של כ-1.6 מיליון דולר, והחברה קיבלה מהם תזרים נטו של כ-0.4 מיליון דולר לאחר הוצאות </w:t>
      </w:r>
      <w:proofErr w:type="spellStart"/>
      <w:r w:rsidRPr="005243E4">
        <w:rPr>
          <w:rFonts w:cs="Arial"/>
          <w:rtl/>
        </w:rPr>
        <w:t>ופרעון</w:t>
      </w:r>
      <w:proofErr w:type="spellEnd"/>
      <w:r w:rsidRPr="005243E4">
        <w:rPr>
          <w:rFonts w:cs="Arial"/>
          <w:rtl/>
        </w:rPr>
        <w:t xml:space="preserve"> הלוואה</w:t>
      </w:r>
      <w:r w:rsidRPr="005243E4">
        <w:rPr>
          <w:rFonts w:cs="Arial" w:hint="cs"/>
          <w:rtl/>
        </w:rPr>
        <w:t>.</w:t>
      </w:r>
    </w:p>
    <w:p w14:paraId="1575CC80" w14:textId="77777777" w:rsidR="00AF1346" w:rsidRPr="005243E4" w:rsidRDefault="00AF1346" w:rsidP="00AF1346">
      <w:pPr>
        <w:jc w:val="both"/>
        <w:rPr>
          <w:rFonts w:cs="Arial"/>
          <w:rtl/>
        </w:rPr>
      </w:pPr>
      <w:r w:rsidRPr="005243E4">
        <w:rPr>
          <w:rFonts w:cs="Arial"/>
          <w:b/>
          <w:bCs/>
          <w:rtl/>
        </w:rPr>
        <w:t>עדכונים בקשר עם הנכס</w:t>
      </w:r>
      <w:r w:rsidRPr="005243E4">
        <w:rPr>
          <w:rFonts w:cs="Arial" w:hint="cs"/>
          <w:b/>
          <w:bCs/>
          <w:rtl/>
        </w:rPr>
        <w:t xml:space="preserve"> </w:t>
      </w:r>
      <w:r w:rsidRPr="005243E4">
        <w:rPr>
          <w:rFonts w:cs="Arial"/>
          <w:b/>
          <w:bCs/>
        </w:rPr>
        <w:t xml:space="preserve"> -</w:t>
      </w:r>
      <w:r w:rsidRPr="005243E4">
        <w:rPr>
          <w:rFonts w:cs="Arial"/>
        </w:rPr>
        <w:t xml:space="preserve">  </w:t>
      </w:r>
      <w:r w:rsidRPr="005243E4">
        <w:rPr>
          <w:rFonts w:cs="Arial"/>
          <w:b/>
          <w:bCs/>
        </w:rPr>
        <w:t>William 110</w:t>
      </w:r>
      <w:r w:rsidRPr="005243E4">
        <w:rPr>
          <w:rFonts w:cs="Arial"/>
          <w:rtl/>
        </w:rPr>
        <w:t>החברה מעריכה כי השוכר יאכלס את כל שטחי ההסכם במהלך המחצית השנייה של 2025, בהתאם לקצב התקדמות עבודות השיפוץ</w:t>
      </w:r>
      <w:r w:rsidRPr="005243E4">
        <w:rPr>
          <w:rFonts w:cs="Arial"/>
        </w:rPr>
        <w:t>.</w:t>
      </w:r>
      <w:r w:rsidRPr="005243E4">
        <w:rPr>
          <w:rFonts w:cs="Arial" w:hint="cs"/>
          <w:rtl/>
        </w:rPr>
        <w:t xml:space="preserve"> בנוסף, </w:t>
      </w:r>
      <w:proofErr w:type="spellStart"/>
      <w:r w:rsidRPr="005243E4">
        <w:rPr>
          <w:rFonts w:cs="Arial" w:hint="cs"/>
          <w:rtl/>
        </w:rPr>
        <w:t>פסיפיק</w:t>
      </w:r>
      <w:proofErr w:type="spellEnd"/>
      <w:r w:rsidRPr="005243E4">
        <w:rPr>
          <w:rFonts w:cs="Arial" w:hint="cs"/>
          <w:rtl/>
        </w:rPr>
        <w:t xml:space="preserve"> מעדכנת שחתמה על </w:t>
      </w:r>
      <w:r w:rsidRPr="005243E4">
        <w:rPr>
          <w:rFonts w:cs="Arial"/>
          <w:rtl/>
        </w:rPr>
        <w:t>הסכם הלוואת</w:t>
      </w:r>
      <w:r w:rsidRPr="005243E4">
        <w:rPr>
          <w:rFonts w:cs="Arial"/>
        </w:rPr>
        <w:t xml:space="preserve"> Mezzanine </w:t>
      </w:r>
      <w:r w:rsidRPr="005243E4">
        <w:rPr>
          <w:rFonts w:cs="Arial"/>
          <w:rtl/>
        </w:rPr>
        <w:t>בגובה 21 מיליון דולר (מתוכם כ-13.4 מיליון נמשכו מיידית) למימון עבודות השיפורים בנכס, בריבית שנתית של +15%</w:t>
      </w:r>
      <w:r w:rsidRPr="005243E4">
        <w:rPr>
          <w:rFonts w:cs="Arial"/>
        </w:rPr>
        <w:t xml:space="preserve"> SOFR, </w:t>
      </w:r>
      <w:r w:rsidRPr="005243E4">
        <w:rPr>
          <w:rFonts w:cs="Arial"/>
          <w:rtl/>
        </w:rPr>
        <w:t>עם פירעון מלא ביולי 2026 ואפשרות להארכה בשתי תקופות של שנה. ההלוואה מובטחת בערבות מלאה של חברת הבת</w:t>
      </w:r>
      <w:r w:rsidRPr="005243E4">
        <w:rPr>
          <w:rFonts w:cs="Arial"/>
        </w:rPr>
        <w:t xml:space="preserve"> SOR Oak Pacific Properties, </w:t>
      </w:r>
      <w:r w:rsidRPr="005243E4">
        <w:rPr>
          <w:rFonts w:cs="Arial"/>
          <w:rtl/>
        </w:rPr>
        <w:t>והחברה מעריכה כי לא יידרש מימון נוסף להשלמת העבודות, כאשר עיקר ההחזר צפוי להתבצע באמצעות תשלומי החזר הוצאות מהשוכר, שמהם כבר מגיעים לה כ-15.3 מיליון דולר</w:t>
      </w:r>
    </w:p>
    <w:p w14:paraId="6332FE0D" w14:textId="77777777" w:rsidR="00AF1346" w:rsidRDefault="00AF1346" w:rsidP="00AF1346">
      <w:pPr>
        <w:jc w:val="both"/>
        <w:rPr>
          <w:rFonts w:cs="Arial"/>
          <w:rtl/>
        </w:rPr>
      </w:pPr>
    </w:p>
    <w:p w14:paraId="3649115D" w14:textId="77777777" w:rsidR="00AF1346" w:rsidRDefault="00AF1346" w:rsidP="00AF1346">
      <w:pPr>
        <w:jc w:val="both"/>
        <w:rPr>
          <w:rtl/>
        </w:rPr>
      </w:pPr>
      <w:r w:rsidRPr="005243E4">
        <w:rPr>
          <w:rFonts w:cs="Arial" w:hint="cs"/>
          <w:b/>
          <w:bCs/>
          <w:rtl/>
        </w:rPr>
        <w:t>עדכון</w:t>
      </w:r>
      <w:r w:rsidRPr="005243E4">
        <w:rPr>
          <w:rFonts w:cs="Arial"/>
          <w:b/>
          <w:bCs/>
          <w:rtl/>
        </w:rPr>
        <w:t xml:space="preserve"> </w:t>
      </w:r>
      <w:r w:rsidRPr="005243E4">
        <w:rPr>
          <w:rFonts w:cs="Arial" w:hint="cs"/>
          <w:b/>
          <w:bCs/>
          <w:rtl/>
        </w:rPr>
        <w:t>למחזיקי</w:t>
      </w:r>
      <w:r w:rsidRPr="005243E4">
        <w:rPr>
          <w:rFonts w:cs="Arial"/>
          <w:b/>
          <w:bCs/>
          <w:rtl/>
        </w:rPr>
        <w:t xml:space="preserve"> </w:t>
      </w:r>
      <w:r w:rsidRPr="005243E4">
        <w:rPr>
          <w:rFonts w:cs="Arial" w:hint="cs"/>
          <w:b/>
          <w:bCs/>
          <w:rtl/>
        </w:rPr>
        <w:t>אג</w:t>
      </w:r>
      <w:r w:rsidRPr="005243E4">
        <w:rPr>
          <w:rFonts w:cs="Arial"/>
          <w:b/>
          <w:bCs/>
          <w:rtl/>
        </w:rPr>
        <w:t>"</w:t>
      </w:r>
      <w:r w:rsidRPr="005243E4">
        <w:rPr>
          <w:rFonts w:cs="Arial" w:hint="cs"/>
          <w:b/>
          <w:bCs/>
          <w:rtl/>
        </w:rPr>
        <w:t>ח</w:t>
      </w:r>
      <w:r w:rsidRPr="005243E4">
        <w:rPr>
          <w:rFonts w:cs="Arial"/>
          <w:b/>
          <w:bCs/>
          <w:rtl/>
        </w:rPr>
        <w:t xml:space="preserve"> </w:t>
      </w:r>
      <w:r w:rsidRPr="005243E4">
        <w:rPr>
          <w:rFonts w:cs="Arial" w:hint="cs"/>
          <w:b/>
          <w:bCs/>
          <w:rtl/>
        </w:rPr>
        <w:t>ג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-19 </w:t>
      </w:r>
      <w:r>
        <w:rPr>
          <w:rFonts w:cs="Arial" w:hint="cs"/>
          <w:rtl/>
        </w:rPr>
        <w:t>במאי</w:t>
      </w:r>
      <w:r>
        <w:rPr>
          <w:rFonts w:cs="Arial"/>
          <w:rtl/>
        </w:rPr>
        <w:t xml:space="preserve"> 2025,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הכספי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החברה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חתמה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פיננסי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אמריקאי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-80 </w:t>
      </w:r>
      <w:r>
        <w:rPr>
          <w:rFonts w:cs="Arial" w:hint="cs"/>
          <w:rtl/>
        </w:rPr>
        <w:t>מיליון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דולר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ישמש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יושלם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לפירעון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איגרות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החוב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סדרה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')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ההלוואה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תובטח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בשעבוד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זכויות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בקרקעות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בפרויקטים</w:t>
      </w:r>
      <w:r>
        <w:rPr>
          <w:rFonts w:cs="Arial"/>
          <w:rtl/>
        </w:rPr>
        <w:t xml:space="preserve"> </w:t>
      </w:r>
      <w:r>
        <w:t>Highlands Park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Richardson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שחלקן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משועבדות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לטובת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מחזיקי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האג</w:t>
      </w:r>
      <w:r>
        <w:rPr>
          <w:rFonts w:cs="Arial"/>
          <w:rtl/>
        </w:rPr>
        <w:t>"</w:t>
      </w:r>
      <w:r>
        <w:rPr>
          <w:rFonts w:cs="Arial" w:hint="cs"/>
          <w:rtl/>
        </w:rPr>
        <w:t>ח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קרקעות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לרבות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יורק</w:t>
      </w:r>
      <w:r>
        <w:rPr>
          <w:rFonts w:cs="Arial"/>
          <w:rtl/>
        </w:rPr>
        <w:t xml:space="preserve"> (</w:t>
      </w:r>
      <w:r>
        <w:t xml:space="preserve">Park West 210 </w:t>
      </w:r>
      <w:proofErr w:type="spellStart"/>
      <w:r>
        <w:t>st</w:t>
      </w:r>
      <w:proofErr w:type="spellEnd"/>
      <w:r>
        <w:t xml:space="preserve"> 31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שאינן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משועבדות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כיום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יישא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משתנה</w:t>
      </w:r>
      <w:r>
        <w:rPr>
          <w:rFonts w:cs="Arial"/>
          <w:rtl/>
        </w:rPr>
        <w:t xml:space="preserve"> </w:t>
      </w:r>
      <w:r>
        <w:t>SOFR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שייקבע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וייפרע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תשלומים</w:t>
      </w:r>
      <w:r>
        <w:rPr>
          <w:rFonts w:cs="Arial"/>
          <w:rtl/>
        </w:rPr>
        <w:t xml:space="preserve">: 45 </w:t>
      </w:r>
      <w:r>
        <w:rPr>
          <w:rFonts w:cs="Arial" w:hint="cs"/>
          <w:rtl/>
        </w:rPr>
        <w:t>מיליון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דולר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במרץ</w:t>
      </w:r>
      <w:r>
        <w:rPr>
          <w:rFonts w:cs="Arial"/>
          <w:rtl/>
        </w:rPr>
        <w:t xml:space="preserve"> 2027 </w:t>
      </w:r>
      <w:r>
        <w:rPr>
          <w:rFonts w:cs="Arial" w:hint="cs"/>
          <w:rtl/>
        </w:rPr>
        <w:t>והיתרה</w:t>
      </w:r>
      <w:r>
        <w:rPr>
          <w:rFonts w:cs="Arial"/>
          <w:rtl/>
        </w:rPr>
        <w:t xml:space="preserve">, 35 </w:t>
      </w:r>
      <w:r>
        <w:rPr>
          <w:rFonts w:cs="Arial" w:hint="cs"/>
          <w:rtl/>
        </w:rPr>
        <w:t>מיליון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דולר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במרץ</w:t>
      </w:r>
      <w:r>
        <w:rPr>
          <w:rFonts w:cs="Arial"/>
          <w:rtl/>
        </w:rPr>
        <w:t xml:space="preserve"> 2028. </w:t>
      </w:r>
      <w:r>
        <w:rPr>
          <w:rFonts w:cs="Arial" w:hint="cs"/>
          <w:rtl/>
        </w:rPr>
        <w:t>הסכם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יכלול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תניית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צולבת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שהפרה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איגרות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כהפרה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ההסכם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החברה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מציינת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כספים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שיתקבלו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ממכירת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קרקעות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 </w:t>
      </w:r>
      <w:r>
        <w:t>Highlands Park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ישמשו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ההלוואה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להשלמת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ההסכם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במהלך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יולי</w:t>
      </w:r>
      <w:r>
        <w:rPr>
          <w:rFonts w:cs="Arial"/>
          <w:rtl/>
        </w:rPr>
        <w:t xml:space="preserve"> 2025.</w:t>
      </w:r>
    </w:p>
    <w:p w14:paraId="2C2BF20E" w14:textId="77777777" w:rsidR="00AF1346" w:rsidRPr="00F30D72" w:rsidRDefault="00AF1346" w:rsidP="00AF1346"/>
    <w:p w14:paraId="2CF1D1B0" w14:textId="77777777" w:rsidR="00AF1346" w:rsidRPr="00F30D72" w:rsidRDefault="00AF1346" w:rsidP="00AF1346"/>
    <w:p w14:paraId="4066CC65" w14:textId="77777777" w:rsidR="00A47194" w:rsidRPr="00AF1346" w:rsidRDefault="00A47194" w:rsidP="00405E37">
      <w:pPr>
        <w:rPr>
          <w:u w:val="single"/>
          <w:rtl/>
        </w:rPr>
      </w:pPr>
    </w:p>
    <w:p w14:paraId="756F1206" w14:textId="77777777" w:rsidR="00C529ED" w:rsidRDefault="00C529ED" w:rsidP="00C529ED">
      <w:pPr>
        <w:spacing w:after="0" w:line="240" w:lineRule="auto"/>
        <w:rPr>
          <w:rFonts w:ascii="Arial" w:eastAsia="Calibri" w:hAnsi="Arial" w:cs="Arial"/>
          <w:b/>
          <w:bCs/>
          <w:color w:val="2F5496"/>
          <w:u w:val="single"/>
          <w:rtl/>
        </w:rPr>
      </w:pPr>
    </w:p>
    <w:p w14:paraId="411360B9" w14:textId="77777777" w:rsidR="008E72E2" w:rsidRDefault="008E72E2" w:rsidP="00C529ED">
      <w:pPr>
        <w:spacing w:after="0" w:line="240" w:lineRule="auto"/>
        <w:rPr>
          <w:rFonts w:ascii="Arial" w:eastAsia="Calibri" w:hAnsi="Arial" w:cs="Arial"/>
          <w:b/>
          <w:bCs/>
          <w:color w:val="2F5496"/>
          <w:u w:val="single"/>
          <w:rtl/>
        </w:rPr>
      </w:pPr>
    </w:p>
    <w:p w14:paraId="1F727AB1" w14:textId="77777777" w:rsidR="00880795" w:rsidRDefault="00880795" w:rsidP="00405E37">
      <w:pPr>
        <w:rPr>
          <w:u w:val="single"/>
          <w:rtl/>
        </w:rPr>
      </w:pPr>
    </w:p>
    <w:p w14:paraId="05D997D8" w14:textId="77777777" w:rsidR="00EE1638" w:rsidRDefault="00EE1638" w:rsidP="00405E37">
      <w:pPr>
        <w:rPr>
          <w:u w:val="single"/>
          <w:rtl/>
        </w:rPr>
      </w:pPr>
    </w:p>
    <w:p w14:paraId="07A2EE26" w14:textId="77777777" w:rsidR="00EE1638" w:rsidRDefault="00EE1638" w:rsidP="00405E37">
      <w:pPr>
        <w:rPr>
          <w:u w:val="single"/>
          <w:rtl/>
        </w:rPr>
      </w:pPr>
    </w:p>
    <w:p w14:paraId="1096CF85" w14:textId="77777777" w:rsidR="005844C3" w:rsidRPr="00405E37" w:rsidRDefault="005844C3" w:rsidP="00405E37">
      <w:pPr>
        <w:rPr>
          <w:u w:val="single"/>
        </w:rPr>
      </w:pPr>
    </w:p>
    <w:sectPr w:rsidR="005844C3" w:rsidRPr="00405E37" w:rsidSect="002312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5DB73" w14:textId="77777777" w:rsidR="00CB3367" w:rsidRDefault="00CB3367" w:rsidP="002D32E5">
      <w:pPr>
        <w:spacing w:after="0" w:line="240" w:lineRule="auto"/>
      </w:pPr>
      <w:r>
        <w:separator/>
      </w:r>
    </w:p>
  </w:endnote>
  <w:endnote w:type="continuationSeparator" w:id="0">
    <w:p w14:paraId="7007160F" w14:textId="77777777" w:rsidR="00CB3367" w:rsidRDefault="00CB3367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71091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564A9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30F2C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C0872" w14:textId="77777777" w:rsidR="00CB3367" w:rsidRDefault="00CB3367" w:rsidP="002D32E5">
      <w:pPr>
        <w:spacing w:after="0" w:line="240" w:lineRule="auto"/>
      </w:pPr>
      <w:r>
        <w:separator/>
      </w:r>
    </w:p>
  </w:footnote>
  <w:footnote w:type="continuationSeparator" w:id="0">
    <w:p w14:paraId="3FE210D3" w14:textId="77777777" w:rsidR="00CB3367" w:rsidRDefault="00CB3367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AFD66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D4B8C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279B8" w14:textId="77777777" w:rsidR="002D32E5" w:rsidRDefault="002D32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A4E4E"/>
    <w:multiLevelType w:val="multilevel"/>
    <w:tmpl w:val="B6F8D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832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15A03"/>
    <w:rsid w:val="0004197B"/>
    <w:rsid w:val="00142838"/>
    <w:rsid w:val="002312BF"/>
    <w:rsid w:val="00244B50"/>
    <w:rsid w:val="00257320"/>
    <w:rsid w:val="002D32E5"/>
    <w:rsid w:val="003647D8"/>
    <w:rsid w:val="00405E37"/>
    <w:rsid w:val="00412649"/>
    <w:rsid w:val="004E4530"/>
    <w:rsid w:val="004F5A05"/>
    <w:rsid w:val="005844C3"/>
    <w:rsid w:val="00622CB7"/>
    <w:rsid w:val="00656482"/>
    <w:rsid w:val="0074179E"/>
    <w:rsid w:val="0075195A"/>
    <w:rsid w:val="00835C94"/>
    <w:rsid w:val="00880795"/>
    <w:rsid w:val="008E72E2"/>
    <w:rsid w:val="009C6177"/>
    <w:rsid w:val="009D66FC"/>
    <w:rsid w:val="009F00D8"/>
    <w:rsid w:val="00A47194"/>
    <w:rsid w:val="00A61877"/>
    <w:rsid w:val="00AF1346"/>
    <w:rsid w:val="00B63B29"/>
    <w:rsid w:val="00BF4D34"/>
    <w:rsid w:val="00C3597A"/>
    <w:rsid w:val="00C529ED"/>
    <w:rsid w:val="00CB3367"/>
    <w:rsid w:val="00CC0DAE"/>
    <w:rsid w:val="00EE1638"/>
    <w:rsid w:val="00F34235"/>
    <w:rsid w:val="00F6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3D2D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545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13</cp:revision>
  <dcterms:created xsi:type="dcterms:W3CDTF">2023-04-17T17:08:00Z</dcterms:created>
  <dcterms:modified xsi:type="dcterms:W3CDTF">2025-07-24T06:03:00Z</dcterms:modified>
</cp:coreProperties>
</file>