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7B5EF" w14:textId="77777777" w:rsidR="006629C4" w:rsidRDefault="00B064EC">
      <w:pPr>
        <w:rPr>
          <w:sz w:val="32"/>
          <w:szCs w:val="32"/>
        </w:rPr>
      </w:pPr>
      <w:r>
        <w:rPr>
          <w:sz w:val="32"/>
          <w:szCs w:val="32"/>
        </w:rPr>
        <w:t xml:space="preserve">La reprise de travail au Smic est-elle rémunératrice ? </w:t>
      </w:r>
    </w:p>
    <w:p w14:paraId="4EC7B5F0" w14:textId="77777777" w:rsidR="006629C4" w:rsidRDefault="00B064EC">
      <w:r>
        <w:t>Guillaume Allègre et Muriel Pucci</w:t>
      </w:r>
    </w:p>
    <w:p w14:paraId="4EC7B5F1" w14:textId="77777777" w:rsidR="006629C4" w:rsidRDefault="006629C4"/>
    <w:p w14:paraId="2E34B37F" w14:textId="3620514B" w:rsidR="005B3DEB" w:rsidRDefault="00B064EC">
      <w:pPr>
        <w:jc w:val="both"/>
      </w:pPr>
      <w:r>
        <w:t xml:space="preserve">La question des gains à la reprise d’emploi est récurrente dans un contexte où les politiques de tout bord insistent sur la valeur travail : il faut que </w:t>
      </w:r>
      <w:r w:rsidR="00D62D0D">
        <w:t>le travail soit plus rémunérateur que l’assistance</w:t>
      </w:r>
      <w:r>
        <w:t xml:space="preserve">. </w:t>
      </w:r>
      <w:r w:rsidR="005B3DEB">
        <w:t xml:space="preserve">Mais </w:t>
      </w:r>
      <w:r w:rsidR="00251A2B">
        <w:t xml:space="preserve">cela ne doit pas passer par la baisse du revenu d’assistance car </w:t>
      </w:r>
      <w:r w:rsidR="005B3DEB">
        <w:t xml:space="preserve">il faut aussi </w:t>
      </w:r>
      <w:r w:rsidR="00251A2B">
        <w:t xml:space="preserve">d’un côté </w:t>
      </w:r>
      <w:r w:rsidR="005B3DEB">
        <w:t xml:space="preserve">que le travail </w:t>
      </w:r>
      <w:r w:rsidR="00251A2B">
        <w:t>soit un rempart contre</w:t>
      </w:r>
      <w:r w:rsidR="005B3DEB">
        <w:t xml:space="preserve"> la pauvreté</w:t>
      </w:r>
      <w:r w:rsidR="00251A2B">
        <w:t>, et de l’autre que les personnes sans emploi échappent à la grande pauvreté</w:t>
      </w:r>
      <w:r w:rsidR="005B3DEB">
        <w:t xml:space="preserve">. Face à ces trois objectifs, que fait le système social et fiscal français actuel ?  </w:t>
      </w:r>
    </w:p>
    <w:p w14:paraId="4EC7B5F3" w14:textId="7EE258CB" w:rsidR="006629C4" w:rsidRDefault="005B3DEB">
      <w:pPr>
        <w:jc w:val="both"/>
      </w:pPr>
      <w:r>
        <w:t>C</w:t>
      </w:r>
      <w:r w:rsidR="00B064EC">
        <w:t xml:space="preserve">omme le montrent les graphiques ci-dessous, </w:t>
      </w:r>
      <w:r w:rsidR="00E33300">
        <w:t xml:space="preserve">si </w:t>
      </w:r>
      <w:r w:rsidR="00B064EC">
        <w:t>le système social et fiscal français garantit que le travail</w:t>
      </w:r>
      <w:r w:rsidR="00251A2B">
        <w:t>, même à temps partiel,</w:t>
      </w:r>
      <w:r w:rsidR="00B064EC">
        <w:t xml:space="preserve"> est </w:t>
      </w:r>
      <w:r w:rsidR="00251A2B">
        <w:t xml:space="preserve">plus </w:t>
      </w:r>
      <w:r w:rsidR="00B064EC">
        <w:t>rémunérateur que les revenus d’assistance, il ne garantit pas toujours que le l’emploi au Smic à temps-plein sorte le foyer du travailleur de la pauvreté monétaire (définie ici avec un seuil à 60% du niveau de vie médian)</w:t>
      </w:r>
      <w:r w:rsidR="00251A2B">
        <w:t xml:space="preserve">. Il </w:t>
      </w:r>
      <w:r w:rsidR="005D0052">
        <w:t>ne garantit pas non plus un niveau de vie suffisant pour les personnes sans revenus du travail</w:t>
      </w:r>
      <w:r w:rsidR="00B064EC">
        <w:t xml:space="preserve">. </w:t>
      </w:r>
    </w:p>
    <w:p w14:paraId="69B79EB8" w14:textId="1F8E4CFE" w:rsidR="00E53FB7" w:rsidRDefault="00B064EC">
      <w:pPr>
        <w:jc w:val="both"/>
      </w:pPr>
      <w:r>
        <w:t>Le cas d</w:t>
      </w:r>
      <w:r w:rsidR="00A2427E">
        <w:t xml:space="preserve">’une personne seule locataire </w:t>
      </w:r>
      <w:r>
        <w:t xml:space="preserve">représenté sur le graphique 1 illustre </w:t>
      </w:r>
      <w:r w:rsidR="00E33300">
        <w:t>la façon dont le système socio-fiscal assure que le travail paie mieux que l’assistance, même pour de petites durées de travail</w:t>
      </w:r>
      <w:r>
        <w:t>. Sans revenus d’activité, cette personne peut percevoir 851 euros de prestations sociales (559 euros de RSA auxquels se cumulent 292 euros d’allocations logement</w:t>
      </w:r>
      <w:r w:rsidR="00A2427E">
        <w:rPr>
          <w:rStyle w:val="Appelnotedebasdep"/>
        </w:rPr>
        <w:footnoteReference w:id="1"/>
      </w:r>
      <w:r>
        <w:t>)</w:t>
      </w:r>
      <w:r w:rsidR="00A2427E">
        <w:t>. Son revenu disponible équivaut alors à 65% du seuil de pauvreté monétaire</w:t>
      </w:r>
      <w:r w:rsidR="00A2427E">
        <w:rPr>
          <w:rStyle w:val="Appelnotedebasdep"/>
        </w:rPr>
        <w:footnoteReference w:id="2"/>
      </w:r>
      <w:r w:rsidR="00A2427E">
        <w:t xml:space="preserve"> (1 309 euros pour une personne seule)</w:t>
      </w:r>
      <w:r w:rsidR="00B47F10">
        <w:t xml:space="preserve"> </w:t>
      </w:r>
      <w:r w:rsidR="00AA024C">
        <w:t>soit</w:t>
      </w:r>
      <w:r w:rsidR="001D7DE0">
        <w:t xml:space="preserve"> 39% du niveau de vie médian. Il est donc </w:t>
      </w:r>
      <w:r w:rsidR="00B47F10">
        <w:t>légèrement inférieur au seuil de grande pauvreté (à 40% du niveau de vie médian, 873 €)</w:t>
      </w:r>
      <w:r w:rsidR="00A2427E">
        <w:t>.</w:t>
      </w:r>
      <w:r w:rsidR="00B47F10" w:rsidRPr="00B47F10">
        <w:t xml:space="preserve"> </w:t>
      </w:r>
      <w:r w:rsidR="00A07A95">
        <w:t>S</w:t>
      </w:r>
      <w:r w:rsidR="00B47F10">
        <w:t xml:space="preserve">a situation peut même être encore plus défavorable si elle ne recourt par à l’ensemble des aides auxquelles elle a droit. </w:t>
      </w:r>
      <w:r>
        <w:t xml:space="preserve">Or, </w:t>
      </w:r>
      <w:hyperlink r:id="rId7" w:history="1">
        <w:r>
          <w:rPr>
            <w:rStyle w:val="Lienhypertexte"/>
          </w:rPr>
          <w:t xml:space="preserve">selon la </w:t>
        </w:r>
        <w:bookmarkStart w:id="0" w:name="_Hlt177374261"/>
        <w:bookmarkStart w:id="1" w:name="_Hlt177374262"/>
        <w:r>
          <w:rPr>
            <w:rStyle w:val="Lienhypertexte"/>
          </w:rPr>
          <w:t>D</w:t>
        </w:r>
        <w:bookmarkEnd w:id="0"/>
        <w:bookmarkEnd w:id="1"/>
        <w:r>
          <w:rPr>
            <w:rStyle w:val="Lienhypertexte"/>
          </w:rPr>
          <w:t>REES</w:t>
        </w:r>
      </w:hyperlink>
      <w:r>
        <w:t>, le taux de non-recours au RSA est estimé à 34</w:t>
      </w:r>
      <w:r w:rsidR="00A2427E">
        <w:rPr>
          <w:rFonts w:hint="cs"/>
        </w:rPr>
        <w:t> </w:t>
      </w:r>
      <w:r>
        <w:t xml:space="preserve">% en moyenne par trimestre, et à 20 % de façon pérenne (trois trimestre consécutifs). </w:t>
      </w:r>
    </w:p>
    <w:p w14:paraId="4EC7B5F4" w14:textId="3F701FDC" w:rsidR="006629C4" w:rsidRDefault="00B064EC">
      <w:pPr>
        <w:jc w:val="both"/>
      </w:pPr>
      <w:r>
        <w:t>Si cette personne reprend un emploi</w:t>
      </w:r>
      <w:r w:rsidR="00A07A95">
        <w:t xml:space="preserve"> rémunéré au </w:t>
      </w:r>
      <w:r w:rsidR="00A634CA">
        <w:t>S</w:t>
      </w:r>
      <w:r w:rsidR="00A07A95">
        <w:t>mic, son revenu disponible augmente, en dépit de la baisse du montant de prestations sociales, que l’emploi soit à temps partiel ou à temps plein.</w:t>
      </w:r>
      <w:r>
        <w:t xml:space="preserve"> </w:t>
      </w:r>
      <w:r w:rsidR="00A07A95">
        <w:t xml:space="preserve">Avec un emploi à </w:t>
      </w:r>
      <w:r>
        <w:t xml:space="preserve">temps-plein, </w:t>
      </w:r>
      <w:r w:rsidR="00A07A95">
        <w:t xml:space="preserve">le salaire seul (1 399 €) suffit à sortir de la pauvreté, et la prime d’activité (258 €) permet le dépasser largement le seuil : au total, le revenu disponible est de </w:t>
      </w:r>
      <w:r>
        <w:t>1</w:t>
      </w:r>
      <w:r w:rsidR="00A07A95">
        <w:rPr>
          <w:rFonts w:hint="cs"/>
        </w:rPr>
        <w:t> </w:t>
      </w:r>
      <w:r>
        <w:t xml:space="preserve">657 </w:t>
      </w:r>
      <w:r w:rsidR="00A07A95">
        <w:t xml:space="preserve">€, </w:t>
      </w:r>
      <w:r>
        <w:t xml:space="preserve">soit 126% du seuil de pauvreté monétaire. </w:t>
      </w:r>
      <w:r w:rsidR="00A07A95">
        <w:t>Avec un emploi au 4/5</w:t>
      </w:r>
      <w:r w:rsidR="00A07A95">
        <w:rPr>
          <w:vertAlign w:val="superscript"/>
        </w:rPr>
        <w:t>èmes</w:t>
      </w:r>
      <w:r w:rsidR="00A07A95">
        <w:t xml:space="preserve">, c’est la prime d’activité </w:t>
      </w:r>
      <w:r>
        <w:t xml:space="preserve">(220 euros) </w:t>
      </w:r>
      <w:r w:rsidR="00A07A95">
        <w:t xml:space="preserve">qui </w:t>
      </w:r>
      <w:r>
        <w:t>permet de dépasser le seuil de pauvreté</w:t>
      </w:r>
      <w:r w:rsidR="00A07A95">
        <w:t>, le salaire et les aides au logement n’y suffisant pas</w:t>
      </w:r>
      <w:r>
        <w:t xml:space="preserve">. </w:t>
      </w:r>
      <w:r w:rsidR="00A07A95">
        <w:t>Enfin, avec un emploi</w:t>
      </w:r>
      <w:r>
        <w:t xml:space="preserve"> à mi-temps au Smic, la prime d’activité (275 euros) ne permet pas de dépasser le seuil de pauvreté (le niveau de vie équiva</w:t>
      </w:r>
      <w:r w:rsidR="00A07A95">
        <w:t>ut</w:t>
      </w:r>
      <w:r>
        <w:t xml:space="preserve"> à 91% du seuil de pauvreté)</w:t>
      </w:r>
      <w:r w:rsidR="00A07A95">
        <w:t xml:space="preserve"> mais </w:t>
      </w:r>
      <w:r>
        <w:t xml:space="preserve">elle </w:t>
      </w:r>
      <w:r w:rsidR="00A07A95">
        <w:t xml:space="preserve">assure </w:t>
      </w:r>
      <w:r>
        <w:t xml:space="preserve">un écart de revenu pérenne entre inactivité et emploi au Smic à mi-temps (341 euros). </w:t>
      </w:r>
    </w:p>
    <w:p w14:paraId="11305FA4" w14:textId="61A85B0F" w:rsidR="00E53FB7" w:rsidRDefault="00E53FB7">
      <w:pPr>
        <w:jc w:val="both"/>
      </w:pPr>
      <w:r w:rsidRPr="00E53FB7">
        <w:rPr>
          <w:noProof/>
        </w:rPr>
        <w:lastRenderedPageBreak/>
        <w:drawing>
          <wp:inline distT="0" distB="0" distL="0" distR="0" wp14:anchorId="12BA49DC" wp14:editId="4EB95542">
            <wp:extent cx="3488887" cy="2457450"/>
            <wp:effectExtent l="0" t="0" r="0" b="0"/>
            <wp:docPr id="106037686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497" cy="2462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34F98" w14:textId="77777777" w:rsidR="00F049DE" w:rsidRDefault="00F049DE">
      <w:pPr>
        <w:jc w:val="both"/>
      </w:pPr>
    </w:p>
    <w:p w14:paraId="4EC7B5F5" w14:textId="3D8BB24D" w:rsidR="006629C4" w:rsidRDefault="00B064EC">
      <w:pPr>
        <w:jc w:val="both"/>
      </w:pPr>
      <w:r>
        <w:t xml:space="preserve">Le cas d’une personne en couple avec deux enfants dont le conjoint travaille au </w:t>
      </w:r>
      <w:r w:rsidR="00A634CA">
        <w:t>Smic</w:t>
      </w:r>
      <w:r>
        <w:t xml:space="preserve"> à temps-plein (graphique 2) se rapproche du premier cas. Si </w:t>
      </w:r>
      <w:r w:rsidR="008530A0">
        <w:t>cette personne</w:t>
      </w:r>
      <w:r>
        <w:t xml:space="preserve"> est sans revenu</w:t>
      </w:r>
      <w:r w:rsidR="008530A0">
        <w:t xml:space="preserve">, </w:t>
      </w:r>
      <w:r>
        <w:t xml:space="preserve">le revenu disponible du foyer est de 2500 euros alors que le seuil de pauvreté pour cette configuration familiale est de 2748 euros. Le revenu disponible équivaut à 90% du seuil de pauvreté. Le travail </w:t>
      </w:r>
      <w:r w:rsidR="008530A0">
        <w:t xml:space="preserve">au </w:t>
      </w:r>
      <w:r w:rsidR="00AA024C">
        <w:t>S</w:t>
      </w:r>
      <w:r w:rsidR="008530A0">
        <w:t>mic d’un seul des deux parents</w:t>
      </w:r>
      <w:r>
        <w:t xml:space="preserve"> ne permet ainsi pas à ce</w:t>
      </w:r>
      <w:r w:rsidR="008530A0">
        <w:t>tte famille</w:t>
      </w:r>
      <w:r>
        <w:t xml:space="preserve"> de sortir de la pauvreté monétaire malgré </w:t>
      </w:r>
      <w:r w:rsidR="008530A0">
        <w:t>un montant élevé de</w:t>
      </w:r>
      <w:r>
        <w:t xml:space="preserve"> prime d’activité (609 euros</w:t>
      </w:r>
      <w:r w:rsidR="008530A0">
        <w:t xml:space="preserve">, soit près de 45 % du </w:t>
      </w:r>
      <w:r w:rsidR="00AA024C">
        <w:t>S</w:t>
      </w:r>
      <w:r w:rsidR="008530A0">
        <w:t>mic</w:t>
      </w:r>
      <w:r>
        <w:t>).  Avec un Smic à mi-temps, le revenu du foyer atteint 2</w:t>
      </w:r>
      <w:r w:rsidR="008530A0">
        <w:rPr>
          <w:rFonts w:hint="cs"/>
        </w:rPr>
        <w:t> </w:t>
      </w:r>
      <w:r>
        <w:t xml:space="preserve">802 euros : </w:t>
      </w:r>
      <w:r w:rsidR="008530A0">
        <w:t xml:space="preserve">avec un emploi à temps plein et un emploi à mi-temps, en tenant compte des prestations sociales et en particulier de la prime d’activité (415 €), la famille dépasse tout juste le seuil de pauvreté.  Avec un emploi à temps plein et l’autre à </w:t>
      </w:r>
      <w:r>
        <w:t>80%</w:t>
      </w:r>
      <w:r w:rsidR="008530A0">
        <w:t xml:space="preserve">, c’est la prime d’activité (466 €) qui permet le franchissement du seuil. Enfin avec deux emplois à plein temps au </w:t>
      </w:r>
      <w:r w:rsidR="00AA024C">
        <w:t>S</w:t>
      </w:r>
      <w:r w:rsidR="008530A0">
        <w:t>mic, les revenus du travail permettent tout juste d’atteindre le seuil de pauvreté et ce sont la</w:t>
      </w:r>
      <w:r>
        <w:t xml:space="preserve"> prime d’activité (430 euros) et </w:t>
      </w:r>
      <w:r w:rsidR="008530A0">
        <w:t xml:space="preserve">les </w:t>
      </w:r>
      <w:r>
        <w:t xml:space="preserve">prestations familiales (183 euros) </w:t>
      </w:r>
      <w:r w:rsidR="008530A0">
        <w:t xml:space="preserve">qui amènent le niveau de vie de la famille à </w:t>
      </w:r>
      <w:r>
        <w:t xml:space="preserve">124% du seuil de pauvreté (soit un niveau équivalent au cas d’une personne seule sans enfant travaillant à temps-plein). </w:t>
      </w:r>
    </w:p>
    <w:p w14:paraId="07D10E46" w14:textId="77777777" w:rsidR="00F049DE" w:rsidRDefault="00F049DE">
      <w:pPr>
        <w:jc w:val="both"/>
      </w:pPr>
    </w:p>
    <w:p w14:paraId="3E6ADF0A" w14:textId="1AEEC529" w:rsidR="00F049DE" w:rsidRDefault="00F049DE">
      <w:pPr>
        <w:jc w:val="both"/>
      </w:pPr>
      <w:r w:rsidRPr="00F049DE">
        <w:rPr>
          <w:noProof/>
        </w:rPr>
        <w:drawing>
          <wp:inline distT="0" distB="0" distL="0" distR="0" wp14:anchorId="45D07467" wp14:editId="7876C2A6">
            <wp:extent cx="3566748" cy="2393950"/>
            <wp:effectExtent l="0" t="0" r="0" b="6350"/>
            <wp:docPr id="17820931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256" cy="2395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9931" w14:textId="577F4905" w:rsidR="00E53FB7" w:rsidRDefault="00E53FB7">
      <w:pPr>
        <w:jc w:val="both"/>
      </w:pPr>
    </w:p>
    <w:p w14:paraId="4EC7B5F6" w14:textId="51F89715" w:rsidR="006629C4" w:rsidRDefault="00B064EC">
      <w:pPr>
        <w:jc w:val="both"/>
      </w:pPr>
      <w:r>
        <w:lastRenderedPageBreak/>
        <w:t xml:space="preserve">Le troisième cas est celui d’une personne en couple avec deux enfants </w:t>
      </w:r>
      <w:r w:rsidR="00693E96">
        <w:t xml:space="preserve">dont le </w:t>
      </w:r>
      <w:r>
        <w:t xml:space="preserve">conjoint </w:t>
      </w:r>
      <w:r w:rsidR="00693E96">
        <w:t xml:space="preserve">est </w:t>
      </w:r>
      <w:r>
        <w:t xml:space="preserve">inactif (graphique 3). </w:t>
      </w:r>
      <w:r w:rsidR="00B47A9A">
        <w:t xml:space="preserve">Avec un emploi au </w:t>
      </w:r>
      <w:r w:rsidR="00AA024C">
        <w:t>S</w:t>
      </w:r>
      <w:r w:rsidR="00B47A9A">
        <w:t>mic, q</w:t>
      </w:r>
      <w:r>
        <w:t xml:space="preserve">uel que soit le </w:t>
      </w:r>
      <w:r w:rsidR="00693E96">
        <w:t xml:space="preserve">temps de travail </w:t>
      </w:r>
      <w:r>
        <w:t xml:space="preserve">de cette personne, </w:t>
      </w:r>
      <w:r w:rsidR="00B47A9A">
        <w:t xml:space="preserve">le revenu disponible du foyer ne dépasse jamais le seuil de </w:t>
      </w:r>
      <w:r w:rsidR="00693E96">
        <w:t>pauvreté</w:t>
      </w:r>
      <w:r w:rsidR="00B47A9A">
        <w:t xml:space="preserve"> : il atteint </w:t>
      </w:r>
      <w:r>
        <w:t xml:space="preserve">60% </w:t>
      </w:r>
      <w:r w:rsidR="00B47A9A">
        <w:t xml:space="preserve">du seuil en l’absence de </w:t>
      </w:r>
      <w:r>
        <w:t>revenu</w:t>
      </w:r>
      <w:r w:rsidR="00B47A9A">
        <w:t xml:space="preserve"> d’activité</w:t>
      </w:r>
      <w:r>
        <w:t xml:space="preserve">, 75% pour un </w:t>
      </w:r>
      <w:r w:rsidR="00B47A9A">
        <w:t xml:space="preserve">emploi </w:t>
      </w:r>
      <w:r>
        <w:t xml:space="preserve">à mi-temps, 85% pour un </w:t>
      </w:r>
      <w:r w:rsidR="00B47A9A">
        <w:t>emploi à 80%, et</w:t>
      </w:r>
      <w:r>
        <w:t xml:space="preserve"> 91% pour un </w:t>
      </w:r>
      <w:r w:rsidR="00B47A9A">
        <w:t xml:space="preserve">emploi </w:t>
      </w:r>
      <w:r>
        <w:t xml:space="preserve">à temps-plein. Le travail est </w:t>
      </w:r>
      <w:r w:rsidR="00B47A9A">
        <w:t xml:space="preserve">toujours plus </w:t>
      </w:r>
      <w:r>
        <w:t xml:space="preserve">rémunérateur </w:t>
      </w:r>
      <w:r w:rsidR="00B47A9A">
        <w:t xml:space="preserve">que l’inactivité </w:t>
      </w:r>
      <w:r>
        <w:t xml:space="preserve">mais </w:t>
      </w:r>
      <w:r w:rsidR="00B47A9A">
        <w:t xml:space="preserve">il </w:t>
      </w:r>
      <w:r>
        <w:t xml:space="preserve">ne permet pas </w:t>
      </w:r>
      <w:r w:rsidR="00B47A9A">
        <w:t>à la famille</w:t>
      </w:r>
      <w:r>
        <w:t xml:space="preserve"> de sortir de la pauvreté. Si aucun des deux conjoints ne travaille, le revenu disponible du ménage est de 36% du niveau de vie médian. Le système social français accepte ainsi que des enfants vivent sous le seuil de </w:t>
      </w:r>
      <w:r w:rsidR="00B47A9A">
        <w:t xml:space="preserve">grande </w:t>
      </w:r>
      <w:r>
        <w:t xml:space="preserve">pauvreté </w:t>
      </w:r>
      <w:r w:rsidR="00B47A9A">
        <w:t>(40% du niveau de vie médian)</w:t>
      </w:r>
      <w:r>
        <w:t xml:space="preserve">. Il ne protège pas les </w:t>
      </w:r>
      <w:r w:rsidR="00B47A9A">
        <w:t xml:space="preserve">familles </w:t>
      </w:r>
      <w:r>
        <w:t xml:space="preserve">avec enfants de </w:t>
      </w:r>
      <w:r w:rsidR="00B47A9A">
        <w:t xml:space="preserve">la grande </w:t>
      </w:r>
      <w:r>
        <w:t>pauvreté plus que les foyers sans enfant (</w:t>
      </w:r>
      <w:r w:rsidR="00B47A9A">
        <w:t>pour mémoire, la personne seule sans enfant atteint 39% du niveau de vie médian</w:t>
      </w:r>
      <w:r>
        <w:t xml:space="preserve">). </w:t>
      </w:r>
    </w:p>
    <w:p w14:paraId="402B2FC2" w14:textId="77777777" w:rsidR="00F049DE" w:rsidRDefault="00F049DE">
      <w:pPr>
        <w:jc w:val="both"/>
      </w:pPr>
    </w:p>
    <w:p w14:paraId="76208BA1" w14:textId="65344D95" w:rsidR="00E53FB7" w:rsidRDefault="00F049DE">
      <w:pPr>
        <w:jc w:val="both"/>
      </w:pPr>
      <w:r w:rsidRPr="00F049DE">
        <w:rPr>
          <w:noProof/>
        </w:rPr>
        <w:drawing>
          <wp:inline distT="0" distB="0" distL="0" distR="0" wp14:anchorId="50E324E1" wp14:editId="069E94C5">
            <wp:extent cx="3924300" cy="2837677"/>
            <wp:effectExtent l="0" t="0" r="0" b="1270"/>
            <wp:docPr id="137013546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885" cy="2839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D919D" w14:textId="77777777" w:rsidR="00F049DE" w:rsidRDefault="00F049DE">
      <w:pPr>
        <w:jc w:val="both"/>
      </w:pPr>
    </w:p>
    <w:p w14:paraId="4EC7B5F7" w14:textId="71747481" w:rsidR="006629C4" w:rsidRDefault="00B064EC">
      <w:pPr>
        <w:jc w:val="both"/>
      </w:pPr>
      <w:r>
        <w:t>Le système social et fiscal remplit donc l’objectif qui lui a été fixé depuis la mise en place du RSA </w:t>
      </w:r>
      <w:r w:rsidR="00AA024C">
        <w:t xml:space="preserve">en 2009 </w:t>
      </w:r>
      <w:r>
        <w:t xml:space="preserve">: rendre le travail </w:t>
      </w:r>
      <w:r w:rsidR="00376AEE">
        <w:t xml:space="preserve">plus </w:t>
      </w:r>
      <w:r>
        <w:t>rémunérateur</w:t>
      </w:r>
      <w:r w:rsidR="00F47959">
        <w:t xml:space="preserve"> </w:t>
      </w:r>
      <w:r w:rsidR="00376AEE">
        <w:t>que l’assistance</w:t>
      </w:r>
      <w:r>
        <w:t xml:space="preserve">. </w:t>
      </w:r>
      <w:r w:rsidR="00B626C0">
        <w:t xml:space="preserve">Mais </w:t>
      </w:r>
      <w:r w:rsidR="006B5133">
        <w:t xml:space="preserve">avoir un emploi rémunéré au </w:t>
      </w:r>
      <w:r w:rsidR="00AA024C">
        <w:t>Sm</w:t>
      </w:r>
      <w:r w:rsidR="006B5133">
        <w:t>ic ne permet pas toujours de sortir de la pauvreté, et vivre sans emploi implique le plus souvent d’être dans une situation de grande pauvreté (sous le seuil à 40%).</w:t>
      </w:r>
      <w:r>
        <w:t xml:space="preserve">  </w:t>
      </w:r>
    </w:p>
    <w:p w14:paraId="4EC7B5F8" w14:textId="2E9FB496" w:rsidR="006629C4" w:rsidRDefault="00B064EC">
      <w:pPr>
        <w:jc w:val="both"/>
      </w:pPr>
      <w:r>
        <w:t xml:space="preserve">Que faire ? Il est possible de concilier les trois objectifs </w:t>
      </w:r>
      <w:r w:rsidR="00BD25AE">
        <w:t>(</w:t>
      </w:r>
      <w:r>
        <w:t xml:space="preserve">travail rémunérateur, </w:t>
      </w:r>
      <w:r w:rsidR="005D0052">
        <w:t xml:space="preserve">travail permettant de sortir de la pauvreté et </w:t>
      </w:r>
      <w:r w:rsidR="00BD25AE">
        <w:t xml:space="preserve">niveau de vie minimum </w:t>
      </w:r>
      <w:r>
        <w:t>suffisamment élevé</w:t>
      </w:r>
      <w:r w:rsidR="00BD25AE">
        <w:t>)</w:t>
      </w:r>
      <w:r>
        <w:t xml:space="preserve"> en relevant le </w:t>
      </w:r>
      <w:r w:rsidR="00BD25AE">
        <w:t>montant des prestations de solidarité (RSA et aides au logement)</w:t>
      </w:r>
      <w:r w:rsidR="00251A2B">
        <w:t xml:space="preserve"> tout en conservant la logique d’intéressement de la prime d’activité</w:t>
      </w:r>
      <w:r>
        <w:t xml:space="preserve">. </w:t>
      </w:r>
      <w:r w:rsidR="00BD25AE">
        <w:t xml:space="preserve">On pourrait ainsi </w:t>
      </w:r>
      <w:r w:rsidR="00251A2B">
        <w:t>revaloriser le RSA</w:t>
      </w:r>
      <w:r>
        <w:t xml:space="preserve"> </w:t>
      </w:r>
      <w:r w:rsidR="00BD25AE">
        <w:t xml:space="preserve">de sorte à assurer qu’un foyer sans emploi atteigne </w:t>
      </w:r>
      <w:r>
        <w:t>50% du niveau de vie médian, soit 1090 euros pour une personne isolée sans enfant</w:t>
      </w:r>
      <w:r w:rsidR="00BD25AE">
        <w:t>,</w:t>
      </w:r>
      <w:r>
        <w:t xml:space="preserve"> et 2 290 euros pour un couple avec 2 enfants. Avec les aides au logement actuelles, </w:t>
      </w:r>
      <w:r w:rsidR="00BD25AE">
        <w:t>pour la personne seule vivant en zone 2, cela amènerait</w:t>
      </w:r>
      <w:r w:rsidR="002A6FF9">
        <w:t xml:space="preserve"> </w:t>
      </w:r>
      <w:r w:rsidR="00251A2B">
        <w:t xml:space="preserve">le montant du RSA </w:t>
      </w:r>
      <w:r w:rsidR="002A6FF9">
        <w:t>à 798 euros</w:t>
      </w:r>
      <w:r w:rsidR="00251A2B">
        <w:t xml:space="preserve"> pour une personne seule</w:t>
      </w:r>
      <w:r>
        <w:t xml:space="preserve">. En conservant les incitations actuelles, </w:t>
      </w:r>
      <w:r w:rsidR="00AB058E">
        <w:t>par alignement du socle de la prime d’activité sur le RSA, cette revalorisation</w:t>
      </w:r>
      <w:r>
        <w:t xml:space="preserve"> permettrait au</w:t>
      </w:r>
      <w:r w:rsidR="00AB058E">
        <w:t>x</w:t>
      </w:r>
      <w:r>
        <w:t xml:space="preserve"> couple</w:t>
      </w:r>
      <w:r w:rsidR="00AB058E">
        <w:t>s</w:t>
      </w:r>
      <w:r w:rsidR="00F47959">
        <w:t xml:space="preserve"> </w:t>
      </w:r>
      <w:r w:rsidR="00AB058E">
        <w:t>avec deux enfants</w:t>
      </w:r>
      <w:r w:rsidR="00251A2B">
        <w:t xml:space="preserve"> </w:t>
      </w:r>
      <w:r>
        <w:t>de franchir le seuil de pauvreté monétaire</w:t>
      </w:r>
      <w:r w:rsidR="00F47959">
        <w:t xml:space="preserve"> avec un </w:t>
      </w:r>
      <w:r w:rsidR="00AB058E">
        <w:t xml:space="preserve">seul emploi </w:t>
      </w:r>
      <w:r w:rsidR="00F47959">
        <w:t>Smic à temps-plein</w:t>
      </w:r>
      <w:r>
        <w:t>.</w:t>
      </w:r>
    </w:p>
    <w:p w14:paraId="4EC7B5FE" w14:textId="3FDFB842" w:rsidR="006629C4" w:rsidRDefault="00644F83" w:rsidP="00644F83">
      <w:pPr>
        <w:jc w:val="both"/>
      </w:pPr>
      <w:r>
        <w:t xml:space="preserve">Grâce à la prime d’activité, le travail est rémunérateur. </w:t>
      </w:r>
      <w:r w:rsidR="00B064EC">
        <w:t xml:space="preserve">De façon contre-intuitive(malheureusement), si les gens restent pauvres malgré les allocations et les incitations … c’est qu’ils partent de trop bas. </w:t>
      </w:r>
    </w:p>
    <w:sectPr w:rsidR="006629C4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B97B11" w14:textId="77777777" w:rsidR="002A4D3A" w:rsidRDefault="002A4D3A">
      <w:pPr>
        <w:spacing w:after="0" w:line="240" w:lineRule="auto"/>
      </w:pPr>
      <w:r>
        <w:separator/>
      </w:r>
    </w:p>
  </w:endnote>
  <w:endnote w:type="continuationSeparator" w:id="0">
    <w:p w14:paraId="721AC491" w14:textId="77777777" w:rsidR="002A4D3A" w:rsidRDefault="002A4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A2F396" w14:textId="77777777" w:rsidR="002A4D3A" w:rsidRDefault="002A4D3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B371596" w14:textId="77777777" w:rsidR="002A4D3A" w:rsidRDefault="002A4D3A">
      <w:pPr>
        <w:spacing w:after="0" w:line="240" w:lineRule="auto"/>
      </w:pPr>
      <w:r>
        <w:continuationSeparator/>
      </w:r>
    </w:p>
  </w:footnote>
  <w:footnote w:id="1">
    <w:p w14:paraId="0F04BADE" w14:textId="25497C92" w:rsidR="00A2427E" w:rsidRDefault="00A2427E" w:rsidP="00A2427E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Montant de l’aide pour un locataire du parc privé, en zone 2 des aides au logement (vielle moyenne) pour un loyer égal au loyer plafond.</w:t>
      </w:r>
    </w:p>
  </w:footnote>
  <w:footnote w:id="2">
    <w:p w14:paraId="65A935B0" w14:textId="506EC4FE" w:rsidR="00A2427E" w:rsidRDefault="00A2427E" w:rsidP="00A634CA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Le dernier seuil de pauvreté publié par l’Insee est de 1216 € pour l’année 2022. Pour le comparer aux montants des prestations en 2024, nous avons appliqué à ce seuil l’inflation observée entre 2022 et juillet 2024.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9C4"/>
    <w:rsid w:val="00043EC3"/>
    <w:rsid w:val="001B364E"/>
    <w:rsid w:val="001D7DE0"/>
    <w:rsid w:val="0024138F"/>
    <w:rsid w:val="00251A2B"/>
    <w:rsid w:val="002A4D3A"/>
    <w:rsid w:val="002A6FF9"/>
    <w:rsid w:val="002E3527"/>
    <w:rsid w:val="003558B3"/>
    <w:rsid w:val="00376AEE"/>
    <w:rsid w:val="00493DCE"/>
    <w:rsid w:val="004E6BEB"/>
    <w:rsid w:val="005B3DEB"/>
    <w:rsid w:val="005D0052"/>
    <w:rsid w:val="005D2D09"/>
    <w:rsid w:val="00644F83"/>
    <w:rsid w:val="006629C4"/>
    <w:rsid w:val="00665DF7"/>
    <w:rsid w:val="00693E96"/>
    <w:rsid w:val="006B5133"/>
    <w:rsid w:val="00745C6A"/>
    <w:rsid w:val="007915D3"/>
    <w:rsid w:val="008530A0"/>
    <w:rsid w:val="00A07A95"/>
    <w:rsid w:val="00A2427E"/>
    <w:rsid w:val="00A634CA"/>
    <w:rsid w:val="00A90AEE"/>
    <w:rsid w:val="00AA024C"/>
    <w:rsid w:val="00AB058E"/>
    <w:rsid w:val="00B064EC"/>
    <w:rsid w:val="00B10F1E"/>
    <w:rsid w:val="00B47A9A"/>
    <w:rsid w:val="00B47F10"/>
    <w:rsid w:val="00B626C0"/>
    <w:rsid w:val="00BD25AE"/>
    <w:rsid w:val="00CB77C4"/>
    <w:rsid w:val="00D62D0D"/>
    <w:rsid w:val="00E33300"/>
    <w:rsid w:val="00E53FB7"/>
    <w:rsid w:val="00F049DE"/>
    <w:rsid w:val="00F4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C7B5EF"/>
  <w15:docId w15:val="{26D316DE-F119-463E-BF81-30CE85BA0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Times New Roman"/>
        <w:kern w:val="3"/>
        <w:sz w:val="22"/>
        <w:szCs w:val="22"/>
        <w:lang w:val="fr-FR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paragraph" w:styleId="Titre1">
    <w:name w:val="heading 1"/>
    <w:basedOn w:val="Normal"/>
    <w:next w:val="Normal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itre5">
    <w:name w:val="heading 5"/>
    <w:basedOn w:val="Normal"/>
    <w:next w:val="Normal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itre6">
    <w:name w:val="heading 6"/>
    <w:basedOn w:val="Normal"/>
    <w:next w:val="Normal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re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re2Car">
    <w:name w:val="Titre 2 Car"/>
    <w:basedOn w:val="Policepardfau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re3Car">
    <w:name w:val="Titre 3 Car"/>
    <w:basedOn w:val="Policepardfaut"/>
    <w:rPr>
      <w:rFonts w:eastAsia="Times New Roman" w:cs="Times New Roman"/>
      <w:color w:val="0F4761"/>
      <w:sz w:val="28"/>
      <w:szCs w:val="28"/>
    </w:rPr>
  </w:style>
  <w:style w:type="character" w:customStyle="1" w:styleId="Titre4Car">
    <w:name w:val="Titre 4 Car"/>
    <w:basedOn w:val="Policepardfaut"/>
    <w:rPr>
      <w:rFonts w:eastAsia="Times New Roman" w:cs="Times New Roman"/>
      <w:i/>
      <w:iCs/>
      <w:color w:val="0F4761"/>
    </w:rPr>
  </w:style>
  <w:style w:type="character" w:customStyle="1" w:styleId="Titre5Car">
    <w:name w:val="Titre 5 Car"/>
    <w:basedOn w:val="Policepardfaut"/>
    <w:rPr>
      <w:rFonts w:eastAsia="Times New Roman" w:cs="Times New Roman"/>
      <w:color w:val="0F4761"/>
    </w:rPr>
  </w:style>
  <w:style w:type="character" w:customStyle="1" w:styleId="Titre6Car">
    <w:name w:val="Titre 6 Car"/>
    <w:basedOn w:val="Policepardfaut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basedOn w:val="Policepardfaut"/>
    <w:rPr>
      <w:rFonts w:eastAsia="Times New Roman" w:cs="Times New Roman"/>
      <w:color w:val="595959"/>
    </w:rPr>
  </w:style>
  <w:style w:type="character" w:customStyle="1" w:styleId="Titre8Car">
    <w:name w:val="Titre 8 Car"/>
    <w:basedOn w:val="Policepardfaut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basedOn w:val="Policepardfaut"/>
    <w:rPr>
      <w:rFonts w:eastAsia="Times New Roman" w:cs="Times New Roman"/>
      <w:color w:val="272727"/>
    </w:rPr>
  </w:style>
  <w:style w:type="paragraph" w:styleId="Titre">
    <w:name w:val="Title"/>
    <w:basedOn w:val="Normal"/>
    <w:next w:val="Normal"/>
    <w:pPr>
      <w:spacing w:after="80" w:line="240" w:lineRule="auto"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reCar">
    <w:name w:val="Titre Car"/>
    <w:basedOn w:val="Policepardfau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us-titre">
    <w:name w:val="Subtitle"/>
    <w:basedOn w:val="Normal"/>
    <w:next w:val="Normal"/>
    <w:rPr>
      <w:rFonts w:eastAsia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pPr>
      <w:ind w:left="720"/>
    </w:pPr>
  </w:style>
  <w:style w:type="character" w:customStyle="1" w:styleId="Accentuationintense1">
    <w:name w:val="Accentuation intense1"/>
    <w:basedOn w:val="Policepardfaut"/>
    <w:rPr>
      <w:i/>
      <w:iCs/>
      <w:color w:val="0F4761"/>
    </w:rPr>
  </w:style>
  <w:style w:type="paragraph" w:styleId="Citationintens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tionintenseCar">
    <w:name w:val="Citation intense Car"/>
    <w:basedOn w:val="Policepardfaut"/>
    <w:rPr>
      <w:i/>
      <w:iCs/>
      <w:color w:val="0F4761"/>
    </w:rPr>
  </w:style>
  <w:style w:type="character" w:styleId="Rfrenceintense">
    <w:name w:val="Intense Reference"/>
    <w:basedOn w:val="Policepardfaut"/>
    <w:rPr>
      <w:b/>
      <w:bCs/>
      <w:smallCaps/>
      <w:color w:val="0F4761"/>
      <w:spacing w:val="5"/>
    </w:rPr>
  </w:style>
  <w:style w:type="character" w:styleId="Lienhypertexte">
    <w:name w:val="Hyperlink"/>
    <w:basedOn w:val="Policepardfaut"/>
    <w:rPr>
      <w:color w:val="467886"/>
      <w:u w:val="single"/>
    </w:rPr>
  </w:style>
  <w:style w:type="character" w:customStyle="1" w:styleId="Mentionnonrsolue1">
    <w:name w:val="Mention non résolue1"/>
    <w:basedOn w:val="Policepardfaut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rPr>
      <w:color w:val="96607D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D62D0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62D0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62D0D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62D0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62D0D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62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62D0D"/>
    <w:rPr>
      <w:rFonts w:ascii="Segoe UI" w:hAnsi="Segoe UI" w:cs="Segoe UI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2427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2427E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A2427E"/>
    <w:rPr>
      <w:vertAlign w:val="superscript"/>
    </w:rPr>
  </w:style>
  <w:style w:type="paragraph" w:styleId="Rvision">
    <w:name w:val="Revision"/>
    <w:hidden/>
    <w:uiPriority w:val="99"/>
    <w:semiHidden/>
    <w:rsid w:val="00665DF7"/>
    <w:pPr>
      <w:autoSpaceDN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t&amp;source=web&amp;rct=j&amp;opi=89978449&amp;url=https://drees.solidarites-sante.gouv.fr/publications-communique-de-presse/les-dossiers-de-la-drees/mesurer-regulierement-le-non-recours-au&amp;ved=2ahUKEwit1oSDg8eIAxXgUqQEHedOKM4QFnoECBgQAQ&amp;usg=AOvVaw29dx0br0WmSeiep28_hFuz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83BF0-D4A1-45A0-8A5E-90A075A49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1070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UMR8174</Company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Auteur</dc:creator>
  <dc:description/>
  <cp:lastModifiedBy>guillaume allegre</cp:lastModifiedBy>
  <cp:revision>4</cp:revision>
  <dcterms:created xsi:type="dcterms:W3CDTF">2024-09-24T17:11:00Z</dcterms:created>
  <dcterms:modified xsi:type="dcterms:W3CDTF">2024-09-25T07:32:00Z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90df9918-93f3-4cdb-87ae-526544b10510</vt:lpwstr>
  </property>
</Properties>
</file>