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0066FF"/>
          <w:sz w:val="72"/>
          <w:szCs w:val="72"/>
        </w:rPr>
        <w:t xml:space="preserve">FluxVPN</w:t>
      </w:r>
    </w:p>
    <w:p>
      <w:pPr>
        <w:spacing w:after="200"/>
        <w:jc w:val="center"/>
      </w:pPr>
      <w:r>
        <w:rPr>
          <w:color w:val="666666"/>
          <w:sz w:val="32"/>
          <w:szCs w:val="32"/>
        </w:rPr>
        <w:t xml:space="preserve">Plan de Negocio 2026-2028</w:t>
      </w:r>
    </w:p>
    <w:p>
      <w:pPr>
        <w:spacing w:after="200"/>
        <w:jc w:val="center"/>
      </w:pPr>
      <w:r>
        <w:rPr>
          <w:i/>
          <w:iCs/>
          <w:color w:val="888888"/>
          <w:sz w:val="24"/>
          <w:szCs w:val="24"/>
        </w:rPr>
        <w:t xml:space="preserve">La primera VPN post-cuántica con enrutamiento por gradiente</w:t>
      </w:r>
    </w:p>
    <w:p>
      <w:pPr>
        <w:spacing w:after="600"/>
        <w:jc w:val="center"/>
      </w:pPr>
      <w:r>
        <w:rPr>
          <w:color w:val="AAAAAA"/>
          <w:sz w:val="20"/>
          <w:szCs w:val="20"/>
        </w:rPr>
        <w:t xml:space="preserve">Powered by IPv7-IEU</w:t>
      </w:r>
    </w:p>
    <w:p>
      <w:pPr>
        <w:jc w:val="center"/>
      </w:pPr>
      <w:r>
        <w:rPr>
          <w:b/>
          <w:bCs/>
          <w:color w:val="CC0000"/>
          <w:sz w:val="20"/>
          <w:szCs w:val="20"/>
        </w:rPr>
        <w:t xml:space="preserve">Documento Confidencial</w:t>
      </w:r>
    </w:p>
    <w:p>
      <w:r>
        <w:br w:type="page"/>
      </w:r>
    </w:p>
    <w:p>
      <w:pPr>
        <w:pStyle w:val="Heading1"/>
      </w:pPr>
      <w:r>
        <w:t xml:space="preserve">1. Resumen Ejecutivo</w:t>
      </w:r>
    </w:p>
    <w:p>
      <w:pPr>
        <w:spacing w:after="200"/>
      </w:pPr>
      <w:r>
        <w:t xml:space="preserve">FluxVPN es un servicio de red privada virtual de próxima generación que opera sobre el protocolo propietario IPv7-IEU. A diferencia de las VPN convencionales basadas en OpenVPN o WireGuard, FluxVPN integra criptografía post-cuántica (ML-DSA-65 / FIPS-204) y un motor de enrutamiento por gradiente logarítmico que optimiza el tráfico en tiempo real.</w:t>
      </w:r>
    </w:p>
    <w:p>
      <w:pPr>
        <w:spacing w:after="200"/>
      </w:pPr>
      <w:r>
        <w:t xml:space="preserve">El producto está diseñado específicamente para escenarios donde las VPN tradicionales fallan: redes satelitales LEO (Starlink), edge computing, IoT masivo y entornos con conectividad intermitente. FluxVPN no solo protege el tráfico; lo acelera.</w:t>
      </w:r>
    </w:p>
    <w:p>
      <w:pPr>
        <w:spacing w:after="200"/>
      </w:pPr>
      <w:r>
        <w:t xml:space="preserve">La estrategia de entrada al mercado se basa en un modelo freemium con tres niveles: Free (5 GB/mes, 1 dispositivo), Pro ($6/mes, ilimitado) y Nodo ($12/mes, opera infraestructura y gana créditos). Este modelo permite validar el producto con usuarios reales mientras se genera ingreso recurrente.</w:t>
      </w:r>
    </w:p>
    <w:p>
      <w:pPr>
        <w:pStyle w:val="Heading1"/>
      </w:pPr>
      <w:r>
        <w:t xml:space="preserve">2. El Problema</w:t>
      </w:r>
    </w:p>
    <w:p>
      <w:pPr>
        <w:spacing w:after="200"/>
      </w:pPr>
      <w:r>
        <w:t xml:space="preserve">El mercado VPN actual tiene tres problemas estructurales que FluxVPN resuelve de forma nativa:</w:t>
      </w:r>
    </w:p>
    <w:p>
      <w:pPr>
        <w:pStyle w:val="Heading2"/>
      </w:pPr>
      <w:r>
        <w:t xml:space="preserve">2.1 Vulnerabilidad Cuántica</w:t>
      </w:r>
    </w:p>
    <w:p>
      <w:pPr>
        <w:spacing w:after="200"/>
      </w:pPr>
      <w:r>
        <w:t xml:space="preserve">Todas las VPN comerciales actuales (NordVPN, ExpressVPN, ProtonVPN, Mullvad) utilizan criptografía clásica (RSA, ECDSA) que será vulnerable a computadoras cuánticas. El ataque "harvest now, decrypt later" ya está en curso: actores estatales están almacenando tráfico cifrado hoy para descifrarlo cuando dispongan de computación cuántica suficiente. Ninguna VPN comercial ofrece protección post-cuántica real integrada en su protocolo base.</w:t>
      </w:r>
    </w:p>
    <w:p>
      <w:pPr>
        <w:pStyle w:val="Heading2"/>
      </w:pPr>
      <w:r>
        <w:t xml:space="preserve">2.2 Redes Satelitales Desatendidas</w:t>
      </w:r>
    </w:p>
    <w:p>
      <w:pPr>
        <w:spacing w:after="200"/>
      </w:pPr>
      <w:r>
        <w:t xml:space="preserve">Starlink supera los 4 millones de suscriptores y crece exponencialmente. Las VPN tradicionales están diseñadas para conexiones terrestres estables y sufren degradación severa en redes LEO: micro-cortes de 1-5 segundos durante handovers satelitales, latencia variable, y pérdida de paquetes. No existe una VPN optimizada para este segmento creciente.</w:t>
      </w:r>
    </w:p>
    <w:p>
      <w:pPr>
        <w:pStyle w:val="Heading2"/>
      </w:pPr>
      <w:r>
        <w:t xml:space="preserve">2.3 Centralización y Confianza</w:t>
      </w:r>
    </w:p>
    <w:p>
      <w:pPr>
        <w:spacing w:after="200"/>
      </w:pPr>
      <w:r>
        <w:t xml:space="preserve">Las VPN convencionales requieren confiar en la infraestructura del proveedor. Los servidores centralizados son puntos únicos de fallo, blancos de ataques, y están sujetos a jurisdicciones legales que pueden obligar al registro de tráfico. Una arquitectura descentralizada P2P elimina este vector de riesgo.</w:t>
      </w:r>
    </w:p>
    <w:p>
      <w:pPr>
        <w:pStyle w:val="Heading1"/>
      </w:pPr>
      <w:r>
        <w:t xml:space="preserve">3. La Solución: FluxVPN</w:t>
      </w:r>
    </w:p>
    <w:p>
      <w:pPr>
        <w:spacing w:after="200"/>
      </w:pPr>
      <w:r>
        <w:t xml:space="preserve">FluxVPN resuelve los tres problemas simultáneamente mediante tres innovaciones técnicas integradas en un solo producto:</w:t>
      </w:r>
    </w:p>
    <w:p>
      <w:pPr>
        <w:pStyle w:val="ListParagraph"/>
        <w:numPr>
          <w:ilvl w:val="0"/>
          <w:numId w:val="2"/>
        </w:numPr>
        <w:spacing w:after="100"/>
      </w:pPr>
      <w:r>
        <w:rPr>
          <w:b/>
          <w:bCs/>
        </w:rPr>
        <w:t xml:space="preserve">Criptografía Post-Cuántica Nativa: </w:t>
      </w:r>
      <w:r>
        <w:t xml:space="preserve">ML-DSA-65 (FIPS-204) integrado en el handshake. Renovación de claves cada 30 segundos. HMAC simétrico derivado para cada paquete. Preparado para Q-Day desde el día uno.</w:t>
      </w:r>
    </w:p>
    <w:p>
      <w:pPr>
        <w:pStyle w:val="ListParagraph"/>
        <w:numPr>
          <w:ilvl w:val="0"/>
          <w:numId w:val="2"/>
        </w:numPr>
        <w:spacing w:after="100"/>
      </w:pPr>
      <w:r>
        <w:rPr>
          <w:b/>
          <w:bCs/>
        </w:rPr>
        <w:t xml:space="preserve">Enrutamiento por Gradiente Logarítmico: </w:t>
      </w:r>
      <w:r>
        <w:t xml:space="preserve">Motor −∇ ln(L) que enruta tráfico siguiendo el diferencial de latencia óptimo. Decisiones locales sin convergencia global. Elimina micro-cortes satelitales y se adapta en tiempo real a cambios de topología.</w:t>
      </w:r>
    </w:p>
    <w:p>
      <w:pPr>
        <w:pStyle w:val="ListParagraph"/>
        <w:numPr>
          <w:ilvl w:val="0"/>
          <w:numId w:val="2"/>
        </w:numPr>
        <w:spacing w:after="200"/>
      </w:pPr>
      <w:r>
        <w:rPr>
          <w:b/>
          <w:bCs/>
        </w:rPr>
        <w:t xml:space="preserve">Descentralización P2P Total: </w:t>
      </w:r>
      <w:r>
        <w:t xml:space="preserve">DHT Kademlia sin dependencia de servidores centralizados. Identidades descentralizadas (did:ipv7:x). Zero cloud. La red es propiedad de sus nodos.</w:t>
      </w:r>
    </w:p>
    <w:p>
      <w:pPr>
        <w:pStyle w:val="Heading1"/>
      </w:pPr>
      <w:r>
        <w:t xml:space="preserve">4. Análisis de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00E5FF"/>
                <w:sz w:val="20"/>
                <w:szCs w:val="20"/>
              </w:rPr>
              <w:t xml:space="preserve">Segmento</w:t>
            </w:r>
          </w:p>
        </w:tc>
        <w:tc>
          <w:tcPr>
            <w:tcW w:type="dxa" w:w="31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00E5FF"/>
                <w:sz w:val="20"/>
                <w:szCs w:val="20"/>
              </w:rPr>
              <w:t xml:space="preserve">Tamaño Estimado</w:t>
            </w:r>
          </w:p>
        </w:tc>
        <w:tc>
          <w:tcPr>
            <w:tcW w:type="dxa" w:w="31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00E5FF"/>
                <w:sz w:val="20"/>
                <w:szCs w:val="20"/>
              </w:rPr>
              <w:t xml:space="preserve">Dolor Principal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Usuarios Starlink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4M+ suscriptores (2025)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Micro-cortes, VPN inestable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Empresas con datos sensibles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Mercado VPN corp: $45B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Amenaza cuántica HNLD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Usuarios privacidad P2P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Comunidad Web3 creciente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Desconfianza en VPN centralizadas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IoT / Edge Computing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75B dispositivos (2030)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Protocolos inseguros, NAT</w:t>
            </w:r>
          </w:p>
        </w:tc>
      </w:tr>
    </w:tbl>
    <w:p>
      <w:pPr>
        <w:spacing w:after="200" w:before="200"/>
      </w:pPr>
      <w:r>
        <w:t xml:space="preserve">El mercado global de VPN se valoró en USD 44.6 mil millones en 2024 y se proyecta que alcance USD 137.7 mil millones para 2030. El segmento de mayor crecimiento es el de VPN corporativas con requisitos de seguridad avanzada, exactamente donde FluxVPN compite con ventaja técnica.</w:t>
      </w:r>
    </w:p>
    <w:p>
      <w:pPr>
        <w:pStyle w:val="Heading1"/>
      </w:pPr>
      <w:r>
        <w:t xml:space="preserve">5. Modelo de Negocio</w:t>
      </w:r>
    </w:p>
    <w:p>
      <w:pPr>
        <w:spacing w:after="200"/>
      </w:pPr>
      <w:r>
        <w:t xml:space="preserve">Modelo freemium con tres niveles diseñados para crecer orgánicamente: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00E5FF"/>
                <w:sz w:val="20"/>
                <w:szCs w:val="20"/>
              </w:rPr>
              <w:t xml:space="preserve">Característica</w:t>
            </w:r>
          </w:p>
        </w:tc>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00E5FF"/>
                <w:sz w:val="20"/>
                <w:szCs w:val="20"/>
              </w:rPr>
              <w:t xml:space="preserve">Free</w:t>
            </w:r>
          </w:p>
        </w:tc>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00E5FF"/>
                <w:sz w:val="20"/>
                <w:szCs w:val="20"/>
              </w:rPr>
              <w:t xml:space="preserve">Pro ($6/mes)</w:t>
            </w:r>
          </w:p>
        </w:tc>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00E5FF"/>
                <w:sz w:val="20"/>
                <w:szCs w:val="20"/>
              </w:rPr>
              <w:t xml:space="preserve">Nodo ($12/mes)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Dispositivos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Ilimitados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Tráfico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GB/mes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Ilimitado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Ilimitado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Cifrado PQC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Modo Starlink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Operar nodo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 créditos</w:t>
            </w:r>
          </w:p>
        </w:tc>
      </w:tr>
    </w:tbl>
    <w:p>
      <w:pPr>
        <w:spacing w:after="200" w:before="200"/>
      </w:pPr>
      <w:r>
        <w:t xml:space="preserve">El nivel Nodo es estratégico: cada suscriptor Nodo expande la infraestructura de red sin costo de servidores para FluxVPN. Los operadores de nodo ganan créditos que pueden usar para pagar su suscripción o transferir, creando un ecosistema autosustentable.</w:t>
      </w:r>
    </w:p>
    <w:p>
      <w:pPr>
        <w:pStyle w:val="Heading1"/>
      </w:pPr>
      <w:r>
        <w:t xml:space="preserve">6. Roadmap 2026-2028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00E5FF"/>
                <w:sz w:val="20"/>
                <w:szCs w:val="20"/>
              </w:rPr>
              <w:t xml:space="preserve">Fase</w:t>
            </w:r>
          </w:p>
        </w:tc>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00E5FF"/>
                <w:sz w:val="20"/>
                <w:szCs w:val="20"/>
              </w:rPr>
              <w:t xml:space="preserve">Período</w:t>
            </w:r>
          </w:p>
        </w:tc>
        <w:tc>
          <w:tcPr>
            <w:tcW w:type="dxa" w:w="468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00E5FF"/>
                <w:sz w:val="20"/>
                <w:szCs w:val="20"/>
              </w:rPr>
              <w:t xml:space="preserve">Objetivos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Alpha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Q2-Q3 2026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CLI multiplataforma. 50-100 beta testers. Benchmarks públicos vs WireGuard sobre Starlink. Blog técnico en Hacker News.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 Pública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 2026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Interfaz gráfica desktop (Windows/Mac/Linux). Plan Free disponible. Primeros 1,000 usuarios. Inicio de programa de nodos comunitarios.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Lanzamiento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2027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Planes Pro y Nodo activos. App móvil (iOS/Android). 10,000 usuarios. Sistema de créditos para operadores de nodo.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Escalamiento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2027-2028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 Enterprise (B2B). Integración IoT/Edge. 100,000+ usuarios. Partnerships con proveedores satelitales. API pública.</w:t>
            </w:r>
          </w:p>
        </w:tc>
      </w:tr>
    </w:tbl>
    <w:p>
      <w:pPr>
        <w:pStyle w:val="Heading1"/>
        <w:spacing w:before="300"/>
      </w:pPr>
      <w:r>
        <w:t xml:space="preserve">7. Análisis Competitivo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00E5FF"/>
                <w:sz w:val="20"/>
                <w:szCs w:val="20"/>
              </w:rPr>
              <w:t xml:space="preserve"/>
            </w:r>
          </w:p>
        </w:tc>
        <w:tc>
          <w:tcPr>
            <w:tcW w:type="dxa" w:w="1872"/>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00E5FF"/>
                <w:sz w:val="20"/>
                <w:szCs w:val="20"/>
              </w:rPr>
              <w:t xml:space="preserve">FluxVPN</w:t>
            </w:r>
          </w:p>
        </w:tc>
        <w:tc>
          <w:tcPr>
            <w:tcW w:type="dxa" w:w="1872"/>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00E5FF"/>
                <w:sz w:val="20"/>
                <w:szCs w:val="20"/>
              </w:rPr>
              <w:t xml:space="preserve">WireGuard</w:t>
            </w:r>
          </w:p>
        </w:tc>
        <w:tc>
          <w:tcPr>
            <w:tcW w:type="dxa" w:w="1872"/>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00E5FF"/>
                <w:sz w:val="20"/>
                <w:szCs w:val="20"/>
              </w:rPr>
              <w:t xml:space="preserve">NordVPN</w:t>
            </w:r>
          </w:p>
        </w:tc>
        <w:tc>
          <w:tcPr>
            <w:tcW w:type="dxa" w:w="1872"/>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00E5FF"/>
                <w:sz w:val="20"/>
                <w:szCs w:val="20"/>
              </w:rPr>
              <w:t xml:space="preserve">Tailscale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Post-Cuántico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Nativo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Descentralizado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P2P puro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Parcial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Parcial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Starlink opt.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Nativo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Source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Pendiente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Parcial</w:t>
            </w:r>
          </w:p>
        </w:tc>
      </w:tr>
    </w:tbl>
    <w:p>
      <w:pPr>
        <w:pStyle w:val="Heading1"/>
        <w:spacing w:before="300"/>
      </w:pPr>
      <w:r>
        <w:t xml:space="preserve">8. Necesidades de Financiamiento</w:t>
      </w:r>
    </w:p>
    <w:p>
      <w:pPr>
        <w:pStyle w:val="Heading2"/>
      </w:pPr>
      <w:r>
        <w:t xml:space="preserve">8.1 Fase Bootstrap (Auto-financiado)</w:t>
      </w:r>
    </w:p>
    <w:p>
      <w:pPr>
        <w:spacing w:after="200"/>
      </w:pPr>
      <w:r>
        <w:t xml:space="preserve">Desarrollo del MVP, CLI multiplataforma, y los primeros 100 usuarios beta. Costo estimado: tiempo del fundador + infraestructura mínima (~$200/mes en servidores bootstrap).</w:t>
      </w:r>
    </w:p>
    <w:p>
      <w:pPr>
        <w:pStyle w:val="Heading2"/>
      </w:pPr>
      <w:r>
        <w:t xml:space="preserve">8.2 Fase Seed (Objetivo: $50K-150K)</w:t>
      </w:r>
    </w:p>
    <w:p>
      <w:pPr>
        <w:spacing w:after="100"/>
      </w:pPr>
      <w:r>
        <w:t xml:space="preserve">Capital para acelerar el desarrollo de la interfaz gráfica, apps móviles, y marketing inicial. Distribución estimada:</w:t>
      </w:r>
    </w:p>
    <w:p>
      <w:pPr>
        <w:pStyle w:val="ListParagraph"/>
        <w:numPr>
          <w:ilvl w:val="0"/>
          <w:numId w:val="2"/>
        </w:numPr>
        <w:spacing w:after="60"/>
      </w:pPr>
      <w:r>
        <w:t xml:space="preserve">40% Desarrollo de producto (UI/UX, apps móviles, QA)</w:t>
      </w:r>
    </w:p>
    <w:p>
      <w:pPr>
        <w:pStyle w:val="ListParagraph"/>
        <w:numPr>
          <w:ilvl w:val="0"/>
          <w:numId w:val="2"/>
        </w:numPr>
        <w:spacing w:after="60"/>
      </w:pPr>
      <w:r>
        <w:t xml:space="preserve">25% Infraestructura (nodos bootstrap, CDN, CI/CD)</w:t>
      </w:r>
    </w:p>
    <w:p>
      <w:pPr>
        <w:pStyle w:val="ListParagraph"/>
        <w:numPr>
          <w:ilvl w:val="0"/>
          <w:numId w:val="2"/>
        </w:numPr>
        <w:spacing w:after="60"/>
      </w:pPr>
      <w:r>
        <w:t xml:space="preserve">20% Marketing y adquisición de usuarios</w:t>
      </w:r>
    </w:p>
    <w:p>
      <w:pPr>
        <w:pStyle w:val="ListParagraph"/>
        <w:numPr>
          <w:ilvl w:val="0"/>
          <w:numId w:val="2"/>
        </w:numPr>
        <w:spacing w:after="200"/>
      </w:pPr>
      <w:r>
        <w:t xml:space="preserve">15% Legal y operaciones</w:t>
      </w:r>
    </w:p>
    <w:p>
      <w:pPr>
        <w:pStyle w:val="Heading2"/>
      </w:pPr>
      <w:r>
        <w:t xml:space="preserve">8.3 Fuentes Potenciales</w:t>
      </w:r>
    </w:p>
    <w:p>
      <w:pPr>
        <w:pStyle w:val="ListParagraph"/>
        <w:numPr>
          <w:ilvl w:val="0"/>
          <w:numId w:val="2"/>
        </w:numPr>
        <w:spacing w:after="60"/>
      </w:pPr>
      <w:r>
        <w:t xml:space="preserve">Grants de seguridad/privacidad (Open Technology Fund, NLnet Foundation)</w:t>
      </w:r>
    </w:p>
    <w:p>
      <w:pPr>
        <w:pStyle w:val="ListParagraph"/>
        <w:numPr>
          <w:ilvl w:val="0"/>
          <w:numId w:val="2"/>
        </w:numPr>
        <w:spacing w:after="60"/>
      </w:pPr>
      <w:r>
        <w:t xml:space="preserve">Crowdfunding técnico (Kickstarter/Indiegogo con early access)</w:t>
      </w:r>
    </w:p>
    <w:p>
      <w:pPr>
        <w:pStyle w:val="ListParagraph"/>
        <w:numPr>
          <w:ilvl w:val="0"/>
          <w:numId w:val="2"/>
        </w:numPr>
        <w:spacing w:after="60"/>
      </w:pPr>
      <w:r>
        <w:t xml:space="preserve">Ingresos directos del plan Pro y Nodo</w:t>
      </w:r>
    </w:p>
    <w:p>
      <w:pPr>
        <w:pStyle w:val="ListParagraph"/>
        <w:numPr>
          <w:ilvl w:val="0"/>
          <w:numId w:val="2"/>
        </w:numPr>
        <w:spacing w:after="200"/>
      </w:pPr>
      <w:r>
        <w:t xml:space="preserve">Ángeles inversionistas en ciberseguridad/Web3</w:t>
      </w:r>
    </w:p>
    <w:p>
      <w:pPr>
        <w:pStyle w:val="Heading1"/>
      </w:pPr>
      <w:r>
        <w:t xml:space="preserve">9. Proyecciones Financieras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00E5FF"/>
                <w:sz w:val="20"/>
                <w:szCs w:val="20"/>
              </w:rPr>
              <w:t xml:space="preserve">Métrica</w:t>
            </w:r>
          </w:p>
        </w:tc>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00E5FF"/>
                <w:sz w:val="20"/>
                <w:szCs w:val="20"/>
              </w:rPr>
              <w:t xml:space="preserve">Año 1</w:t>
            </w:r>
          </w:p>
        </w:tc>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00E5FF"/>
                <w:sz w:val="20"/>
                <w:szCs w:val="20"/>
              </w:rPr>
              <w:t xml:space="preserve">Año 2</w:t>
            </w:r>
          </w:p>
        </w:tc>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00E5FF"/>
                <w:sz w:val="20"/>
                <w:szCs w:val="20"/>
              </w:rPr>
              <w:t xml:space="preserve">Año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Usuarios 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Usuarios Pro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Usuarios Nodo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$216,000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$21,600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$2,592,000</w:t>
            </w:r>
          </w:p>
        </w:tc>
      </w:tr>
    </w:tbl>
    <w:p>
      <w:pPr>
        <w:spacing w:after="200" w:before="200"/>
      </w:pPr>
      <w:r>
        <w:rPr>
          <w:b/>
          <w:bCs/>
        </w:rPr>
        <w:t xml:space="preserve">Nota: </w:t>
      </w:r>
      <w:r>
        <w:t xml:space="preserve">Estas proyecciones asumen una tasa de conversión Free→Pro del 4% y Pro→Nodo del 5%, consistentes con benchmarks de la industria SaaS freemium. El crecimiento del Año 2-3 depende de la publicación exitosa de benchmarks y la adopción en la comunidad Starlink.</w:t>
      </w:r>
    </w:p>
    <w:p>
      <w:pPr>
        <w:pStyle w:val="Heading1"/>
      </w:pPr>
      <w:r>
        <w:t xml:space="preserve">10. Equipo</w:t>
      </w:r>
    </w:p>
    <w:p>
      <w:pPr>
        <w:spacing w:after="200"/>
      </w:pPr>
      <w:r>
        <w:t xml:space="preserve">Fundador y desarrollador principal con experiencia en protocolos de red, criptografía y sistemas distribuidos. Creador del protocolo IPv7-IEU y su implementación en Go.</w:t>
      </w:r>
    </w:p>
    <w:p>
      <w:pPr>
        <w:spacing w:after="200"/>
      </w:pPr>
      <w:r>
        <w:t xml:space="preserve">Repositorio: github.com/galleguillosdavid-coder/Ip7-IEU</w:t>
      </w:r>
    </w:p>
    <w:p>
      <w:pPr>
        <w:spacing w:before="400"/>
        <w:jc w:val="center"/>
      </w:pPr>
      <w:r>
        <w:rPr>
          <w:i/>
          <w:iCs/>
          <w:color w:val="888888"/>
        </w:rPr>
        <w:t xml:space="preserve">— Fin del Documento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66F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A16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2026-04-23T15:12:13.497Z</dcterms:created>
  <dcterms:modified xsi:type="dcterms:W3CDTF">2026-04-23T15:12:13.498Z</dcterms:modified>
</cp:coreProperties>
</file>

<file path=docProps/custom.xml><?xml version="1.0" encoding="utf-8"?>
<Properties xmlns="http://schemas.openxmlformats.org/officeDocument/2006/custom-properties" xmlns:vt="http://schemas.openxmlformats.org/officeDocument/2006/docPropsVTypes"/>
</file>