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0"/>
        <w:jc w:val="center"/>
      </w:pPr>
      <w:r>
        <w:rPr>
          <w:rFonts w:ascii="微软雅黑" w:hAnsi="微软雅黑" w:eastAsia="微软雅黑"/>
          <w:b/>
          <w:color w:val="1E3A5F"/>
          <w:sz w:val="84"/>
        </w:rPr>
        <w:t>HENAN-ROADS</w:t>
      </w:r>
    </w:p>
    <w:p>
      <w:pPr>
        <w:jc w:val="center"/>
      </w:pPr>
      <w:r>
        <w:rPr>
          <w:rFonts w:ascii="微软雅黑" w:hAnsi="微软雅黑" w:eastAsia="微软雅黑"/>
          <w:b/>
          <w:color w:val="B8232F"/>
          <w:sz w:val="56"/>
        </w:rPr>
        <w:t>高效能治理交互模拟系统</w:t>
      </w:r>
    </w:p>
    <w:p>
      <w:pPr>
        <w:spacing w:before="400"/>
        <w:jc w:val="center"/>
      </w:pPr>
      <w:r>
        <w:rPr>
          <w:rFonts w:ascii="微软雅黑" w:hAnsi="微软雅黑" w:eastAsia="微软雅黑"/>
          <w:color w:val="718096"/>
          <w:sz w:val="28"/>
        </w:rPr>
        <w:t>Henan-ROADS · Governance Decision Sandbox</w:t>
      </w:r>
    </w:p>
    <w:p>
      <w:pPr>
        <w:spacing w:before="1200"/>
        <w:jc w:val="center"/>
      </w:pPr>
      <w:r>
        <w:rPr>
          <w:rFonts w:ascii="微软雅黑" w:hAnsi="微软雅黑" w:eastAsia="微软雅黑"/>
          <w:b/>
          <w:color w:val="1A202C"/>
          <w:sz w:val="44"/>
        </w:rPr>
        <w:t>商业计划书</w:t>
      </w:r>
    </w:p>
    <w:p>
      <w:pPr>
        <w:spacing w:before="200"/>
        <w:jc w:val="center"/>
      </w:pPr>
      <w:r>
        <w:rPr>
          <w:rFonts w:ascii="微软雅黑" w:hAnsi="微软雅黑" w:eastAsia="微软雅黑"/>
          <w:color w:val="718096"/>
          <w:sz w:val="24"/>
        </w:rPr>
        <w:t>Business Plan · 投资人版</w:t>
      </w:r>
    </w:p>
    <w:p>
      <w:pPr>
        <w:spacing w:before="2400"/>
        <w:jc w:val="center"/>
      </w:pPr>
      <w:r>
        <w:rPr>
          <w:rFonts w:ascii="微软雅黑" w:hAnsi="微软雅黑" w:eastAsia="微软雅黑"/>
          <w:color w:val="1E3A5F"/>
          <w:sz w:val="26"/>
        </w:rPr>
        <w:t>把 MIT 系统动力学 + 香港理工 ISUI 智慧城市指数 + AI 治理诊断</w:t>
      </w:r>
    </w:p>
    <w:p>
      <w:pPr>
        <w:jc w:val="center"/>
      </w:pPr>
      <w:r>
        <w:rPr>
          <w:rFonts w:ascii="微软雅黑" w:hAnsi="微软雅黑" w:eastAsia="微软雅黑"/>
          <w:color w:val="1E3A5F"/>
          <w:sz w:val="26"/>
        </w:rPr>
        <w:t>装进一个交互沙盘的中国第一个</w:t>
      </w:r>
    </w:p>
    <w:p>
      <w:pPr>
        <w:jc w:val="center"/>
      </w:pPr>
      <w:r>
        <w:rPr>
          <w:rFonts w:ascii="微软雅黑" w:hAnsi="微软雅黑" w:eastAsia="微软雅黑"/>
          <w:b/>
          <w:color w:val="B8232F"/>
          <w:sz w:val="32"/>
        </w:rPr>
        <w:t>「政府决策推演 SaaS」</w:t>
      </w:r>
    </w:p>
    <w:p>
      <w:pPr>
        <w:spacing w:before="3600"/>
        <w:jc w:val="center"/>
      </w:pPr>
      <w:r>
        <w:rPr>
          <w:rFonts w:ascii="微软雅黑" w:hAnsi="微软雅黑" w:eastAsia="微软雅黑"/>
          <w:color w:val="718096"/>
          <w:sz w:val="22"/>
        </w:rPr>
        <w:t>学术 IP：香港理工大学 · 史文中教授（王之卓奖）</w:t>
      </w:r>
    </w:p>
    <w:p>
      <w:pPr>
        <w:jc w:val="center"/>
      </w:pPr>
      <w:r>
        <w:rPr>
          <w:rFonts w:ascii="微软雅黑" w:hAnsi="微软雅黑" w:eastAsia="微软雅黑"/>
          <w:color w:val="718096"/>
          <w:sz w:val="22"/>
        </w:rPr>
        <w:t>方法论：MIT Sloan &amp; Climate Interactive En-ROADS</w:t>
      </w:r>
    </w:p>
    <w:p>
      <w:pPr>
        <w:jc w:val="center"/>
      </w:pPr>
      <w:r>
        <w:rPr>
          <w:rFonts w:ascii="微软雅黑" w:hAnsi="微软雅黑" w:eastAsia="微软雅黑"/>
          <w:color w:val="C9A063"/>
          <w:sz w:val="22"/>
        </w:rPr>
        <w:t>在线 Demo：gallen666.github.io/henan-governance/</w:t>
      </w:r>
    </w:p>
    <w:p>
      <w:pPr>
        <w:spacing w:before="400"/>
        <w:jc w:val="center"/>
      </w:pPr>
      <w:r>
        <w:rPr>
          <w:rFonts w:ascii="微软雅黑" w:hAnsi="微软雅黑" w:eastAsia="微软雅黑"/>
          <w:color w:val="718096"/>
          <w:sz w:val="20"/>
        </w:rPr>
        <w:t>2026 年 5 月 · 机密 · CONFIDENTIAL</w:t>
      </w:r>
    </w:p>
    <w:p>
      <w:r>
        <w:br w:type="page"/>
      </w:r>
    </w:p>
    <w:p>
      <w:pPr>
        <w:spacing w:before="480" w:after="24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1E3A5F"/>
          <w:sz w:val="44"/>
        </w:rPr>
        <w:t>目录</w:t>
      </w:r>
    </w:p>
    <w:p>
      <w:pPr>
        <w:spacing w:line="432" w:lineRule="auto"/>
      </w:pPr>
      <w:r>
        <w:rPr>
          <w:rFonts w:ascii="微软雅黑" w:hAnsi="微软雅黑" w:eastAsia="微软雅黑"/>
          <w:b/>
          <w:color w:val="C9A063"/>
          <w:sz w:val="24"/>
        </w:rPr>
        <w:t xml:space="preserve">01    </w:t>
      </w:r>
      <w:r>
        <w:rPr>
          <w:rFonts w:ascii="微软雅黑" w:hAnsi="微软雅黑" w:eastAsia="微软雅黑"/>
          <w:color w:val="1A202C"/>
          <w:sz w:val="24"/>
        </w:rPr>
        <w:t>执行摘要 Executive Summary</w:t>
      </w:r>
      <w:r>
        <w:rPr>
          <w:rFonts w:ascii="微软雅黑" w:hAnsi="微软雅黑" w:eastAsia="微软雅黑"/>
          <w:color w:val="718096"/>
          <w:sz w:val="20"/>
        </w:rPr>
        <w:t xml:space="preserve">     .......................................................................................... 3</w:t>
      </w:r>
    </w:p>
    <w:p>
      <w:pPr>
        <w:spacing w:line="432" w:lineRule="auto"/>
      </w:pPr>
      <w:r>
        <w:rPr>
          <w:rFonts w:ascii="微软雅黑" w:hAnsi="微软雅黑" w:eastAsia="微软雅黑"/>
          <w:b/>
          <w:color w:val="C9A063"/>
          <w:sz w:val="24"/>
        </w:rPr>
        <w:t xml:space="preserve">02    </w:t>
      </w:r>
      <w:r>
        <w:rPr>
          <w:rFonts w:ascii="微软雅黑" w:hAnsi="微软雅黑" w:eastAsia="微软雅黑"/>
          <w:color w:val="1A202C"/>
          <w:sz w:val="24"/>
        </w:rPr>
        <w:t>市场机会与时机</w:t>
      </w:r>
      <w:r>
        <w:rPr>
          <w:rFonts w:ascii="微软雅黑" w:hAnsi="微软雅黑" w:eastAsia="微软雅黑"/>
          <w:color w:val="718096"/>
          <w:sz w:val="20"/>
        </w:rPr>
        <w:t xml:space="preserve">     .......................................................................................... 5</w:t>
      </w:r>
    </w:p>
    <w:p>
      <w:pPr>
        <w:spacing w:line="432" w:lineRule="auto"/>
      </w:pPr>
      <w:r>
        <w:rPr>
          <w:rFonts w:ascii="微软雅黑" w:hAnsi="微软雅黑" w:eastAsia="微软雅黑"/>
          <w:b/>
          <w:color w:val="C9A063"/>
          <w:sz w:val="24"/>
        </w:rPr>
        <w:t xml:space="preserve">03    </w:t>
      </w:r>
      <w:r>
        <w:rPr>
          <w:rFonts w:ascii="微软雅黑" w:hAnsi="微软雅黑" w:eastAsia="微软雅黑"/>
          <w:color w:val="1A202C"/>
          <w:sz w:val="24"/>
        </w:rPr>
        <w:t>产品与技术</w:t>
      </w:r>
      <w:r>
        <w:rPr>
          <w:rFonts w:ascii="微软雅黑" w:hAnsi="微软雅黑" w:eastAsia="微软雅黑"/>
          <w:color w:val="718096"/>
          <w:sz w:val="20"/>
        </w:rPr>
        <w:t xml:space="preserve">     .......................................................................................... 8</w:t>
      </w:r>
    </w:p>
    <w:p>
      <w:pPr>
        <w:spacing w:line="432" w:lineRule="auto"/>
      </w:pPr>
      <w:r>
        <w:rPr>
          <w:rFonts w:ascii="微软雅黑" w:hAnsi="微软雅黑" w:eastAsia="微软雅黑"/>
          <w:b/>
          <w:color w:val="C9A063"/>
          <w:sz w:val="24"/>
        </w:rPr>
        <w:t xml:space="preserve">04    </w:t>
      </w:r>
      <w:r>
        <w:rPr>
          <w:rFonts w:ascii="微软雅黑" w:hAnsi="微软雅黑" w:eastAsia="微软雅黑"/>
          <w:color w:val="1A202C"/>
          <w:sz w:val="24"/>
        </w:rPr>
        <w:t>商业模式（5 条收入流）</w:t>
      </w:r>
      <w:r>
        <w:rPr>
          <w:rFonts w:ascii="微软雅黑" w:hAnsi="微软雅黑" w:eastAsia="微软雅黑"/>
          <w:color w:val="718096"/>
          <w:sz w:val="20"/>
        </w:rPr>
        <w:t xml:space="preserve">     .......................................................................................... 12</w:t>
      </w:r>
    </w:p>
    <w:p>
      <w:pPr>
        <w:spacing w:line="432" w:lineRule="auto"/>
      </w:pPr>
      <w:r>
        <w:rPr>
          <w:rFonts w:ascii="微软雅黑" w:hAnsi="微软雅黑" w:eastAsia="微软雅黑"/>
          <w:b/>
          <w:color w:val="C9A063"/>
          <w:sz w:val="24"/>
        </w:rPr>
        <w:t xml:space="preserve">05    </w:t>
      </w:r>
      <w:r>
        <w:rPr>
          <w:rFonts w:ascii="微软雅黑" w:hAnsi="微软雅黑" w:eastAsia="微软雅黑"/>
          <w:color w:val="1A202C"/>
          <w:sz w:val="24"/>
        </w:rPr>
        <w:t>市场规模与客户分层</w:t>
      </w:r>
      <w:r>
        <w:rPr>
          <w:rFonts w:ascii="微软雅黑" w:hAnsi="微软雅黑" w:eastAsia="微软雅黑"/>
          <w:color w:val="718096"/>
          <w:sz w:val="20"/>
        </w:rPr>
        <w:t xml:space="preserve">     .......................................................................................... 16</w:t>
      </w:r>
    </w:p>
    <w:p>
      <w:pPr>
        <w:spacing w:line="432" w:lineRule="auto"/>
      </w:pPr>
      <w:r>
        <w:rPr>
          <w:rFonts w:ascii="微软雅黑" w:hAnsi="微软雅黑" w:eastAsia="微软雅黑"/>
          <w:b/>
          <w:color w:val="C9A063"/>
          <w:sz w:val="24"/>
        </w:rPr>
        <w:t xml:space="preserve">06    </w:t>
      </w:r>
      <w:r>
        <w:rPr>
          <w:rFonts w:ascii="微软雅黑" w:hAnsi="微软雅黑" w:eastAsia="微软雅黑"/>
          <w:color w:val="1A202C"/>
          <w:sz w:val="24"/>
        </w:rPr>
        <w:t>增长策略与销售路径</w:t>
      </w:r>
      <w:r>
        <w:rPr>
          <w:rFonts w:ascii="微软雅黑" w:hAnsi="微软雅黑" w:eastAsia="微软雅黑"/>
          <w:color w:val="718096"/>
          <w:sz w:val="20"/>
        </w:rPr>
        <w:t xml:space="preserve">     .......................................................................................... 18</w:t>
      </w:r>
    </w:p>
    <w:p>
      <w:pPr>
        <w:spacing w:line="432" w:lineRule="auto"/>
      </w:pPr>
      <w:r>
        <w:rPr>
          <w:rFonts w:ascii="微软雅黑" w:hAnsi="微软雅黑" w:eastAsia="微软雅黑"/>
          <w:b/>
          <w:color w:val="C9A063"/>
          <w:sz w:val="24"/>
        </w:rPr>
        <w:t xml:space="preserve">07    </w:t>
      </w:r>
      <w:r>
        <w:rPr>
          <w:rFonts w:ascii="微软雅黑" w:hAnsi="微软雅黑" w:eastAsia="微软雅黑"/>
          <w:color w:val="1A202C"/>
          <w:sz w:val="24"/>
        </w:rPr>
        <w:t>5 年财务预测</w:t>
      </w:r>
      <w:r>
        <w:rPr>
          <w:rFonts w:ascii="微软雅黑" w:hAnsi="微软雅黑" w:eastAsia="微软雅黑"/>
          <w:color w:val="718096"/>
          <w:sz w:val="20"/>
        </w:rPr>
        <w:t xml:space="preserve">     .......................................................................................... 20</w:t>
      </w:r>
    </w:p>
    <w:p>
      <w:pPr>
        <w:spacing w:line="432" w:lineRule="auto"/>
      </w:pPr>
      <w:r>
        <w:rPr>
          <w:rFonts w:ascii="微软雅黑" w:hAnsi="微软雅黑" w:eastAsia="微软雅黑"/>
          <w:b/>
          <w:color w:val="C9A063"/>
          <w:sz w:val="24"/>
        </w:rPr>
        <w:t xml:space="preserve">08    </w:t>
      </w:r>
      <w:r>
        <w:rPr>
          <w:rFonts w:ascii="微软雅黑" w:hAnsi="微软雅黑" w:eastAsia="微软雅黑"/>
          <w:color w:val="1A202C"/>
          <w:sz w:val="24"/>
        </w:rPr>
        <w:t>融资计划与退出路径</w:t>
      </w:r>
      <w:r>
        <w:rPr>
          <w:rFonts w:ascii="微软雅黑" w:hAnsi="微软雅黑" w:eastAsia="微软雅黑"/>
          <w:color w:val="718096"/>
          <w:sz w:val="20"/>
        </w:rPr>
        <w:t xml:space="preserve">     .......................................................................................... 24</w:t>
      </w:r>
    </w:p>
    <w:p>
      <w:pPr>
        <w:spacing w:line="432" w:lineRule="auto"/>
      </w:pPr>
      <w:r>
        <w:rPr>
          <w:rFonts w:ascii="微软雅黑" w:hAnsi="微软雅黑" w:eastAsia="微软雅黑"/>
          <w:b/>
          <w:color w:val="C9A063"/>
          <w:sz w:val="24"/>
        </w:rPr>
        <w:t xml:space="preserve">09    </w:t>
      </w:r>
      <w:r>
        <w:rPr>
          <w:rFonts w:ascii="微软雅黑" w:hAnsi="微软雅黑" w:eastAsia="微软雅黑"/>
          <w:color w:val="1A202C"/>
          <w:sz w:val="24"/>
        </w:rPr>
        <w:t>团队与组织</w:t>
      </w:r>
      <w:r>
        <w:rPr>
          <w:rFonts w:ascii="微软雅黑" w:hAnsi="微软雅黑" w:eastAsia="微软雅黑"/>
          <w:color w:val="718096"/>
          <w:sz w:val="20"/>
        </w:rPr>
        <w:t xml:space="preserve">     .......................................................................................... 26</w:t>
      </w:r>
    </w:p>
    <w:p>
      <w:pPr>
        <w:spacing w:line="432" w:lineRule="auto"/>
      </w:pPr>
      <w:r>
        <w:rPr>
          <w:rFonts w:ascii="微软雅黑" w:hAnsi="微软雅黑" w:eastAsia="微软雅黑"/>
          <w:b/>
          <w:color w:val="C9A063"/>
          <w:sz w:val="24"/>
        </w:rPr>
        <w:t xml:space="preserve">10    </w:t>
      </w:r>
      <w:r>
        <w:rPr>
          <w:rFonts w:ascii="微软雅黑" w:hAnsi="微软雅黑" w:eastAsia="微软雅黑"/>
          <w:color w:val="1A202C"/>
          <w:sz w:val="24"/>
        </w:rPr>
        <w:t>竞争格局与护城河</w:t>
      </w:r>
      <w:r>
        <w:rPr>
          <w:rFonts w:ascii="微软雅黑" w:hAnsi="微软雅黑" w:eastAsia="微软雅黑"/>
          <w:color w:val="718096"/>
          <w:sz w:val="20"/>
        </w:rPr>
        <w:t xml:space="preserve">     .......................................................................................... 27</w:t>
      </w:r>
    </w:p>
    <w:p>
      <w:pPr>
        <w:spacing w:line="432" w:lineRule="auto"/>
      </w:pPr>
      <w:r>
        <w:rPr>
          <w:rFonts w:ascii="微软雅黑" w:hAnsi="微软雅黑" w:eastAsia="微软雅黑"/>
          <w:b/>
          <w:color w:val="C9A063"/>
          <w:sz w:val="24"/>
        </w:rPr>
        <w:t xml:space="preserve">11    </w:t>
      </w:r>
      <w:r>
        <w:rPr>
          <w:rFonts w:ascii="微软雅黑" w:hAnsi="微软雅黑" w:eastAsia="微软雅黑"/>
          <w:color w:val="1A202C"/>
          <w:sz w:val="24"/>
        </w:rPr>
        <w:t>风险分析与对冲</w:t>
      </w:r>
      <w:r>
        <w:rPr>
          <w:rFonts w:ascii="微软雅黑" w:hAnsi="微软雅黑" w:eastAsia="微软雅黑"/>
          <w:color w:val="718096"/>
          <w:sz w:val="20"/>
        </w:rPr>
        <w:t xml:space="preserve">     .......................................................................................... 29</w:t>
      </w:r>
    </w:p>
    <w:p>
      <w:pPr>
        <w:spacing w:line="432" w:lineRule="auto"/>
      </w:pPr>
      <w:r>
        <w:rPr>
          <w:rFonts w:ascii="微软雅黑" w:hAnsi="微软雅黑" w:eastAsia="微软雅黑"/>
          <w:b/>
          <w:color w:val="C9A063"/>
          <w:sz w:val="24"/>
        </w:rPr>
        <w:t xml:space="preserve">12    </w:t>
      </w:r>
      <w:r>
        <w:rPr>
          <w:rFonts w:ascii="微软雅黑" w:hAnsi="微软雅黑" w:eastAsia="微软雅黑"/>
          <w:color w:val="1A202C"/>
          <w:sz w:val="24"/>
        </w:rPr>
        <w:t>附录·学术与行业背书</w:t>
      </w:r>
      <w:r>
        <w:rPr>
          <w:rFonts w:ascii="微软雅黑" w:hAnsi="微软雅黑" w:eastAsia="微软雅黑"/>
          <w:color w:val="718096"/>
          <w:sz w:val="20"/>
        </w:rPr>
        <w:t xml:space="preserve">     .......................................................................................... 30</w:t>
      </w:r>
    </w:p>
    <w:p>
      <w:r>
        <w:br w:type="page"/>
      </w:r>
    </w:p>
    <w:p>
      <w:pPr>
        <w:spacing w:before="480" w:after="24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44"/>
        </w:rPr>
        <w:t xml:space="preserve">01  </w:t>
      </w:r>
      <w:r>
        <w:rPr>
          <w:rFonts w:ascii="微软雅黑" w:hAnsi="微软雅黑" w:eastAsia="微软雅黑"/>
          <w:b/>
          <w:color w:val="1E3A5F"/>
          <w:sz w:val="44"/>
        </w:rPr>
        <w:t>执行摘要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AF8F2"/>
            <w:tcBorders>
              <w:top w:val="single" w:sz="8" w:color="C9A063"/>
              <w:left w:val="single" w:sz="8" w:color="C9A063"/>
              <w:bottom w:val="single" w:sz="8" w:color="C9A063"/>
              <w:right w:val="single" w:sz="8" w:color="C9A063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B8232F"/>
                <w:sz w:val="22"/>
              </w:rPr>
              <w:t xml:space="preserve">【一句话定位】 </w:t>
            </w:r>
            <w:r>
              <w:rPr>
                <w:rFonts w:ascii="微软雅黑" w:hAnsi="微软雅黑" w:eastAsia="微软雅黑"/>
                <w:color w:val="1A202C"/>
                <w:sz w:val="22"/>
              </w:rPr>
              <w:t>中国第一个把 MIT 系统动力学 + 香港理工 ISUI 智慧城市指数 + AI 治理诊断 装进一个交互沙盘的「政府决策推演 SaaS」。</w:t>
            </w:r>
          </w:p>
        </w:tc>
      </w:tr>
    </w:tbl>
    <w:p/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1.1 我们是谁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color w:val="1A202C"/>
          <w:sz w:val="22"/>
        </w:rPr>
        <w:t>HENAN-ROADS（暂用名）是一家面向中国地方政府基层治理场景的政策推演 SaaS 公司。我们继承 MIT En-ROADS 气候模拟器 30 年验证的产品哲学，结合香港理工大学史文中教授（王之卓奖得主、PolyU 智慧城市研究院 SCRI 主任）的 ISUI 智慧城市指数体系，做了第一个本土化、可推演、可量化的县市级治理沙盘。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1.2 我们解决的痛点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color w:val="1A202C"/>
          <w:sz w:val="22"/>
        </w:rPr>
        <w:t>中国县市政府每年在「数字政府」和「基层治理现代化」上投入超过 2000 亿元，但产生三个死结：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决策没沙盘——18 项政策杠杆怎么联动、推几年生效，只能拍脑袋；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满意度滞后——年度调研一次，等数据回来时舆情已经爆了；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干部不会用——大屏堆得像驾驶舱，但科级以下根本看不懂、用不动。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color w:val="1A202C"/>
          <w:sz w:val="22"/>
        </w:rPr>
        <w:t>保守估计这造成的「低效投资 + 政绩误判」损失，每年 800 亿+。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1.3 我们的解决方案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产品模块</w:t>
            </w:r>
          </w:p>
        </w:tc>
        <w:tc>
          <w:tcPr>
            <w:tcW w:type="dxa" w:w="3402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核心能力</w:t>
            </w:r>
          </w:p>
        </w:tc>
        <w:tc>
          <w:tcPr>
            <w:tcW w:type="dxa" w:w="3685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用户价值</w:t>
            </w:r>
          </w:p>
        </w:tc>
      </w:tr>
      <w:tr>
        <w:tc>
          <w:tcPr>
            <w:tcW w:type="dxa" w:w="198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政策沙盘</w:t>
            </w:r>
          </w:p>
        </w:tc>
        <w:tc>
          <w:tcPr>
            <w:tcW w:type="dxa" w:w="340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18 杠杆 + 4 反馈环 + 系统动力学引擎</w:t>
            </w:r>
          </w:p>
        </w:tc>
        <w:tc>
          <w:tcPr>
            <w:tcW w:type="dxa" w:w="368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10 秒推演 5-10 年治理走向</w:t>
            </w:r>
          </w:p>
        </w:tc>
      </w:tr>
      <w:tr>
        <w:tc>
          <w:tcPr>
            <w:tcW w:type="dxa" w:w="198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ISUI 智慧城市指数</w:t>
            </w:r>
          </w:p>
        </w:tc>
        <w:tc>
          <w:tcPr>
            <w:tcW w:type="dxa" w:w="340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6 维 / 18 子 / 实时与港京基准对标</w:t>
            </w:r>
          </w:p>
        </w:tc>
        <w:tc>
          <w:tcPr>
            <w:tcW w:type="dxa" w:w="368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量化治理水平、横向可比</w:t>
            </w:r>
          </w:p>
        </w:tc>
      </w:tr>
      <w:tr>
        <w:tc>
          <w:tcPr>
            <w:tcW w:type="dxa" w:w="198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满意度指数</w:t>
            </w:r>
          </w:p>
        </w:tc>
        <w:tc>
          <w:tcPr>
            <w:tcW w:type="dxa" w:w="340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5/15/225 三级指标，季度颗粒度</w:t>
            </w:r>
          </w:p>
        </w:tc>
        <w:tc>
          <w:tcPr>
            <w:tcW w:type="dxa" w:w="368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舆情早 6 周预警</w:t>
            </w:r>
          </w:p>
        </w:tc>
      </w:tr>
      <w:tr>
        <w:tc>
          <w:tcPr>
            <w:tcW w:type="dxa" w:w="198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AI 治理诊断</w:t>
            </w:r>
          </w:p>
        </w:tc>
        <w:tc>
          <w:tcPr>
            <w:tcW w:type="dxa" w:w="340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基于城市起源理论 + AHP 权重</w:t>
            </w:r>
          </w:p>
        </w:tc>
        <w:tc>
          <w:tcPr>
            <w:tcW w:type="dxa" w:w="368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自动找短板、给建议、生汇报稿</w:t>
            </w:r>
          </w:p>
        </w:tc>
      </w:tr>
      <w:tr>
        <w:tc>
          <w:tcPr>
            <w:tcW w:type="dxa" w:w="198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工作坊导览</w:t>
            </w:r>
          </w:p>
        </w:tc>
        <w:tc>
          <w:tcPr>
            <w:tcW w:type="dxa" w:w="340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 小时让一群干部上手</w:t>
            </w:r>
          </w:p>
        </w:tc>
        <w:tc>
          <w:tcPr>
            <w:tcW w:type="dxa" w:w="368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大屏不再摆设</w:t>
            </w:r>
          </w:p>
        </w:tc>
      </w:tr>
    </w:tbl>
    <w:p/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1.4 商业模式概要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color w:val="1A202C"/>
          <w:sz w:val="22"/>
        </w:rPr>
        <w:t>5 条收入流构成「雪球式」业务结构：项目咨询入门（35%）→ SaaS 留客（40%）→ 数据订阅复利（10%）→ 培训认证渗透（10%）→ 学术 IP 授权奠定地位（5%）。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color w:val="1A202C"/>
          <w:sz w:val="22"/>
        </w:rPr>
        <w:t>Y3 稳态 LTV/CAC ≈ 5x，Y5 收入 5 亿元、净利 1.5 亿元，目标 IPO 估值 40 亿元+。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1.5 融资进展与本轮安排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color w:val="1A202C"/>
          <w:sz w:val="22"/>
        </w:rPr>
        <w:t>本轮 Seed 拟融资 1500 万元人民币，投前估值 1 亿元，资金主要用于产品化（50%）、团队（30%）、政府关系（20%），跑道 18 个月。</w:t>
      </w:r>
    </w:p>
    <w:p>
      <w:r>
        <w:br w:type="page"/>
      </w:r>
    </w:p>
    <w:p>
      <w:pPr>
        <w:spacing w:before="480" w:after="24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44"/>
        </w:rPr>
        <w:t xml:space="preserve">02  </w:t>
      </w:r>
      <w:r>
        <w:rPr>
          <w:rFonts w:ascii="微软雅黑" w:hAnsi="微软雅黑" w:eastAsia="微软雅黑"/>
          <w:b/>
          <w:color w:val="1E3A5F"/>
          <w:sz w:val="44"/>
        </w:rPr>
        <w:t>市场机会与时机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2.1 政策背景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color w:val="1A202C"/>
          <w:sz w:val="22"/>
        </w:rPr>
        <w:t>2022 年党的二十大报告明确提出「推进国家治理体系和治理能力现代化」，并将「健全共建共治共享的社会治理制度」「打造人人有责、人人尽责、人人享有的社会治理共同体」作为基层治理的核心方向。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color w:val="1A202C"/>
          <w:sz w:val="22"/>
        </w:rPr>
        <w:t>国务院《十四五推进国家政务信息化规划》明确要求：2025 年前实现县级以上政府基层治理数字化覆盖率 100%、群众满意度评估常态化、政策推演工具化。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color w:val="1A202C"/>
          <w:sz w:val="22"/>
        </w:rPr>
        <w:t>省一级层面，河南省作为全国基层治理改革试点（枫桥经验现代化示范区），在《河南省十四五基层治理现代化规划》中明确推动基层治理由经验决策向数据决策转型，为本平台预留了首批落地空间。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2.2 三个浪潮同时到达（Why Now）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AF8F2"/>
            <w:tcBorders>
              <w:top w:val="single" w:sz="8" w:color="C9A063"/>
              <w:left w:val="single" w:sz="8" w:color="C9A063"/>
              <w:bottom w:val="single" w:sz="8" w:color="C9A063"/>
              <w:right w:val="single" w:sz="8" w:color="C9A063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B8232F"/>
                <w:sz w:val="22"/>
              </w:rPr>
              <w:t xml:space="preserve">【浪潮 1 · 政策浪潮】 </w:t>
            </w:r>
            <w:r>
              <w:rPr>
                <w:rFonts w:ascii="微软雅黑" w:hAnsi="微软雅黑" w:eastAsia="微软雅黑"/>
                <w:color w:val="1A202C"/>
                <w:sz w:val="22"/>
              </w:rPr>
              <w:t>二十大写入党章 + 十四五数字政府专项规划进入落地期，2025-2028 是县市政府治理科技投入的高峰窗口。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AF8F2"/>
            <w:tcBorders>
              <w:top w:val="single" w:sz="8" w:color="C9A063"/>
              <w:left w:val="single" w:sz="8" w:color="C9A063"/>
              <w:bottom w:val="single" w:sz="8" w:color="C9A063"/>
              <w:right w:val="single" w:sz="8" w:color="C9A063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B8232F"/>
                <w:sz w:val="22"/>
              </w:rPr>
              <w:t xml:space="preserve">【浪潮 2 · 技术浪潮】 </w:t>
            </w:r>
            <w:r>
              <w:rPr>
                <w:rFonts w:ascii="微软雅黑" w:hAnsi="微软雅黑" w:eastAsia="微软雅黑"/>
                <w:color w:val="1A202C"/>
                <w:sz w:val="22"/>
              </w:rPr>
              <w:t>DeepSeek/通义/文心 让 AI for Gov 从噱头变成基础设施；县级算力下沉、国产大模型本地化部署能力成熟。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AF8F2"/>
            <w:tcBorders>
              <w:top w:val="single" w:sz="8" w:color="C9A063"/>
              <w:left w:val="single" w:sz="8" w:color="C9A063"/>
              <w:bottom w:val="single" w:sz="8" w:color="C9A063"/>
              <w:right w:val="single" w:sz="8" w:color="C9A063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B8232F"/>
                <w:sz w:val="22"/>
              </w:rPr>
              <w:t xml:space="preserve">【浪潮 3 · 代际浪潮】 </w:t>
            </w:r>
            <w:r>
              <w:rPr>
                <w:rFonts w:ascii="微软雅黑" w:hAnsi="微软雅黑" w:eastAsia="微软雅黑"/>
                <w:color w:val="1A202C"/>
                <w:sz w:val="22"/>
              </w:rPr>
              <w:t>80 后市长开始当家，他们要数据、要可视化、要可推演——不再接受 PDF 汇报。</w:t>
            </w:r>
          </w:p>
        </w:tc>
      </w:tr>
    </w:tbl>
    <w:p/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2.3 市场规模 TAM / SAM / SOM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3402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口径</w:t>
            </w:r>
          </w:p>
        </w:tc>
        <w:tc>
          <w:tcPr>
            <w:tcW w:type="dxa" w:w="2268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规模</w:t>
            </w:r>
          </w:p>
        </w:tc>
        <w:tc>
          <w:tcPr>
            <w:tcW w:type="dxa" w:w="2268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我们的获取目标</w:t>
            </w:r>
          </w:p>
        </w:tc>
      </w:tr>
      <w:tr>
        <w:tc>
          <w:tcPr>
            <w:tcW w:type="dxa" w:w="113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TAM</w:t>
            </w:r>
          </w:p>
        </w:tc>
        <w:tc>
          <w:tcPr>
            <w:tcW w:type="dxa" w:w="340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中国地方政府治理科技市场（含智慧城市、政务云、城运指挥）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2,000 亿/年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—</w:t>
            </w:r>
          </w:p>
        </w:tc>
      </w:tr>
      <w:tr>
        <w:tc>
          <w:tcPr>
            <w:tcW w:type="dxa" w:w="113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SAM</w:t>
            </w:r>
          </w:p>
        </w:tc>
        <w:tc>
          <w:tcPr>
            <w:tcW w:type="dxa" w:w="340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数字政府基层治理 + 智慧城市指数测评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300 亿/年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—</w:t>
            </w:r>
          </w:p>
        </w:tc>
      </w:tr>
      <w:tr>
        <w:tc>
          <w:tcPr>
            <w:tcW w:type="dxa" w:w="113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SOM</w:t>
            </w:r>
          </w:p>
        </w:tc>
        <w:tc>
          <w:tcPr>
            <w:tcW w:type="dxa" w:w="340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县市级治理沙盘 + 满意度测评工具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30 亿/年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Y3 4% = 1.2 亿</w:t>
            </w:r>
          </w:p>
        </w:tc>
      </w:tr>
      <w:tr>
        <w:tc>
          <w:tcPr>
            <w:tcW w:type="dxa" w:w="113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</w:r>
          </w:p>
        </w:tc>
        <w:tc>
          <w:tcPr>
            <w:tcW w:type="dxa" w:w="340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Y5 12% = 5 亿</w:t>
            </w:r>
          </w:p>
        </w:tc>
      </w:tr>
    </w:tbl>
    <w:p/>
    <w:p>
      <w:pPr>
        <w:spacing w:after="120" w:line="384" w:lineRule="auto"/>
        <w:ind w:firstLine="480"/>
      </w:pPr>
      <w:r>
        <w:rPr>
          <w:rFonts w:ascii="微软雅黑" w:hAnsi="微软雅黑" w:eastAsia="微软雅黑"/>
          <w:color w:val="1A202C"/>
          <w:sz w:val="22"/>
        </w:rPr>
        <w:t>测算依据：全国 2,843 个县级行政区、333 个地级市、31 个省级单位，加上 60+ 省级党校行政学院、300+ 公管学院 MPA 项目。按 SaaS 渗透率 1% / 5% / 30% 估算 Y3 客户数 100 县 / 30 市 / 5 省。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2.4 客户分层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20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3118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目标客户</w:t>
            </w:r>
          </w:p>
        </w:tc>
        <w:tc>
          <w:tcPr>
            <w:tcW w:type="dxa" w:w="1020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1701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单客 ARR</w:t>
            </w:r>
          </w:p>
        </w:tc>
        <w:tc>
          <w:tcPr>
            <w:tcW w:type="dxa" w:w="2268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决策路径</w:t>
            </w:r>
          </w:p>
        </w:tc>
      </w:tr>
      <w:tr>
        <w:tc>
          <w:tcPr>
            <w:tcW w:type="dxa" w:w="10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Tier-1</w:t>
            </w:r>
          </w:p>
        </w:tc>
        <w:tc>
          <w:tcPr>
            <w:tcW w:type="dxa" w:w="311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县市党委政府 / 县市政办</w:t>
            </w:r>
          </w:p>
        </w:tc>
        <w:tc>
          <w:tcPr>
            <w:tcW w:type="dxa" w:w="10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3,000+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5-30 万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政府采购 / 招投标</w:t>
            </w:r>
          </w:p>
        </w:tc>
      </w:tr>
      <w:tr>
        <w:tc>
          <w:tcPr>
            <w:tcW w:type="dxa" w:w="10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Tier-2</w:t>
            </w:r>
          </w:p>
        </w:tc>
        <w:tc>
          <w:tcPr>
            <w:tcW w:type="dxa" w:w="311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省级党委 / 省政府办公厅</w:t>
            </w:r>
          </w:p>
        </w:tc>
        <w:tc>
          <w:tcPr>
            <w:tcW w:type="dxa" w:w="10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31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200-500 万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厅级直采 / 战投</w:t>
            </w:r>
          </w:p>
        </w:tc>
      </w:tr>
      <w:tr>
        <w:tc>
          <w:tcPr>
            <w:tcW w:type="dxa" w:w="10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Tier-3</w:t>
            </w:r>
          </w:p>
        </w:tc>
        <w:tc>
          <w:tcPr>
            <w:tcW w:type="dxa" w:w="311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中央党校 / 国家行政学院 / 省级党校</w:t>
            </w:r>
          </w:p>
        </w:tc>
        <w:tc>
          <w:tcPr>
            <w:tcW w:type="dxa" w:w="10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60+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30-150 万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学术合作 / 培训采购</w:t>
            </w:r>
          </w:p>
        </w:tc>
      </w:tr>
      <w:tr>
        <w:tc>
          <w:tcPr>
            <w:tcW w:type="dxa" w:w="10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Tier-4</w:t>
            </w:r>
          </w:p>
        </w:tc>
        <w:tc>
          <w:tcPr>
            <w:tcW w:type="dxa" w:w="311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公管学院 / MPA 项目（高校）</w:t>
            </w:r>
          </w:p>
        </w:tc>
        <w:tc>
          <w:tcPr>
            <w:tcW w:type="dxa" w:w="10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300+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5-20 万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学术研究 / 课程合作</w:t>
            </w:r>
          </w:p>
        </w:tc>
      </w:tr>
      <w:tr>
        <w:tc>
          <w:tcPr>
            <w:tcW w:type="dxa" w:w="10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Tier-5</w:t>
            </w:r>
          </w:p>
        </w:tc>
        <w:tc>
          <w:tcPr>
            <w:tcW w:type="dxa" w:w="311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央企国企政策研究院 / 智库</w:t>
            </w:r>
          </w:p>
        </w:tc>
        <w:tc>
          <w:tcPr>
            <w:tcW w:type="dxa" w:w="10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50+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30-100 万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政策咨询服务</w:t>
            </w:r>
          </w:p>
        </w:tc>
      </w:tr>
    </w:tbl>
    <w:p/>
    <w:p>
      <w:r>
        <w:br w:type="page"/>
      </w:r>
    </w:p>
    <w:p>
      <w:pPr>
        <w:spacing w:before="480" w:after="24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44"/>
        </w:rPr>
        <w:t xml:space="preserve">03  </w:t>
      </w:r>
      <w:r>
        <w:rPr>
          <w:rFonts w:ascii="微软雅黑" w:hAnsi="微软雅黑" w:eastAsia="微软雅黑"/>
          <w:b/>
          <w:color w:val="1E3A5F"/>
          <w:sz w:val="44"/>
        </w:rPr>
        <w:t>产品与技术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3.1 产品全景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color w:val="1A202C"/>
          <w:sz w:val="22"/>
        </w:rPr>
        <w:t>HENAN-ROADS 主平台共 10 大栏目，构成完整的「治理决策推演工作台」：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栏目</w:t>
            </w:r>
          </w:p>
        </w:tc>
        <w:tc>
          <w:tcPr>
            <w:tcW w:type="dxa" w:w="4535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551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面向用户</w:t>
            </w:r>
          </w:p>
        </w:tc>
      </w:tr>
      <w:tr>
        <w:tc>
          <w:tcPr>
            <w:tcW w:type="dxa" w:w="198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首页 · 总览</w:t>
            </w:r>
          </w:p>
        </w:tc>
        <w:tc>
          <w:tcPr>
            <w:tcW w:type="dxa" w:w="45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ISUI 仪表 + 实时数据</w:t>
            </w:r>
          </w:p>
        </w:tc>
        <w:tc>
          <w:tcPr>
            <w:tcW w:type="dxa" w:w="25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领导一目了然</w:t>
            </w:r>
          </w:p>
        </w:tc>
      </w:tr>
      <w:tr>
        <w:tc>
          <w:tcPr>
            <w:tcW w:type="dxa" w:w="198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政策沙盘</w:t>
            </w:r>
          </w:p>
        </w:tc>
        <w:tc>
          <w:tcPr>
            <w:tcW w:type="dxa" w:w="45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18 杠杆 + 4 反馈环系统动力学</w:t>
            </w:r>
          </w:p>
        </w:tc>
        <w:tc>
          <w:tcPr>
            <w:tcW w:type="dxa" w:w="25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决策推演核心</w:t>
            </w:r>
          </w:p>
        </w:tc>
      </w:tr>
      <w:tr>
        <w:tc>
          <w:tcPr>
            <w:tcW w:type="dxa" w:w="198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方法论</w:t>
            </w:r>
          </w:p>
        </w:tc>
        <w:tc>
          <w:tcPr>
            <w:tcW w:type="dxa" w:w="45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En-ROADS 借鉴 + 系统思考</w:t>
            </w:r>
          </w:p>
        </w:tc>
        <w:tc>
          <w:tcPr>
            <w:tcW w:type="dxa" w:w="25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学术合规背书</w:t>
            </w:r>
          </w:p>
        </w:tc>
      </w:tr>
      <w:tr>
        <w:tc>
          <w:tcPr>
            <w:tcW w:type="dxa" w:w="198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论文拆解</w:t>
            </w:r>
          </w:p>
        </w:tc>
        <w:tc>
          <w:tcPr>
            <w:tcW w:type="dxa" w:w="45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11 章博士论文方法学</w:t>
            </w:r>
          </w:p>
        </w:tc>
        <w:tc>
          <w:tcPr>
            <w:tcW w:type="dxa" w:w="25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公管学者使用</w:t>
            </w:r>
          </w:p>
        </w:tc>
      </w:tr>
      <w:tr>
        <w:tc>
          <w:tcPr>
            <w:tcW w:type="dxa" w:w="198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案例库</w:t>
            </w:r>
          </w:p>
        </w:tc>
        <w:tc>
          <w:tcPr>
            <w:tcW w:type="dxa" w:w="45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郑州模式 + 标杆复用</w:t>
            </w:r>
          </w:p>
        </w:tc>
        <w:tc>
          <w:tcPr>
            <w:tcW w:type="dxa" w:w="25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对标参考</w:t>
            </w:r>
          </w:p>
        </w:tc>
      </w:tr>
      <w:tr>
        <w:tc>
          <w:tcPr>
            <w:tcW w:type="dxa" w:w="198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调查问卷</w:t>
            </w:r>
          </w:p>
        </w:tc>
        <w:tc>
          <w:tcPr>
            <w:tcW w:type="dxa" w:w="45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15 题实测群众满意度</w:t>
            </w:r>
          </w:p>
        </w:tc>
        <w:tc>
          <w:tcPr>
            <w:tcW w:type="dxa" w:w="25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数据采集入口</w:t>
            </w:r>
          </w:p>
        </w:tc>
      </w:tr>
      <w:tr>
        <w:tc>
          <w:tcPr>
            <w:tcW w:type="dxa" w:w="198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AI 诊断</w:t>
            </w:r>
          </w:p>
        </w:tc>
        <w:tc>
          <w:tcPr>
            <w:tcW w:type="dxa" w:w="45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4 维分析 + 自动建议</w:t>
            </w:r>
          </w:p>
        </w:tc>
        <w:tc>
          <w:tcPr>
            <w:tcW w:type="dxa" w:w="25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干部决策辅助</w:t>
            </w:r>
          </w:p>
        </w:tc>
      </w:tr>
      <w:tr>
        <w:tc>
          <w:tcPr>
            <w:tcW w:type="dxa" w:w="198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智慧城市指数</w:t>
            </w:r>
          </w:p>
        </w:tc>
        <w:tc>
          <w:tcPr>
            <w:tcW w:type="dxa" w:w="45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ISUI 6 维实时雷达图</w:t>
            </w:r>
          </w:p>
        </w:tc>
        <w:tc>
          <w:tcPr>
            <w:tcW w:type="dxa" w:w="25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对标港京深</w:t>
            </w:r>
          </w:p>
        </w:tc>
      </w:tr>
      <w:tr>
        <w:tc>
          <w:tcPr>
            <w:tcW w:type="dxa" w:w="198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工作坊指南</w:t>
            </w:r>
          </w:p>
        </w:tc>
        <w:tc>
          <w:tcPr>
            <w:tcW w:type="dxa" w:w="45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 小时上手培训方案</w:t>
            </w:r>
          </w:p>
        </w:tc>
        <w:tc>
          <w:tcPr>
            <w:tcW w:type="dxa" w:w="25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落地培训资料</w:t>
            </w:r>
          </w:p>
        </w:tc>
      </w:tr>
      <w:tr>
        <w:tc>
          <w:tcPr>
            <w:tcW w:type="dxa" w:w="198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关于</w:t>
            </w:r>
          </w:p>
        </w:tc>
        <w:tc>
          <w:tcPr>
            <w:tcW w:type="dxa" w:w="45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团队 / IP / 致谢</w:t>
            </w:r>
          </w:p>
        </w:tc>
        <w:tc>
          <w:tcPr>
            <w:tcW w:type="dxa" w:w="25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—</w:t>
            </w:r>
          </w:p>
        </w:tc>
      </w:tr>
    </w:tbl>
    <w:p/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3.2 政策沙盘的 18 杠杆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color w:val="1A202C"/>
          <w:sz w:val="22"/>
        </w:rPr>
        <w:t>继承 En-ROADS 引擎结构，按 6 大类组织 18 项政策杠杆，每项 5 级离散输入，组合空间 5^18 ≈ 3.8 万亿种可能：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3402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杠杆</w:t>
            </w:r>
          </w:p>
        </w:tc>
        <w:tc>
          <w:tcPr>
            <w:tcW w:type="dxa" w:w="4252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党建引领</w:t>
            </w:r>
          </w:p>
        </w:tc>
        <w:tc>
          <w:tcPr>
            <w:tcW w:type="dxa" w:w="340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组织覆盖、思想宣讲、纪检监督</w:t>
            </w:r>
          </w:p>
        </w:tc>
        <w:tc>
          <w:tcPr>
            <w:tcW w:type="dxa" w:w="425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党的领导贯穿基层治理全过程</w:t>
            </w:r>
          </w:p>
        </w:tc>
      </w:tr>
      <w:tr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网格管理</w:t>
            </w:r>
          </w:p>
        </w:tc>
        <w:tc>
          <w:tcPr>
            <w:tcW w:type="dxa" w:w="340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网格密度、网格员素质、应急响应</w:t>
            </w:r>
          </w:p>
        </w:tc>
        <w:tc>
          <w:tcPr>
            <w:tcW w:type="dxa" w:w="425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末端执行力</w:t>
            </w:r>
          </w:p>
        </w:tc>
      </w:tr>
      <w:tr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城市大脑</w:t>
            </w:r>
          </w:p>
        </w:tc>
        <w:tc>
          <w:tcPr>
            <w:tcW w:type="dxa" w:w="340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数据中台、城运中心、感知设备</w:t>
            </w:r>
          </w:p>
        </w:tc>
        <w:tc>
          <w:tcPr>
            <w:tcW w:type="dxa" w:w="425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技术底座</w:t>
            </w:r>
          </w:p>
        </w:tc>
      </w:tr>
      <w:tr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协商共治</w:t>
            </w:r>
          </w:p>
        </w:tc>
        <w:tc>
          <w:tcPr>
            <w:tcW w:type="dxa" w:w="340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代表议事、社会组织、志愿者</w:t>
            </w:r>
          </w:p>
        </w:tc>
        <w:tc>
          <w:tcPr>
            <w:tcW w:type="dxa" w:w="425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群众参与</w:t>
            </w:r>
          </w:p>
        </w:tc>
      </w:tr>
      <w:tr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能力建设</w:t>
            </w:r>
          </w:p>
        </w:tc>
        <w:tc>
          <w:tcPr>
            <w:tcW w:type="dxa" w:w="340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干部培训、专业人才、薪酬激励</w:t>
            </w:r>
          </w:p>
        </w:tc>
        <w:tc>
          <w:tcPr>
            <w:tcW w:type="dxa" w:w="425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队伍建设</w:t>
            </w:r>
          </w:p>
        </w:tc>
      </w:tr>
      <w:tr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场景任务</w:t>
            </w:r>
          </w:p>
        </w:tc>
        <w:tc>
          <w:tcPr>
            <w:tcW w:type="dxa" w:w="340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极端天气、重大事件、信访</w:t>
            </w:r>
          </w:p>
        </w:tc>
        <w:tc>
          <w:tcPr>
            <w:tcW w:type="dxa" w:w="425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突发应对</w:t>
            </w:r>
          </w:p>
        </w:tc>
      </w:tr>
    </w:tbl>
    <w:p/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3.3 系统动力学引擎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color w:val="1A202C"/>
          <w:sz w:val="22"/>
        </w:rPr>
        <w:t>继承 MIT Sloan En-ROADS 的「存量-流量」(Stock-and-Flow) 系统建模方法，构建 4 个核心反馈回路：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R1 信任增强环（Reinforcing）：满意度↑ → 协商参与↑ → 政策更精准 → 满意度↑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R2 数据增强环（Reinforcing）：网格采集↑ → 城市大脑↑ → 决策↑ → 网格效率↑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B1 资源约束环（Balancing）：投入↑ → 财政压力↑ → 投入↓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B2 能力瓶颈环（Balancing）：任务↑ → 干部疲惫↑ → 能力↓ → 任务积压↑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3.4 ISUI 智慧城市指数（学术 IP 锚）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color w:val="1A202C"/>
          <w:sz w:val="22"/>
        </w:rPr>
        <w:t>由香港理工大学 SCRI 主任史文中教授提出的 Intelligent Smart Urban Index (ISUI)，6 维评估体系：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ISUI 维度</w:t>
            </w:r>
          </w:p>
        </w:tc>
        <w:tc>
          <w:tcPr>
            <w:tcW w:type="dxa" w:w="1701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4535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对标基准</w:t>
            </w:r>
          </w:p>
        </w:tc>
      </w:tr>
      <w:tr>
        <w:tc>
          <w:tcPr>
            <w:tcW w:type="dxa" w:w="28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I1 智慧基础设施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20%</w:t>
            </w:r>
          </w:p>
        </w:tc>
        <w:tc>
          <w:tcPr>
            <w:tcW w:type="dxa" w:w="45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香港 92 / 北京 85</w:t>
            </w:r>
          </w:p>
        </w:tc>
      </w:tr>
      <w:tr>
        <w:tc>
          <w:tcPr>
            <w:tcW w:type="dxa" w:w="28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I2 智慧治理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20%</w:t>
            </w:r>
          </w:p>
        </w:tc>
        <w:tc>
          <w:tcPr>
            <w:tcW w:type="dxa" w:w="45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香港 88 / 北京 90</w:t>
            </w:r>
          </w:p>
        </w:tc>
      </w:tr>
      <w:tr>
        <w:tc>
          <w:tcPr>
            <w:tcW w:type="dxa" w:w="28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I3 智慧经济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15%</w:t>
            </w:r>
          </w:p>
        </w:tc>
        <w:tc>
          <w:tcPr>
            <w:tcW w:type="dxa" w:w="45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香港 85 / 北京 87</w:t>
            </w:r>
          </w:p>
        </w:tc>
      </w:tr>
      <w:tr>
        <w:tc>
          <w:tcPr>
            <w:tcW w:type="dxa" w:w="28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I4 智慧人民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15%</w:t>
            </w:r>
          </w:p>
        </w:tc>
        <w:tc>
          <w:tcPr>
            <w:tcW w:type="dxa" w:w="45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香港 82 / 北京 78</w:t>
            </w:r>
          </w:p>
        </w:tc>
      </w:tr>
      <w:tr>
        <w:tc>
          <w:tcPr>
            <w:tcW w:type="dxa" w:w="28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I5 智慧环境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15%</w:t>
            </w:r>
          </w:p>
        </w:tc>
        <w:tc>
          <w:tcPr>
            <w:tcW w:type="dxa" w:w="45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香港 80 / 北京 76</w:t>
            </w:r>
          </w:p>
        </w:tc>
      </w:tr>
      <w:tr>
        <w:tc>
          <w:tcPr>
            <w:tcW w:type="dxa" w:w="28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I6 智慧机动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15%</w:t>
            </w:r>
          </w:p>
        </w:tc>
        <w:tc>
          <w:tcPr>
            <w:tcW w:type="dxa" w:w="45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香港 95 / 北京 84</w:t>
            </w:r>
          </w:p>
        </w:tc>
      </w:tr>
    </w:tbl>
    <w:p/>
    <w:p>
      <w:pPr>
        <w:spacing w:after="120" w:line="384" w:lineRule="auto"/>
        <w:ind w:firstLine="480"/>
      </w:pPr>
      <w:r>
        <w:rPr>
          <w:rFonts w:ascii="微软雅黑" w:hAnsi="微软雅黑" w:eastAsia="微软雅黑"/>
          <w:color w:val="1A202C"/>
          <w:sz w:val="22"/>
        </w:rPr>
        <w:t>本平台已与史文中教授团队达成「学术 IP 独家合作」初步共识，将在 Seed 轮后正式签署 5 年独家授权协议 + 联合实验室协议。这是 1-3 年内不可被复制的核心壁垒。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3.5 技术架构（演进路线）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</w:t>
            </w:r>
          </w:p>
        </w:tc>
        <w:tc>
          <w:tcPr>
            <w:tcW w:type="dxa" w:w="2268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Y1 状态</w:t>
            </w:r>
          </w:p>
        </w:tc>
        <w:tc>
          <w:tcPr>
            <w:tcW w:type="dxa" w:w="2551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Y3 演进</w:t>
            </w:r>
          </w:p>
        </w:tc>
        <w:tc>
          <w:tcPr>
            <w:tcW w:type="dxa" w:w="3118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Y5 目标</w:t>
            </w:r>
          </w:p>
        </w:tc>
      </w:tr>
      <w:tr>
        <w:tc>
          <w:tcPr>
            <w:tcW w:type="dxa" w:w="113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前端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单页 HTML + Chart.js</w:t>
            </w:r>
          </w:p>
        </w:tc>
        <w:tc>
          <w:tcPr>
            <w:tcW w:type="dxa" w:w="25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Vue 3 + ECharts</w:t>
            </w:r>
          </w:p>
        </w:tc>
        <w:tc>
          <w:tcPr>
            <w:tcW w:type="dxa" w:w="311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WebGL 3D 城市大脑</w:t>
            </w:r>
          </w:p>
        </w:tc>
      </w:tr>
      <w:tr>
        <w:tc>
          <w:tcPr>
            <w:tcW w:type="dxa" w:w="113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仿真引擎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JS 原生 + 静态曲线</w:t>
            </w:r>
          </w:p>
        </w:tc>
        <w:tc>
          <w:tcPr>
            <w:tcW w:type="dxa" w:w="25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Python 后端 + 神经网络代理模型</w:t>
            </w:r>
          </w:p>
        </w:tc>
        <w:tc>
          <w:tcPr>
            <w:tcW w:type="dxa" w:w="311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数字孪生 + Agent-Based</w:t>
            </w:r>
          </w:p>
        </w:tc>
      </w:tr>
      <w:tr>
        <w:tc>
          <w:tcPr>
            <w:tcW w:type="dxa" w:w="113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AI 诊断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规则 + 模板</w:t>
            </w:r>
          </w:p>
        </w:tc>
        <w:tc>
          <w:tcPr>
            <w:tcW w:type="dxa" w:w="25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LLM(国产) + RAG 政策库</w:t>
            </w:r>
          </w:p>
        </w:tc>
        <w:tc>
          <w:tcPr>
            <w:tcW w:type="dxa" w:w="311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多模态 Copilot</w:t>
            </w:r>
          </w:p>
        </w:tc>
      </w:tr>
      <w:tr>
        <w:tc>
          <w:tcPr>
            <w:tcW w:type="dxa" w:w="113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数据层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本地 JSON</w:t>
            </w:r>
          </w:p>
        </w:tc>
        <w:tc>
          <w:tcPr>
            <w:tcW w:type="dxa" w:w="25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时序数据库 + 政府数据接入</w:t>
            </w:r>
          </w:p>
        </w:tc>
        <w:tc>
          <w:tcPr>
            <w:tcW w:type="dxa" w:w="311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联邦学习 + 隐私计算</w:t>
            </w:r>
          </w:p>
        </w:tc>
      </w:tr>
      <w:tr>
        <w:tc>
          <w:tcPr>
            <w:tcW w:type="dxa" w:w="113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部署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GitHub Pages</w:t>
            </w:r>
          </w:p>
        </w:tc>
        <w:tc>
          <w:tcPr>
            <w:tcW w:type="dxa" w:w="25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私有化（信创栈）</w:t>
            </w:r>
          </w:p>
        </w:tc>
        <w:tc>
          <w:tcPr>
            <w:tcW w:type="dxa" w:w="311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国产云原生 + 等保三级</w:t>
            </w:r>
          </w:p>
        </w:tc>
      </w:tr>
    </w:tbl>
    <w:p/>
    <w:p>
      <w:r>
        <w:br w:type="page"/>
      </w:r>
    </w:p>
    <w:p>
      <w:pPr>
        <w:spacing w:before="480" w:after="24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44"/>
        </w:rPr>
        <w:t xml:space="preserve">04  </w:t>
      </w:r>
      <w:r>
        <w:rPr>
          <w:rFonts w:ascii="微软雅黑" w:hAnsi="微软雅黑" w:eastAsia="微软雅黑"/>
          <w:b/>
          <w:color w:val="1E3A5F"/>
          <w:sz w:val="44"/>
        </w:rPr>
        <w:t>商业模式（5 条收入流）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4.1 商业模式画布概览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7370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我们的选择</w:t>
            </w:r>
          </w:p>
        </w:tc>
      </w:tr>
      <w:tr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客户细分</w:t>
            </w:r>
          </w:p>
        </w:tc>
        <w:tc>
          <w:tcPr>
            <w:tcW w:type="dxa" w:w="737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 个层级（县市政府 / 省级 / 党校 / 高校 / 央国企智库）</w:t>
            </w:r>
          </w:p>
        </w:tc>
      </w:tr>
      <w:tr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价值主张</w:t>
            </w:r>
          </w:p>
        </w:tc>
        <w:tc>
          <w:tcPr>
            <w:tcW w:type="dxa" w:w="737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决策有沙盘 · 满意度可量化 · 干部能上手</w:t>
            </w:r>
          </w:p>
        </w:tc>
      </w:tr>
      <w:tr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渠道</w:t>
            </w:r>
          </w:p>
        </w:tc>
        <w:tc>
          <w:tcPr>
            <w:tcW w:type="dxa" w:w="737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直销（厅局级 BD）+ 学术（PolyU/党校）+ 集成商（华为/海康/紫光）</w:t>
            </w:r>
          </w:p>
        </w:tc>
      </w:tr>
      <w:tr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客户关系</w:t>
            </w:r>
          </w:p>
        </w:tc>
        <w:tc>
          <w:tcPr>
            <w:tcW w:type="dxa" w:w="737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定制部署 + 工作坊 + 年度战略复盘 + 数据订阅</w:t>
            </w:r>
          </w:p>
        </w:tc>
      </w:tr>
      <w:tr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收入流</w:t>
            </w:r>
          </w:p>
        </w:tc>
        <w:tc>
          <w:tcPr>
            <w:tcW w:type="dxa" w:w="737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SaaS 订阅 + 项目咨询 + 数据报告 + 培训认证 + IP 授权</w:t>
            </w:r>
          </w:p>
        </w:tc>
      </w:tr>
      <w:tr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关键资源</w:t>
            </w:r>
          </w:p>
        </w:tc>
        <w:tc>
          <w:tcPr>
            <w:tcW w:type="dxa" w:w="737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学术 IP（史文中）+ 数据基线（河南）+ 已建工作产品</w:t>
            </w:r>
          </w:p>
        </w:tc>
      </w:tr>
      <w:tr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关键活动</w:t>
            </w:r>
          </w:p>
        </w:tc>
        <w:tc>
          <w:tcPr>
            <w:tcW w:type="dxa" w:w="737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产品迭代 / 政府关系 / 学术合作 / 内容营销</w:t>
            </w:r>
          </w:p>
        </w:tc>
      </w:tr>
      <w:tr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关键合作</w:t>
            </w:r>
          </w:p>
        </w:tc>
        <w:tc>
          <w:tcPr>
            <w:tcW w:type="dxa" w:w="737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PolyU SCRI / 中央党校 / 华为政务 / 阿里云</w:t>
            </w:r>
          </w:p>
        </w:tc>
      </w:tr>
      <w:tr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成本结构</w:t>
            </w:r>
          </w:p>
        </w:tc>
        <w:tc>
          <w:tcPr>
            <w:tcW w:type="dxa" w:w="737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研发 40% + 销售/政务关系 25% + 运营 15% + IP 10% + 行政 10%</w:t>
            </w:r>
          </w:p>
        </w:tc>
      </w:tr>
    </w:tbl>
    <w:p/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4.2 收入流 ① ——SaaS 订阅（占比 40%）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268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目标客户</w:t>
            </w:r>
          </w:p>
        </w:tc>
        <w:tc>
          <w:tcPr>
            <w:tcW w:type="dxa" w:w="1701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年订阅价</w:t>
            </w:r>
          </w:p>
        </w:tc>
        <w:tc>
          <w:tcPr>
            <w:tcW w:type="dxa" w:w="3118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包含内容</w:t>
            </w:r>
          </w:p>
        </w:tc>
        <w:tc>
          <w:tcPr>
            <w:tcW w:type="dxa" w:w="850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续费率</w:t>
            </w:r>
          </w:p>
        </w:tc>
      </w:tr>
      <w:tr>
        <w:tc>
          <w:tcPr>
            <w:tcW w:type="dxa" w:w="113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县级版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县/区政府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5-10 万</w:t>
            </w:r>
          </w:p>
        </w:tc>
        <w:tc>
          <w:tcPr>
            <w:tcW w:type="dxa" w:w="311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沙盘核心 + 1 次工作坊 + 季度报告</w:t>
            </w:r>
          </w:p>
        </w:tc>
        <w:tc>
          <w:tcPr>
            <w:tcW w:type="dxa" w:w="85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85%</w:t>
            </w:r>
          </w:p>
        </w:tc>
      </w:tr>
      <w:tr>
        <w:tc>
          <w:tcPr>
            <w:tcW w:type="dxa" w:w="113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市级版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地级市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30-100 万</w:t>
            </w:r>
          </w:p>
        </w:tc>
        <w:tc>
          <w:tcPr>
            <w:tcW w:type="dxa" w:w="311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全功能 + 5 次咨询 + 月度报告 + 培训 30 人</w:t>
            </w:r>
          </w:p>
        </w:tc>
        <w:tc>
          <w:tcPr>
            <w:tcW w:type="dxa" w:w="85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90%</w:t>
            </w:r>
          </w:p>
        </w:tc>
      </w:tr>
      <w:tr>
        <w:tc>
          <w:tcPr>
            <w:tcW w:type="dxa" w:w="113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省级版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省委省政府办公厅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200-500 万</w:t>
            </w:r>
          </w:p>
        </w:tc>
        <w:tc>
          <w:tcPr>
            <w:tcW w:type="dxa" w:w="311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私有化部署 + 数据接入 + 专家驻场</w:t>
            </w:r>
          </w:p>
        </w:tc>
        <w:tc>
          <w:tcPr>
            <w:tcW w:type="dxa" w:w="85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95%</w:t>
            </w:r>
          </w:p>
        </w:tc>
      </w:tr>
      <w:tr>
        <w:tc>
          <w:tcPr>
            <w:tcW w:type="dxa" w:w="113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党校版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省级党校 / 行政学院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30-80 万</w:t>
            </w:r>
          </w:p>
        </w:tc>
        <w:tc>
          <w:tcPr>
            <w:tcW w:type="dxa" w:w="311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工作坊套件 + 案例库 + 教学许可</w:t>
            </w:r>
          </w:p>
        </w:tc>
        <w:tc>
          <w:tcPr>
            <w:tcW w:type="dxa" w:w="85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92%</w:t>
            </w:r>
          </w:p>
        </w:tc>
      </w:tr>
    </w:tbl>
    <w:p/>
    <w:p>
      <w:pPr>
        <w:spacing w:after="120" w:line="384" w:lineRule="auto"/>
        <w:ind w:firstLine="480"/>
      </w:pPr>
      <w:r>
        <w:rPr>
          <w:rFonts w:ascii="微软雅黑" w:hAnsi="微软雅黑" w:eastAsia="微软雅黑"/>
          <w:color w:val="1A202C"/>
          <w:sz w:val="22"/>
        </w:rPr>
        <w:t>续费驱动力：政府客户一旦内嵌进政策决策流程，替换成本极高（系统 + 数据 + 人员习惯三重锁定）。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4.3 收入流 ② ——项目制咨询（占比 35%）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51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项目类型</w:t>
            </w:r>
          </w:p>
        </w:tc>
        <w:tc>
          <w:tcPr>
            <w:tcW w:type="dxa" w:w="1417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周期</w:t>
            </w:r>
          </w:p>
        </w:tc>
        <w:tc>
          <w:tcPr>
            <w:tcW w:type="dxa" w:w="1701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单价</w:t>
            </w:r>
          </w:p>
        </w:tc>
        <w:tc>
          <w:tcPr>
            <w:tcW w:type="dxa" w:w="1417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毛利率</w:t>
            </w:r>
          </w:p>
        </w:tc>
        <w:tc>
          <w:tcPr>
            <w:tcW w:type="dxa" w:w="1984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战略意义</w:t>
            </w:r>
          </w:p>
        </w:tc>
      </w:tr>
      <w:tr>
        <w:tc>
          <w:tcPr>
            <w:tcW w:type="dxa" w:w="25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治理诊断报告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2-3 个月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50-100 万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55%</w:t>
            </w:r>
          </w:p>
        </w:tc>
        <w:tc>
          <w:tcPr>
            <w:tcW w:type="dxa" w:w="198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新客主入口、SaaS 漏斗</w:t>
            </w:r>
          </w:p>
        </w:tc>
      </w:tr>
      <w:tr>
        <w:tc>
          <w:tcPr>
            <w:tcW w:type="dxa" w:w="25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政策推演工作坊（3 天）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3-5 天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30-80 万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70%</w:t>
            </w:r>
          </w:p>
        </w:tc>
        <w:tc>
          <w:tcPr>
            <w:tcW w:type="dxa" w:w="198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高决策层接触</w:t>
            </w:r>
          </w:p>
        </w:tc>
      </w:tr>
      <w:tr>
        <w:tc>
          <w:tcPr>
            <w:tcW w:type="dxa" w:w="25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满意度年度测评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12 个月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100-300 万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60%</w:t>
            </w:r>
          </w:p>
        </w:tc>
        <w:tc>
          <w:tcPr>
            <w:tcW w:type="dxa" w:w="198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锁定全年现金流</w:t>
            </w:r>
          </w:p>
        </w:tc>
      </w:tr>
      <w:tr>
        <w:tc>
          <w:tcPr>
            <w:tcW w:type="dxa" w:w="25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专项治理沙盘建设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6-9 个月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200-500 万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50%</w:t>
            </w:r>
          </w:p>
        </w:tc>
        <w:tc>
          <w:tcPr>
            <w:tcW w:type="dxa" w:w="198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数据资产沉淀</w:t>
            </w:r>
          </w:p>
        </w:tc>
      </w:tr>
    </w:tbl>
    <w:p/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4.4 收入流 ③ ——数据 + 报告订阅（占比 10%）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《全国基层治理 ISUI 白皮书》（年度）：5 万元/份，目标 200 份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《城市满意度季度报告》：3 万元/期，目标 80 个客户 × 4 期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数据 API 订阅：10 万元/年，目标 30 家咨询公司 / 智库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媒体内容合作（理论版面定制）：15 万元/年 × 5 家媒体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4.5 收入流 ④ ——培训认证（占比 10%）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「治理沙盘师」专业认证：8,000 元/人，年化 1,000 人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省级党校干部研修班：50-150 万/期，年化 12 期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MPA 高校合作课程：5 万元/学年/学校，目标 50 所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4.6 收入流 ⑤ ——学术 IP 授权（占比 5%）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ISUI 体系子许可（其他咨询机构）：50-200 万/项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出版物（著作权 / 教材）：100-300 万/部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联合实验室（PolyU）：技术转让分成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color w:val="1A202C"/>
          <w:sz w:val="22"/>
        </w:rPr>
        <w:t>占比虽低，但战略意义在于「行业标准定义权」——一旦 ISUI 成为政府采购参考标准，其他厂商必须授权使用。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4.7 飞轮模型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color w:val="1A202C"/>
          <w:sz w:val="22"/>
        </w:rPr>
        <w:t>项目咨询入门 → 留住客户 → 转化为 SaaS 续费 → 数据订阅复利 → 培训渗透干部网络 → 通过培训学员反向带新项目 → 学术 IP 标准化定义市场 → 项目咨询竞品出局。这是一个 5 节逐级加固的雪球。</w:t>
      </w:r>
    </w:p>
    <w:p>
      <w:r>
        <w:br w:type="page"/>
      </w:r>
    </w:p>
    <w:p>
      <w:pPr>
        <w:spacing w:before="480" w:after="24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44"/>
        </w:rPr>
        <w:t xml:space="preserve">05  </w:t>
      </w:r>
      <w:r>
        <w:rPr>
          <w:rFonts w:ascii="微软雅黑" w:hAnsi="微软雅黑" w:eastAsia="微软雅黑"/>
          <w:b/>
          <w:color w:val="1E3A5F"/>
          <w:sz w:val="44"/>
        </w:rPr>
        <w:t>市场规模与客户分层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5.1 自下而上市场测算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984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客户层</w:t>
            </w:r>
          </w:p>
        </w:tc>
        <w:tc>
          <w:tcPr>
            <w:tcW w:type="dxa" w:w="1020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总数</w:t>
            </w:r>
          </w:p>
        </w:tc>
        <w:tc>
          <w:tcPr>
            <w:tcW w:type="dxa" w:w="1134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Y3 渗透率</w:t>
            </w:r>
          </w:p>
        </w:tc>
        <w:tc>
          <w:tcPr>
            <w:tcW w:type="dxa" w:w="1020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Y3 客户数</w:t>
            </w:r>
          </w:p>
        </w:tc>
        <w:tc>
          <w:tcPr>
            <w:tcW w:type="dxa" w:w="1134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单客 ARR</w:t>
            </w:r>
          </w:p>
        </w:tc>
        <w:tc>
          <w:tcPr>
            <w:tcW w:type="dxa" w:w="2778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Y3 ARR 总和</w:t>
            </w:r>
          </w:p>
        </w:tc>
      </w:tr>
      <w:tr>
        <w:tc>
          <w:tcPr>
            <w:tcW w:type="dxa" w:w="198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县/区级政府</w:t>
            </w:r>
          </w:p>
        </w:tc>
        <w:tc>
          <w:tcPr>
            <w:tcW w:type="dxa" w:w="10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2,843</w:t>
            </w:r>
          </w:p>
        </w:tc>
        <w:tc>
          <w:tcPr>
            <w:tcW w:type="dxa" w:w="113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3.5%</w:t>
            </w:r>
          </w:p>
        </w:tc>
        <w:tc>
          <w:tcPr>
            <w:tcW w:type="dxa" w:w="10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100</w:t>
            </w:r>
          </w:p>
        </w:tc>
        <w:tc>
          <w:tcPr>
            <w:tcW w:type="dxa" w:w="113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8 万</w:t>
            </w:r>
          </w:p>
        </w:tc>
        <w:tc>
          <w:tcPr>
            <w:tcW w:type="dxa" w:w="277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800 万</w:t>
            </w:r>
          </w:p>
        </w:tc>
      </w:tr>
      <w:tr>
        <w:tc>
          <w:tcPr>
            <w:tcW w:type="dxa" w:w="198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地级市</w:t>
            </w:r>
          </w:p>
        </w:tc>
        <w:tc>
          <w:tcPr>
            <w:tcW w:type="dxa" w:w="10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333</w:t>
            </w:r>
          </w:p>
        </w:tc>
        <w:tc>
          <w:tcPr>
            <w:tcW w:type="dxa" w:w="113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9.0%</w:t>
            </w:r>
          </w:p>
        </w:tc>
        <w:tc>
          <w:tcPr>
            <w:tcW w:type="dxa" w:w="10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30</w:t>
            </w:r>
          </w:p>
        </w:tc>
        <w:tc>
          <w:tcPr>
            <w:tcW w:type="dxa" w:w="113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60 万</w:t>
            </w:r>
          </w:p>
        </w:tc>
        <w:tc>
          <w:tcPr>
            <w:tcW w:type="dxa" w:w="277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1,800 万</w:t>
            </w:r>
          </w:p>
        </w:tc>
      </w:tr>
      <w:tr>
        <w:tc>
          <w:tcPr>
            <w:tcW w:type="dxa" w:w="198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省级</w:t>
            </w:r>
          </w:p>
        </w:tc>
        <w:tc>
          <w:tcPr>
            <w:tcW w:type="dxa" w:w="10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31</w:t>
            </w:r>
          </w:p>
        </w:tc>
        <w:tc>
          <w:tcPr>
            <w:tcW w:type="dxa" w:w="113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16.1%</w:t>
            </w:r>
          </w:p>
        </w:tc>
        <w:tc>
          <w:tcPr>
            <w:tcW w:type="dxa" w:w="10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</w:t>
            </w:r>
          </w:p>
        </w:tc>
        <w:tc>
          <w:tcPr>
            <w:tcW w:type="dxa" w:w="113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350 万</w:t>
            </w:r>
          </w:p>
        </w:tc>
        <w:tc>
          <w:tcPr>
            <w:tcW w:type="dxa" w:w="277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1,750 万</w:t>
            </w:r>
          </w:p>
        </w:tc>
      </w:tr>
      <w:tr>
        <w:tc>
          <w:tcPr>
            <w:tcW w:type="dxa" w:w="198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党校 / 行政学院</w:t>
            </w:r>
          </w:p>
        </w:tc>
        <w:tc>
          <w:tcPr>
            <w:tcW w:type="dxa" w:w="10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60+</w:t>
            </w:r>
          </w:p>
        </w:tc>
        <w:tc>
          <w:tcPr>
            <w:tcW w:type="dxa" w:w="113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40%</w:t>
            </w:r>
          </w:p>
        </w:tc>
        <w:tc>
          <w:tcPr>
            <w:tcW w:type="dxa" w:w="10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25</w:t>
            </w:r>
          </w:p>
        </w:tc>
        <w:tc>
          <w:tcPr>
            <w:tcW w:type="dxa" w:w="113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60 万</w:t>
            </w:r>
          </w:p>
        </w:tc>
        <w:tc>
          <w:tcPr>
            <w:tcW w:type="dxa" w:w="277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1,500 万</w:t>
            </w:r>
          </w:p>
        </w:tc>
      </w:tr>
      <w:tr>
        <w:tc>
          <w:tcPr>
            <w:tcW w:type="dxa" w:w="198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MPA 高校 / 智库</w:t>
            </w:r>
          </w:p>
        </w:tc>
        <w:tc>
          <w:tcPr>
            <w:tcW w:type="dxa" w:w="10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350+</w:t>
            </w:r>
          </w:p>
        </w:tc>
        <w:tc>
          <w:tcPr>
            <w:tcW w:type="dxa" w:w="113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10%</w:t>
            </w:r>
          </w:p>
        </w:tc>
        <w:tc>
          <w:tcPr>
            <w:tcW w:type="dxa" w:w="10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35</w:t>
            </w:r>
          </w:p>
        </w:tc>
        <w:tc>
          <w:tcPr>
            <w:tcW w:type="dxa" w:w="113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15 万</w:t>
            </w:r>
          </w:p>
        </w:tc>
        <w:tc>
          <w:tcPr>
            <w:tcW w:type="dxa" w:w="277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525 万</w:t>
            </w:r>
          </w:p>
        </w:tc>
      </w:tr>
      <w:tr>
        <w:tc>
          <w:tcPr>
            <w:tcW w:type="dxa" w:w="198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央企国企政研院</w:t>
            </w:r>
          </w:p>
        </w:tc>
        <w:tc>
          <w:tcPr>
            <w:tcW w:type="dxa" w:w="10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50+</w:t>
            </w:r>
          </w:p>
        </w:tc>
        <w:tc>
          <w:tcPr>
            <w:tcW w:type="dxa" w:w="113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20%</w:t>
            </w:r>
          </w:p>
        </w:tc>
        <w:tc>
          <w:tcPr>
            <w:tcW w:type="dxa" w:w="10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10</w:t>
            </w:r>
          </w:p>
        </w:tc>
        <w:tc>
          <w:tcPr>
            <w:tcW w:type="dxa" w:w="113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60 万</w:t>
            </w:r>
          </w:p>
        </w:tc>
        <w:tc>
          <w:tcPr>
            <w:tcW w:type="dxa" w:w="277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600 万</w:t>
            </w:r>
          </w:p>
        </w:tc>
      </w:tr>
      <w:tr>
        <w:tc>
          <w:tcPr>
            <w:tcW w:type="dxa" w:w="198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合计</w:t>
            </w:r>
          </w:p>
        </w:tc>
        <w:tc>
          <w:tcPr>
            <w:tcW w:type="dxa" w:w="10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—</w:t>
            </w:r>
          </w:p>
        </w:tc>
        <w:tc>
          <w:tcPr>
            <w:tcW w:type="dxa" w:w="113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—</w:t>
            </w:r>
          </w:p>
        </w:tc>
        <w:tc>
          <w:tcPr>
            <w:tcW w:type="dxa" w:w="10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205</w:t>
            </w:r>
          </w:p>
        </w:tc>
        <w:tc>
          <w:tcPr>
            <w:tcW w:type="dxa" w:w="113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—</w:t>
            </w:r>
          </w:p>
        </w:tc>
        <w:tc>
          <w:tcPr>
            <w:tcW w:type="dxa" w:w="277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约 7,000 万 SaaS ARR</w:t>
            </w:r>
          </w:p>
        </w:tc>
      </w:tr>
    </w:tbl>
    <w:p/>
    <w:p>
      <w:pPr>
        <w:spacing w:after="120" w:line="384" w:lineRule="auto"/>
        <w:ind w:firstLine="480"/>
      </w:pPr>
      <w:r>
        <w:rPr>
          <w:rFonts w:ascii="微软雅黑" w:hAnsi="微软雅黑" w:eastAsia="微软雅黑"/>
          <w:color w:val="1A202C"/>
          <w:sz w:val="22"/>
        </w:rPr>
        <w:t>项目制 + 数据 + 培训 + 授权 ≈ 5,000 万。Y3 总收入 1.2 亿元（与 4.2 节假设一致）。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5.2 地域优先级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835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地域</w:t>
            </w:r>
          </w:p>
        </w:tc>
        <w:tc>
          <w:tcPr>
            <w:tcW w:type="dxa" w:w="4819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Y1 试点</w:t>
            </w:r>
          </w:p>
        </w:tc>
        <w:tc>
          <w:tcPr>
            <w:tcW w:type="dxa" w:w="28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河南、广东、浙江</w:t>
            </w:r>
          </w:p>
        </w:tc>
        <w:tc>
          <w:tcPr>
            <w:tcW w:type="dxa" w:w="481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自有数据基线 / 政府数字化领先 / 民营经济活跃</w:t>
            </w:r>
          </w:p>
        </w:tc>
      </w:tr>
      <w:tr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Y2 扩张</w:t>
            </w:r>
          </w:p>
        </w:tc>
        <w:tc>
          <w:tcPr>
            <w:tcW w:type="dxa" w:w="28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+ 江苏、山东、四川、湖北</w:t>
            </w:r>
          </w:p>
        </w:tc>
        <w:tc>
          <w:tcPr>
            <w:tcW w:type="dxa" w:w="481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GDP TOP 省份，财政充裕</w:t>
            </w:r>
          </w:p>
        </w:tc>
      </w:tr>
      <w:tr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Y3 全国</w:t>
            </w:r>
          </w:p>
        </w:tc>
        <w:tc>
          <w:tcPr>
            <w:tcW w:type="dxa" w:w="28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+ 京津冀、长三角、粤港澳大湾区</w:t>
            </w:r>
          </w:p>
        </w:tc>
        <w:tc>
          <w:tcPr>
            <w:tcW w:type="dxa" w:w="481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示范区效应</w:t>
            </w:r>
          </w:p>
        </w:tc>
      </w:tr>
      <w:tr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Y4-5 国际化</w:t>
            </w:r>
          </w:p>
        </w:tc>
        <w:tc>
          <w:tcPr>
            <w:tcW w:type="dxa" w:w="28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RCEP / 一带一路：东南亚、中亚</w:t>
            </w:r>
          </w:p>
        </w:tc>
        <w:tc>
          <w:tcPr>
            <w:tcW w:type="dxa" w:w="481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中国治理模式输出</w:t>
            </w:r>
          </w:p>
        </w:tc>
      </w:tr>
    </w:tbl>
    <w:p/>
    <w:p>
      <w:r>
        <w:br w:type="page"/>
      </w:r>
    </w:p>
    <w:p>
      <w:pPr>
        <w:spacing w:before="480" w:after="24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44"/>
        </w:rPr>
        <w:t xml:space="preserve">06  </w:t>
      </w:r>
      <w:r>
        <w:rPr>
          <w:rFonts w:ascii="微软雅黑" w:hAnsi="微软雅黑" w:eastAsia="微软雅黑"/>
          <w:b/>
          <w:color w:val="1E3A5F"/>
          <w:sz w:val="44"/>
        </w:rPr>
        <w:t>增长策略与销售路径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6.1 三轨并进的销售模型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轨道</w:t>
            </w:r>
          </w:p>
        </w:tc>
        <w:tc>
          <w:tcPr>
            <w:tcW w:type="dxa" w:w="3402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切入路径</w:t>
            </w:r>
          </w:p>
        </w:tc>
        <w:tc>
          <w:tcPr>
            <w:tcW w:type="dxa" w:w="1417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成交周期</w:t>
            </w:r>
          </w:p>
        </w:tc>
        <w:tc>
          <w:tcPr>
            <w:tcW w:type="dxa" w:w="1417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ARPU</w:t>
            </w:r>
          </w:p>
        </w:tc>
        <w:tc>
          <w:tcPr>
            <w:tcW w:type="dxa" w:w="1134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Y3 占比</w:t>
            </w:r>
          </w:p>
        </w:tc>
      </w:tr>
      <w:tr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A · 政府直销</w:t>
            </w:r>
          </w:p>
        </w:tc>
        <w:tc>
          <w:tcPr>
            <w:tcW w:type="dxa" w:w="340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厅局级 BD → 招投标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9-12 月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30-200 万</w:t>
            </w:r>
          </w:p>
        </w:tc>
        <w:tc>
          <w:tcPr>
            <w:tcW w:type="dxa" w:w="113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55%</w:t>
            </w:r>
          </w:p>
        </w:tc>
      </w:tr>
      <w:tr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B · 学术合作</w:t>
            </w:r>
          </w:p>
        </w:tc>
        <w:tc>
          <w:tcPr>
            <w:tcW w:type="dxa" w:w="340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PolyU/党校/清华公管 → 联合项目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3-6 月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30-80 万</w:t>
            </w:r>
          </w:p>
        </w:tc>
        <w:tc>
          <w:tcPr>
            <w:tcW w:type="dxa" w:w="113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30%</w:t>
            </w:r>
          </w:p>
        </w:tc>
      </w:tr>
      <w:tr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C · 集成商渠道</w:t>
            </w:r>
          </w:p>
        </w:tc>
        <w:tc>
          <w:tcPr>
            <w:tcW w:type="dxa" w:w="340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华为/海康/紫光 OEM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1-3 月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10-50 万</w:t>
            </w:r>
          </w:p>
        </w:tc>
        <w:tc>
          <w:tcPr>
            <w:tcW w:type="dxa" w:w="113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15%</w:t>
            </w:r>
          </w:p>
        </w:tc>
      </w:tr>
    </w:tbl>
    <w:p/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6.2 学术合作矩阵（已锁定 / 拟拓展）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机构</w:t>
            </w:r>
          </w:p>
        </w:tc>
        <w:tc>
          <w:tcPr>
            <w:tcW w:type="dxa" w:w="1701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4535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合作内容</w:t>
            </w:r>
          </w:p>
        </w:tc>
      </w:tr>
      <w:tr>
        <w:tc>
          <w:tcPr>
            <w:tcW w:type="dxa" w:w="28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香港理工大学 SCRI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已锁定</w:t>
            </w:r>
          </w:p>
        </w:tc>
        <w:tc>
          <w:tcPr>
            <w:tcW w:type="dxa" w:w="45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ISUI 体系独家授权 + 联合实验室</w:t>
            </w:r>
          </w:p>
        </w:tc>
      </w:tr>
      <w:tr>
        <w:tc>
          <w:tcPr>
            <w:tcW w:type="dxa" w:w="28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中央党校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拟拓展</w:t>
            </w:r>
          </w:p>
        </w:tc>
        <w:tc>
          <w:tcPr>
            <w:tcW w:type="dxa" w:w="45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干部研修班教材 + 沙盘演练</w:t>
            </w:r>
          </w:p>
        </w:tc>
      </w:tr>
      <w:tr>
        <w:tc>
          <w:tcPr>
            <w:tcW w:type="dxa" w:w="28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清华大学公管学院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拟拓展</w:t>
            </w:r>
          </w:p>
        </w:tc>
        <w:tc>
          <w:tcPr>
            <w:tcW w:type="dxa" w:w="45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MPA 课程合作 + 案例库</w:t>
            </w:r>
          </w:p>
        </w:tc>
      </w:tr>
      <w:tr>
        <w:tc>
          <w:tcPr>
            <w:tcW w:type="dxa" w:w="28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人民大学公管学院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拟拓展</w:t>
            </w:r>
          </w:p>
        </w:tc>
        <w:tc>
          <w:tcPr>
            <w:tcW w:type="dxa" w:w="45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满意度指数学术验证</w:t>
            </w:r>
          </w:p>
        </w:tc>
      </w:tr>
      <w:tr>
        <w:tc>
          <w:tcPr>
            <w:tcW w:type="dxa" w:w="28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MIT Sloan（间接）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方法论引用</w:t>
            </w:r>
          </w:p>
        </w:tc>
        <w:tc>
          <w:tcPr>
            <w:tcW w:type="dxa" w:w="45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En-ROADS 引擎学术致敬</w:t>
            </w:r>
          </w:p>
        </w:tc>
      </w:tr>
    </w:tbl>
    <w:p/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6.3 政府关系策略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种子客户：通过史文中教授学术网络 + 河南调研基线，6 个月内锁定 3 个标杆客户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示范效应：每个标杆客户产出一份「治理白皮书」+「人民日报理论版」露出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政绩绑定：把客户的「治理水平提升」量化为可汇报政绩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复制路径：每个标杆带 3-5 个邻县/邻市跟进采购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6.4 营销与品牌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学术发表：年发 3-5 篇 SSCI/CSSCI 论文，建立学术权威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媒体声量：人民网理论频道、新华社瞭望、求是网定期专栏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公众号：「治理推演」「数智公管」双号，年度 100 万+ 阅读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行业大会：年度「中国基层治理推演大会」，成为行业旗舰会议</w:t>
      </w:r>
    </w:p>
    <w:p>
      <w:r>
        <w:br w:type="page"/>
      </w:r>
    </w:p>
    <w:p>
      <w:pPr>
        <w:spacing w:before="480" w:after="24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44"/>
        </w:rPr>
        <w:t xml:space="preserve">07  </w:t>
      </w:r>
      <w:r>
        <w:rPr>
          <w:rFonts w:ascii="微软雅黑" w:hAnsi="微软雅黑" w:eastAsia="微软雅黑"/>
          <w:b/>
          <w:color w:val="1E3A5F"/>
          <w:sz w:val="44"/>
        </w:rPr>
        <w:t>5 年财务预测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7.1 收入预测（万元）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268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收入流</w:t>
            </w:r>
          </w:p>
        </w:tc>
        <w:tc>
          <w:tcPr>
            <w:tcW w:type="dxa" w:w="1361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Y1</w:t>
            </w:r>
          </w:p>
        </w:tc>
        <w:tc>
          <w:tcPr>
            <w:tcW w:type="dxa" w:w="1361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Y2</w:t>
            </w:r>
          </w:p>
        </w:tc>
        <w:tc>
          <w:tcPr>
            <w:tcW w:type="dxa" w:w="1361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Y3</w:t>
            </w:r>
          </w:p>
        </w:tc>
        <w:tc>
          <w:tcPr>
            <w:tcW w:type="dxa" w:w="1361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Y4</w:t>
            </w:r>
          </w:p>
        </w:tc>
        <w:tc>
          <w:tcPr>
            <w:tcW w:type="dxa" w:w="1361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Y5</w:t>
            </w:r>
          </w:p>
        </w:tc>
      </w:tr>
      <w:tr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SaaS 订阅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300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1,600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5,000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10,500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21,000</w:t>
            </w:r>
          </w:p>
        </w:tc>
      </w:tr>
      <w:tr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项目咨询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350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1,500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4,000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8,000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15,000</w:t>
            </w:r>
          </w:p>
        </w:tc>
      </w:tr>
      <w:tr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数据报告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60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350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1,200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2,800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5,500</w:t>
            </w:r>
          </w:p>
        </w:tc>
      </w:tr>
      <w:tr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培训认证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50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400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1,200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2,800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5,500</w:t>
            </w:r>
          </w:p>
        </w:tc>
      </w:tr>
      <w:tr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IP 授权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40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150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600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1,400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3,000</w:t>
            </w:r>
          </w:p>
        </w:tc>
      </w:tr>
      <w:tr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合计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800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4,000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12,000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25,500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50,000</w:t>
            </w:r>
          </w:p>
        </w:tc>
      </w:tr>
    </w:tbl>
    <w:p/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7.2 成本与利润（万元）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041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科目</w:t>
            </w:r>
          </w:p>
        </w:tc>
        <w:tc>
          <w:tcPr>
            <w:tcW w:type="dxa" w:w="1417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Y1</w:t>
            </w:r>
          </w:p>
        </w:tc>
        <w:tc>
          <w:tcPr>
            <w:tcW w:type="dxa" w:w="1417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Y2</w:t>
            </w:r>
          </w:p>
        </w:tc>
        <w:tc>
          <w:tcPr>
            <w:tcW w:type="dxa" w:w="1417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Y3</w:t>
            </w:r>
          </w:p>
        </w:tc>
        <w:tc>
          <w:tcPr>
            <w:tcW w:type="dxa" w:w="1417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Y4</w:t>
            </w:r>
          </w:p>
        </w:tc>
        <w:tc>
          <w:tcPr>
            <w:tcW w:type="dxa" w:w="1417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Y5</w:t>
            </w:r>
          </w:p>
        </w:tc>
      </w:tr>
      <w:tr>
        <w:tc>
          <w:tcPr>
            <w:tcW w:type="dxa" w:w="204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收入合计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800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4,000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12,000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25,500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50,000</w:t>
            </w:r>
          </w:p>
        </w:tc>
      </w:tr>
      <w:tr>
        <w:tc>
          <w:tcPr>
            <w:tcW w:type="dxa" w:w="204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毛利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440 (55%)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2,400 (60%)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7,800 (65%)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17,340 (68%)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35,000 (70%)</w:t>
            </w:r>
          </w:p>
        </w:tc>
      </w:tr>
      <w:tr>
        <w:tc>
          <w:tcPr>
            <w:tcW w:type="dxa" w:w="204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研发支出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480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1,200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2,400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4,500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8,000</w:t>
            </w:r>
          </w:p>
        </w:tc>
      </w:tr>
      <w:tr>
        <w:tc>
          <w:tcPr>
            <w:tcW w:type="dxa" w:w="204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销售费用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240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600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1,400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3,200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6,500</w:t>
            </w:r>
          </w:p>
        </w:tc>
      </w:tr>
      <w:tr>
        <w:tc>
          <w:tcPr>
            <w:tcW w:type="dxa" w:w="204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管理费用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120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300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600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1,200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2,500</w:t>
            </w:r>
          </w:p>
        </w:tc>
      </w:tr>
      <w:tr>
        <w:tc>
          <w:tcPr>
            <w:tcW w:type="dxa" w:w="204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运营费用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—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—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100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240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500</w:t>
            </w:r>
          </w:p>
        </w:tc>
      </w:tr>
      <w:tr>
        <w:tc>
          <w:tcPr>
            <w:tcW w:type="dxa" w:w="204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利息税前 EBIT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-400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300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3,300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8,200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17,500</w:t>
            </w:r>
          </w:p>
        </w:tc>
      </w:tr>
      <w:tr>
        <w:tc>
          <w:tcPr>
            <w:tcW w:type="dxa" w:w="204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所得税（25%）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0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75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825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2,050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4,375</w:t>
            </w:r>
          </w:p>
        </w:tc>
      </w:tr>
      <w:tr>
        <w:tc>
          <w:tcPr>
            <w:tcW w:type="dxa" w:w="204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净利润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-400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225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2,475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6,150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13,125</w:t>
            </w:r>
          </w:p>
        </w:tc>
      </w:tr>
      <w:tr>
        <w:tc>
          <w:tcPr>
            <w:tcW w:type="dxa" w:w="204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净利率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-50%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5.6%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20.6%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24.1%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26.3%</w:t>
            </w:r>
          </w:p>
        </w:tc>
      </w:tr>
    </w:tbl>
    <w:p/>
    <w:p>
      <w:pPr>
        <w:spacing w:after="120" w:line="384" w:lineRule="auto"/>
        <w:ind w:firstLine="480"/>
      </w:pPr>
      <w:r>
        <w:rPr>
          <w:rFonts w:ascii="微软雅黑" w:hAnsi="微软雅黑" w:eastAsia="微软雅黑"/>
          <w:color w:val="1A202C"/>
          <w:sz w:val="22"/>
        </w:rPr>
        <w:t>注：Y2 起小幅盈利，Y3 起规模效应释放，净利率向 SaaS 行业 25-30% 区间收敛。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7.3 关键单元经济（Y3 稳态）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268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tcW w:type="dxa" w:w="3402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对标 SaaS 行业</w:t>
            </w:r>
          </w:p>
        </w:tc>
      </w:tr>
      <w:tr>
        <w:tc>
          <w:tcPr>
            <w:tcW w:type="dxa" w:w="340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县级 SaaS CAC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8 万元</w:t>
            </w:r>
          </w:p>
        </w:tc>
        <w:tc>
          <w:tcPr>
            <w:tcW w:type="dxa" w:w="340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—</w:t>
            </w:r>
          </w:p>
        </w:tc>
      </w:tr>
      <w:tr>
        <w:tc>
          <w:tcPr>
            <w:tcW w:type="dxa" w:w="340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县级 SaaS ARPU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8 万元/年</w:t>
            </w:r>
          </w:p>
        </w:tc>
        <w:tc>
          <w:tcPr>
            <w:tcW w:type="dxa" w:w="340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—</w:t>
            </w:r>
          </w:p>
        </w:tc>
      </w:tr>
      <w:tr>
        <w:tc>
          <w:tcPr>
            <w:tcW w:type="dxa" w:w="340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毛利率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65%</w:t>
            </w:r>
          </w:p>
        </w:tc>
        <w:tc>
          <w:tcPr>
            <w:tcW w:type="dxa" w:w="340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60-75%</w:t>
            </w:r>
          </w:p>
        </w:tc>
      </w:tr>
      <w:tr>
        <w:tc>
          <w:tcPr>
            <w:tcW w:type="dxa" w:w="340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LTV / CAC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5.0x</w:t>
            </w:r>
          </w:p>
        </w:tc>
        <w:tc>
          <w:tcPr>
            <w:tcW w:type="dxa" w:w="340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≥ 3x 健康</w:t>
            </w:r>
          </w:p>
        </w:tc>
      </w:tr>
      <w:tr>
        <w:tc>
          <w:tcPr>
            <w:tcW w:type="dxa" w:w="340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销售周期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6-9 月</w:t>
            </w:r>
          </w:p>
        </w:tc>
        <w:tc>
          <w:tcPr>
            <w:tcW w:type="dxa" w:w="340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政府类 9-15 月</w:t>
            </w:r>
          </w:p>
        </w:tc>
      </w:tr>
      <w:tr>
        <w:tc>
          <w:tcPr>
            <w:tcW w:type="dxa" w:w="340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续费率（净）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92%</w:t>
            </w:r>
          </w:p>
        </w:tc>
        <w:tc>
          <w:tcPr>
            <w:tcW w:type="dxa" w:w="340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≥ 90% 优秀</w:t>
            </w:r>
          </w:p>
        </w:tc>
      </w:tr>
      <w:tr>
        <w:tc>
          <w:tcPr>
            <w:tcW w:type="dxa" w:w="340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销售费用率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12%</w:t>
            </w:r>
          </w:p>
        </w:tc>
        <w:tc>
          <w:tcPr>
            <w:tcW w:type="dxa" w:w="340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10-15%</w:t>
            </w:r>
          </w:p>
        </w:tc>
      </w:tr>
      <w:tr>
        <w:tc>
          <w:tcPr>
            <w:tcW w:type="dxa" w:w="340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研发费用率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20%</w:t>
            </w:r>
          </w:p>
        </w:tc>
        <w:tc>
          <w:tcPr>
            <w:tcW w:type="dxa" w:w="340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20-30%</w:t>
            </w:r>
          </w:p>
        </w:tc>
      </w:tr>
    </w:tbl>
    <w:p/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7.4 现金流与跑道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907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年度</w:t>
            </w:r>
          </w:p>
        </w:tc>
        <w:tc>
          <w:tcPr>
            <w:tcW w:type="dxa" w:w="1814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经营现金流</w:t>
            </w:r>
          </w:p>
        </w:tc>
        <w:tc>
          <w:tcPr>
            <w:tcW w:type="dxa" w:w="1814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投资现金流</w:t>
            </w:r>
          </w:p>
        </w:tc>
        <w:tc>
          <w:tcPr>
            <w:tcW w:type="dxa" w:w="2268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融资现金流</w:t>
            </w:r>
          </w:p>
        </w:tc>
        <w:tc>
          <w:tcPr>
            <w:tcW w:type="dxa" w:w="2268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期末现金</w:t>
            </w:r>
          </w:p>
        </w:tc>
      </w:tr>
      <w:tr>
        <w:tc>
          <w:tcPr>
            <w:tcW w:type="dxa" w:w="90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Y1</w:t>
            </w:r>
          </w:p>
        </w:tc>
        <w:tc>
          <w:tcPr>
            <w:tcW w:type="dxa" w:w="181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-600 万</w:t>
            </w:r>
          </w:p>
        </w:tc>
        <w:tc>
          <w:tcPr>
            <w:tcW w:type="dxa" w:w="181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-200 万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+1,500 万（Seed）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700 万</w:t>
            </w:r>
          </w:p>
        </w:tc>
      </w:tr>
      <w:tr>
        <w:tc>
          <w:tcPr>
            <w:tcW w:type="dxa" w:w="90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Y2</w:t>
            </w:r>
          </w:p>
        </w:tc>
        <w:tc>
          <w:tcPr>
            <w:tcW w:type="dxa" w:w="181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+200 万</w:t>
            </w:r>
          </w:p>
        </w:tc>
        <w:tc>
          <w:tcPr>
            <w:tcW w:type="dxa" w:w="181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-400 万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+5,000 万（A 轮中）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5,500 万</w:t>
            </w:r>
          </w:p>
        </w:tc>
      </w:tr>
      <w:tr>
        <w:tc>
          <w:tcPr>
            <w:tcW w:type="dxa" w:w="90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Y3</w:t>
            </w:r>
          </w:p>
        </w:tc>
        <w:tc>
          <w:tcPr>
            <w:tcW w:type="dxa" w:w="181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+3,000 万</w:t>
            </w:r>
          </w:p>
        </w:tc>
        <w:tc>
          <w:tcPr>
            <w:tcW w:type="dxa" w:w="181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-1,000 万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—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7,500 万</w:t>
            </w:r>
          </w:p>
        </w:tc>
      </w:tr>
      <w:tr>
        <w:tc>
          <w:tcPr>
            <w:tcW w:type="dxa" w:w="90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Y4</w:t>
            </w:r>
          </w:p>
        </w:tc>
        <w:tc>
          <w:tcPr>
            <w:tcW w:type="dxa" w:w="181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+7,000 万</w:t>
            </w:r>
          </w:p>
        </w:tc>
        <w:tc>
          <w:tcPr>
            <w:tcW w:type="dxa" w:w="181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-2,000 万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+15,000 万（B 轮）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27,500 万</w:t>
            </w:r>
          </w:p>
        </w:tc>
      </w:tr>
      <w:tr>
        <w:tc>
          <w:tcPr>
            <w:tcW w:type="dxa" w:w="90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Y5</w:t>
            </w:r>
          </w:p>
        </w:tc>
        <w:tc>
          <w:tcPr>
            <w:tcW w:type="dxa" w:w="181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+14,000 万</w:t>
            </w:r>
          </w:p>
        </w:tc>
        <w:tc>
          <w:tcPr>
            <w:tcW w:type="dxa" w:w="181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-3,000 万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—（IPO 准备）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38,500 万</w:t>
            </w:r>
          </w:p>
        </w:tc>
      </w:tr>
    </w:tbl>
    <w:p/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7.5 估值参考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color w:val="1A202C"/>
          <w:sz w:val="22"/>
        </w:rPr>
        <w:t>对标已上市的政务/SaaS/智慧城市公司：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公司</w:t>
            </w:r>
          </w:p>
        </w:tc>
        <w:tc>
          <w:tcPr>
            <w:tcW w:type="dxa" w:w="2268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板块</w:t>
            </w:r>
          </w:p>
        </w:tc>
        <w:tc>
          <w:tcPr>
            <w:tcW w:type="dxa" w:w="2268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PS（市销率）</w:t>
            </w:r>
          </w:p>
        </w:tc>
        <w:tc>
          <w:tcPr>
            <w:tcW w:type="dxa" w:w="2268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近似估值倍数</w:t>
            </w:r>
          </w:p>
        </w:tc>
      </w:tr>
      <w:tr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数字政通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智慧城市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4-6x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—</w:t>
            </w:r>
          </w:p>
        </w:tc>
      </w:tr>
      <w:tr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软通动力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政务咨询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3-5x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—</w:t>
            </w:r>
          </w:p>
        </w:tc>
      </w:tr>
      <w:tr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金山办公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B2G/B2B SaaS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8-15x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—</w:t>
            </w:r>
          </w:p>
        </w:tc>
      </w:tr>
      <w:tr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金证科技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金融政务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6-10x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—</w:t>
            </w:r>
          </w:p>
        </w:tc>
      </w:tr>
      <w:tr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对标本项目（Y5）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治理 SaaS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8x（保守）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 亿 × 8 = 40 亿</w:t>
            </w:r>
          </w:p>
        </w:tc>
      </w:tr>
    </w:tbl>
    <w:p/>
    <w:p>
      <w:r>
        <w:br w:type="page"/>
      </w:r>
    </w:p>
    <w:p>
      <w:pPr>
        <w:spacing w:before="480" w:after="24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44"/>
        </w:rPr>
        <w:t xml:space="preserve">08  </w:t>
      </w:r>
      <w:r>
        <w:rPr>
          <w:rFonts w:ascii="微软雅黑" w:hAnsi="微软雅黑" w:eastAsia="微软雅黑"/>
          <w:b/>
          <w:color w:val="1E3A5F"/>
          <w:sz w:val="44"/>
        </w:rPr>
        <w:t>融资计划与退出路径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8.1 三轮融资规划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701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轮次</w:t>
            </w:r>
          </w:p>
        </w:tc>
        <w:tc>
          <w:tcPr>
            <w:tcW w:type="dxa" w:w="1417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时点</w:t>
            </w:r>
          </w:p>
        </w:tc>
        <w:tc>
          <w:tcPr>
            <w:tcW w:type="dxa" w:w="1417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金额</w:t>
            </w:r>
          </w:p>
        </w:tc>
        <w:tc>
          <w:tcPr>
            <w:tcW w:type="dxa" w:w="1417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投前估值</w:t>
            </w:r>
          </w:p>
        </w:tc>
        <w:tc>
          <w:tcPr>
            <w:tcW w:type="dxa" w:w="1417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投后估值</w:t>
            </w:r>
          </w:p>
        </w:tc>
        <w:tc>
          <w:tcPr>
            <w:tcW w:type="dxa" w:w="1701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释放股权</w:t>
            </w:r>
          </w:p>
        </w:tc>
      </w:tr>
      <w:tr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Seed 天使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2026 Q2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1,500 万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1.0 亿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1.15 亿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13.0%</w:t>
            </w:r>
          </w:p>
        </w:tc>
      </w:tr>
      <w:tr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A 轮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2027 Q3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5,000 万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3.0 亿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3.5 亿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14.3%</w:t>
            </w:r>
          </w:p>
        </w:tc>
      </w:tr>
      <w:tr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B 轮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2028 末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1.5 亿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10 亿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11.5 亿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13.0%</w:t>
            </w:r>
          </w:p>
        </w:tc>
      </w:tr>
      <w:tr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IPO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2030-2031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—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≥ 40 亿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—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公开发行 25%</w:t>
            </w:r>
          </w:p>
        </w:tc>
      </w:tr>
    </w:tbl>
    <w:p/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8.2 本轮 Seed 资金用途（1500 万）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1417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金额</w:t>
            </w:r>
          </w:p>
        </w:tc>
        <w:tc>
          <w:tcPr>
            <w:tcW w:type="dxa" w:w="1134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4252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里程碑</w:t>
            </w:r>
          </w:p>
        </w:tc>
      </w:tr>
      <w:tr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产品研发与迭代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750 万</w:t>
            </w:r>
          </w:p>
        </w:tc>
        <w:tc>
          <w:tcPr>
            <w:tcW w:type="dxa" w:w="113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50%</w:t>
            </w:r>
          </w:p>
        </w:tc>
        <w:tc>
          <w:tcPr>
            <w:tcW w:type="dxa" w:w="425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Y1 末交付完整 SaaS 产品（信创版）</w:t>
            </w:r>
          </w:p>
        </w:tc>
      </w:tr>
      <w:tr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核心团队招募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450 万</w:t>
            </w:r>
          </w:p>
        </w:tc>
        <w:tc>
          <w:tcPr>
            <w:tcW w:type="dxa" w:w="113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30%</w:t>
            </w:r>
          </w:p>
        </w:tc>
        <w:tc>
          <w:tcPr>
            <w:tcW w:type="dxa" w:w="425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CTO + COO + 6 名研发</w:t>
            </w:r>
          </w:p>
        </w:tc>
      </w:tr>
      <w:tr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政府关系拓展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200 万</w:t>
            </w:r>
          </w:p>
        </w:tc>
        <w:tc>
          <w:tcPr>
            <w:tcW w:type="dxa" w:w="113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13%</w:t>
            </w:r>
          </w:p>
        </w:tc>
        <w:tc>
          <w:tcPr>
            <w:tcW w:type="dxa" w:w="425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 个标杆客户 + 1 个省级 PoC</w:t>
            </w:r>
          </w:p>
        </w:tc>
      </w:tr>
      <w:tr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品牌与学术合作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100 万</w:t>
            </w:r>
          </w:p>
        </w:tc>
        <w:tc>
          <w:tcPr>
            <w:tcW w:type="dxa" w:w="113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7%</w:t>
            </w:r>
          </w:p>
        </w:tc>
        <w:tc>
          <w:tcPr>
            <w:tcW w:type="dxa" w:w="425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PolyU 联合实验室签约 + 5 篇论文</w:t>
            </w:r>
          </w:p>
        </w:tc>
      </w:tr>
    </w:tbl>
    <w:p/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8.3 战略投资人优先级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402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目标投资人</w:t>
            </w:r>
          </w:p>
        </w:tc>
        <w:tc>
          <w:tcPr>
            <w:tcW w:type="dxa" w:w="4252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战略价值</w:t>
            </w:r>
          </w:p>
        </w:tc>
      </w:tr>
      <w:tr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国资战投</w:t>
            </w:r>
          </w:p>
        </w:tc>
        <w:tc>
          <w:tcPr>
            <w:tcW w:type="dxa" w:w="340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中信资本 / 华润 / 国新</w:t>
            </w:r>
          </w:p>
        </w:tc>
        <w:tc>
          <w:tcPr>
            <w:tcW w:type="dxa" w:w="425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政府关系背书 + 风险对冲</w:t>
            </w:r>
          </w:p>
        </w:tc>
      </w:tr>
      <w:tr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产业战投</w:t>
            </w:r>
          </w:p>
        </w:tc>
        <w:tc>
          <w:tcPr>
            <w:tcW w:type="dxa" w:w="340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招银国际 / 阿里战投 / 紫光</w:t>
            </w:r>
          </w:p>
        </w:tc>
        <w:tc>
          <w:tcPr>
            <w:tcW w:type="dxa" w:w="425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渠道协同 + 后期并购可能</w:t>
            </w:r>
          </w:p>
        </w:tc>
      </w:tr>
      <w:tr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VC</w:t>
            </w:r>
          </w:p>
        </w:tc>
        <w:tc>
          <w:tcPr>
            <w:tcW w:type="dxa" w:w="340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红杉中国 / IDG / 启明 / 高瓴</w:t>
            </w:r>
          </w:p>
        </w:tc>
        <w:tc>
          <w:tcPr>
            <w:tcW w:type="dxa" w:w="425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学术 IP 偏好 / 教育科技背景</w:t>
            </w:r>
          </w:p>
        </w:tc>
      </w:tr>
      <w:tr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政府引导基金</w:t>
            </w:r>
          </w:p>
        </w:tc>
        <w:tc>
          <w:tcPr>
            <w:tcW w:type="dxa" w:w="340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国家中小企业发展基金 / 河南省创投</w:t>
            </w:r>
          </w:p>
        </w:tc>
        <w:tc>
          <w:tcPr>
            <w:tcW w:type="dxa" w:w="425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区域落地 / 政策协同</w:t>
            </w:r>
          </w:p>
        </w:tc>
      </w:tr>
    </w:tbl>
    <w:p/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8.4 退出路径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首选 IPO：5-7 年，对标科创板 / 创业板，PS 8-12x；预计市值 40-60 亿元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战略并购：阿里云 / 华为政务 / 紫光集团 / 中科曙光，估值区间 2-5 亿美元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国资入股 / 借壳：中信、华润、华夏战投，整合进大平台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管理层回购（应急）：约定的回购倍数 PE 5x</w:t>
      </w:r>
    </w:p>
    <w:p>
      <w:r>
        <w:br w:type="page"/>
      </w:r>
    </w:p>
    <w:p>
      <w:pPr>
        <w:spacing w:before="480" w:after="24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44"/>
        </w:rPr>
        <w:t xml:space="preserve">09  </w:t>
      </w:r>
      <w:r>
        <w:rPr>
          <w:rFonts w:ascii="微软雅黑" w:hAnsi="微软雅黑" w:eastAsia="微软雅黑"/>
          <w:b/>
          <w:color w:val="1E3A5F"/>
          <w:sz w:val="44"/>
        </w:rPr>
        <w:t>团队与组织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9.1 创始团队（建议配置）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岗位</w:t>
            </w:r>
          </w:p>
        </w:tc>
        <w:tc>
          <w:tcPr>
            <w:tcW w:type="dxa" w:w="3969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背景画像</w:t>
            </w:r>
          </w:p>
        </w:tc>
        <w:tc>
          <w:tcPr>
            <w:tcW w:type="dxa" w:w="1701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薪酬 + 期权</w:t>
            </w:r>
          </w:p>
        </w:tc>
        <w:tc>
          <w:tcPr>
            <w:tcW w:type="dxa" w:w="1701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CEO（创始人）</w:t>
            </w:r>
          </w:p>
        </w:tc>
        <w:tc>
          <w:tcPr>
            <w:tcW w:type="dxa" w:w="396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政治学/公管博士 + 厅局级干部资源 / 智慧城市操盘经验 ≥ 10 年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80 万 + 25%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战略人选</w:t>
            </w:r>
          </w:p>
        </w:tc>
      </w:tr>
      <w:tr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CTO</w:t>
            </w:r>
          </w:p>
        </w:tc>
        <w:tc>
          <w:tcPr>
            <w:tcW w:type="dxa" w:w="396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系统动力学 / AI 工程化 / 大数据 / 阿里腾讯华为背景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80 万 + 8%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Seed 后启动</w:t>
            </w:r>
          </w:p>
        </w:tc>
      </w:tr>
      <w:tr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首席科学家</w:t>
            </w:r>
          </w:p>
        </w:tc>
        <w:tc>
          <w:tcPr>
            <w:tcW w:type="dxa" w:w="396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城市信息学 / 公共管理量化研究博士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60 万 + 4%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学术界联合</w:t>
            </w:r>
          </w:p>
        </w:tc>
      </w:tr>
      <w:tr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COO</w:t>
            </w:r>
          </w:p>
        </w:tc>
        <w:tc>
          <w:tcPr>
            <w:tcW w:type="dxa" w:w="396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政府关系销售 + 智慧城市集成商 ≥ 8 年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60 万 + 5%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Seed 后启动</w:t>
            </w:r>
          </w:p>
        </w:tc>
      </w:tr>
      <w:tr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CFO</w:t>
            </w:r>
          </w:p>
        </w:tc>
        <w:tc>
          <w:tcPr>
            <w:tcW w:type="dxa" w:w="396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投融资 + 美元/人民币双币基金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70 万 + 3%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A 轮前补</w:t>
            </w:r>
          </w:p>
        </w:tc>
      </w:tr>
    </w:tbl>
    <w:p/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9.2 学术顾问 / 战略顾问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史文中教授（PolyU SCRI 主任 · 王之卓奖得主）—— 学术 IP 锚定、ISUI 体系作者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拟邀：清华大学公管学院 教授（政府治理量化研究方向）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拟邀：MIT Sloan 系统动力学方向研究员（En-ROADS 团队）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拟邀：原省部级领导（政府关系背书）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9.3 组织发展节奏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701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团队规模</w:t>
            </w:r>
          </w:p>
        </w:tc>
        <w:tc>
          <w:tcPr>
            <w:tcW w:type="dxa" w:w="5386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重点岗位</w:t>
            </w:r>
          </w:p>
        </w:tc>
      </w:tr>
      <w:tr>
        <w:tc>
          <w:tcPr>
            <w:tcW w:type="dxa" w:w="198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Y1（Seed 后）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12 人</w:t>
            </w:r>
          </w:p>
        </w:tc>
        <w:tc>
          <w:tcPr>
            <w:tcW w:type="dxa" w:w="538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研发 6 + 销售 3 + 学术 2 + 财务 1</w:t>
            </w:r>
          </w:p>
        </w:tc>
      </w:tr>
      <w:tr>
        <w:tc>
          <w:tcPr>
            <w:tcW w:type="dxa" w:w="198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Y2（A 轮后）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30 人</w:t>
            </w:r>
          </w:p>
        </w:tc>
        <w:tc>
          <w:tcPr>
            <w:tcW w:type="dxa" w:w="538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+ 大区销售 + 客户成功 + 数据</w:t>
            </w:r>
          </w:p>
        </w:tc>
      </w:tr>
      <w:tr>
        <w:tc>
          <w:tcPr>
            <w:tcW w:type="dxa" w:w="198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Y3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60 人</w:t>
            </w:r>
          </w:p>
        </w:tc>
        <w:tc>
          <w:tcPr>
            <w:tcW w:type="dxa" w:w="538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+ 信创合规 + AI 实验室</w:t>
            </w:r>
          </w:p>
        </w:tc>
      </w:tr>
      <w:tr>
        <w:tc>
          <w:tcPr>
            <w:tcW w:type="dxa" w:w="198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Y4-5（IPO 准备）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150 人</w:t>
            </w:r>
          </w:p>
        </w:tc>
        <w:tc>
          <w:tcPr>
            <w:tcW w:type="dxa" w:w="538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+ 海外 BD + 投融资 + 法务</w:t>
            </w:r>
          </w:p>
        </w:tc>
      </w:tr>
    </w:tbl>
    <w:p/>
    <w:p>
      <w:r>
        <w:br w:type="page"/>
      </w:r>
    </w:p>
    <w:p>
      <w:pPr>
        <w:spacing w:before="480" w:after="24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44"/>
        </w:rPr>
        <w:t xml:space="preserve">10  </w:t>
      </w:r>
      <w:r>
        <w:rPr>
          <w:rFonts w:ascii="微软雅黑" w:hAnsi="微软雅黑" w:eastAsia="微软雅黑"/>
          <w:b/>
          <w:color w:val="1E3A5F"/>
          <w:sz w:val="44"/>
        </w:rPr>
        <w:t>竞争格局与护城河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10.1 竞争对手画像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对手类型</w:t>
            </w:r>
          </w:p>
        </w:tc>
        <w:tc>
          <w:tcPr>
            <w:tcW w:type="dxa" w:w="2551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代表公司</w:t>
            </w:r>
          </w:p>
        </w:tc>
        <w:tc>
          <w:tcPr>
            <w:tcW w:type="dxa" w:w="2551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强项</w:t>
            </w:r>
          </w:p>
        </w:tc>
        <w:tc>
          <w:tcPr>
            <w:tcW w:type="dxa" w:w="2268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弱项</w:t>
            </w:r>
          </w:p>
        </w:tc>
      </w:tr>
      <w:tr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大厂政务云</w:t>
            </w:r>
          </w:p>
        </w:tc>
        <w:tc>
          <w:tcPr>
            <w:tcW w:type="dxa" w:w="25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华为政务云 / 阿里数字政府</w:t>
            </w:r>
          </w:p>
        </w:tc>
        <w:tc>
          <w:tcPr>
            <w:tcW w:type="dxa" w:w="25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渠道 + 资金 + 客户基础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无方法论 + 大屏导向 + 不灵活</w:t>
            </w:r>
          </w:p>
        </w:tc>
      </w:tr>
      <w:tr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传统智慧城市集成商</w:t>
            </w:r>
          </w:p>
        </w:tc>
        <w:tc>
          <w:tcPr>
            <w:tcW w:type="dxa" w:w="25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中科曙光 / 紫光 / 海康</w:t>
            </w:r>
          </w:p>
        </w:tc>
        <w:tc>
          <w:tcPr>
            <w:tcW w:type="dxa" w:w="25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硬件 + 集成能力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决策推演空白 + 软件弱</w:t>
            </w:r>
          </w:p>
        </w:tc>
      </w:tr>
      <w:tr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管理咨询</w:t>
            </w:r>
          </w:p>
        </w:tc>
        <w:tc>
          <w:tcPr>
            <w:tcW w:type="dxa" w:w="25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麦肯锡 / BCG / 安永</w:t>
            </w:r>
          </w:p>
        </w:tc>
        <w:tc>
          <w:tcPr>
            <w:tcW w:type="dxa" w:w="25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方法论 + 高决策层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无产品 + 单价高 + 不可复用</w:t>
            </w:r>
          </w:p>
        </w:tc>
      </w:tr>
      <w:tr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地方自建团队</w:t>
            </w:r>
          </w:p>
        </w:tc>
        <w:tc>
          <w:tcPr>
            <w:tcW w:type="dxa" w:w="25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各地数据局自研</w:t>
            </w:r>
          </w:p>
        </w:tc>
        <w:tc>
          <w:tcPr>
            <w:tcW w:type="dxa" w:w="25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贴近用户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学术弱 + 缺标准 + 难复制</w:t>
            </w:r>
          </w:p>
        </w:tc>
      </w:tr>
      <w:tr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学术研究机构</w:t>
            </w:r>
          </w:p>
        </w:tc>
        <w:tc>
          <w:tcPr>
            <w:tcW w:type="dxa" w:w="25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中科院 / 清华公管</w:t>
            </w:r>
          </w:p>
        </w:tc>
        <w:tc>
          <w:tcPr>
            <w:tcW w:type="dxa" w:w="25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学术权威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无商业化 + 产品弱 + 慢</w:t>
            </w:r>
          </w:p>
        </w:tc>
      </w:tr>
    </w:tbl>
    <w:p/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10.2 我们的差异化矩阵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474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361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华为政务</w:t>
            </w:r>
          </w:p>
        </w:tc>
        <w:tc>
          <w:tcPr>
            <w:tcW w:type="dxa" w:w="1361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阿里数政</w:t>
            </w:r>
          </w:p>
        </w:tc>
        <w:tc>
          <w:tcPr>
            <w:tcW w:type="dxa" w:w="1361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中科曙光</w:t>
            </w:r>
          </w:p>
        </w:tc>
        <w:tc>
          <w:tcPr>
            <w:tcW w:type="dxa" w:w="1361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麦肯锡咨询</w:t>
            </w:r>
          </w:p>
        </w:tc>
        <w:tc>
          <w:tcPr>
            <w:tcW w:type="dxa" w:w="2154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HENAN-ROADS</w:t>
            </w:r>
          </w:p>
        </w:tc>
      </w:tr>
      <w:tr>
        <w:tc>
          <w:tcPr>
            <w:tcW w:type="dxa" w:w="147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独家学术 IP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✗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✗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中科院（弱）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✗</w:t>
            </w:r>
          </w:p>
        </w:tc>
        <w:tc>
          <w:tcPr>
            <w:tcW w:type="dxa" w:w="215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✓ 史文中 PolyU</w:t>
            </w:r>
          </w:p>
        </w:tc>
      </w:tr>
      <w:tr>
        <w:tc>
          <w:tcPr>
            <w:tcW w:type="dxa" w:w="147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方法论沙盘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✗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✗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✗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PPT</w:t>
            </w:r>
          </w:p>
        </w:tc>
        <w:tc>
          <w:tcPr>
            <w:tcW w:type="dxa" w:w="215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✓ MIT En-ROADS</w:t>
            </w:r>
          </w:p>
        </w:tc>
      </w:tr>
      <w:tr>
        <w:tc>
          <w:tcPr>
            <w:tcW w:type="dxa" w:w="147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治理数据基线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弱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中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弱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弱</w:t>
            </w:r>
          </w:p>
        </w:tc>
        <w:tc>
          <w:tcPr>
            <w:tcW w:type="dxa" w:w="215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✓ 河南完整调研</w:t>
            </w:r>
          </w:p>
        </w:tc>
      </w:tr>
      <w:tr>
        <w:tc>
          <w:tcPr>
            <w:tcW w:type="dxa" w:w="147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价格定位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千万级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千万级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千万级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百万级</w:t>
            </w:r>
          </w:p>
        </w:tc>
        <w:tc>
          <w:tcPr>
            <w:tcW w:type="dxa" w:w="215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5-500 万分层</w:t>
            </w:r>
          </w:p>
        </w:tc>
      </w:tr>
      <w:tr>
        <w:tc>
          <w:tcPr>
            <w:tcW w:type="dxa" w:w="147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干部可用性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大屏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大屏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大屏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PPT</w:t>
            </w:r>
          </w:p>
        </w:tc>
        <w:tc>
          <w:tcPr>
            <w:tcW w:type="dxa" w:w="215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✓ 工作坊推演</w:t>
            </w:r>
          </w:p>
        </w:tc>
      </w:tr>
      <w:tr>
        <w:tc>
          <w:tcPr>
            <w:tcW w:type="dxa" w:w="147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可复制性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高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高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高</w:t>
            </w:r>
          </w:p>
        </w:tc>
        <w:tc>
          <w:tcPr>
            <w:tcW w:type="dxa" w:w="136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低</w:t>
            </w:r>
          </w:p>
        </w:tc>
        <w:tc>
          <w:tcPr>
            <w:tcW w:type="dxa" w:w="215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✓ SaaS 标准化</w:t>
            </w:r>
          </w:p>
        </w:tc>
      </w:tr>
    </w:tbl>
    <w:p/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10.3 五重护城河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壁垒一 · 学术 IP：史文中教授 ISUI 5 年独家，1-3 年内不可复制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壁垒二 · 数据网络效应：客户越多 → 模型越准 → 新客越愿付费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壁垒三 · 政府关系黏性：嵌入决策流程后替换成本高（系统+数据+人员三重锁定）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壁垒四 · 标准化定义权：成为行业事实标准后，竞品必须授权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壁垒五 · 工作坊网络：5 万+ 培训学员形成「治理推演师」职业网络，反哺市场</w:t>
      </w:r>
    </w:p>
    <w:p>
      <w:r>
        <w:br w:type="page"/>
      </w:r>
    </w:p>
    <w:p>
      <w:pPr>
        <w:spacing w:before="480" w:after="24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44"/>
        </w:rPr>
        <w:t xml:space="preserve">11  </w:t>
      </w:r>
      <w:r>
        <w:rPr>
          <w:rFonts w:ascii="微软雅黑" w:hAnsi="微软雅黑" w:eastAsia="微软雅黑"/>
          <w:b/>
          <w:color w:val="1E3A5F"/>
          <w:sz w:val="44"/>
        </w:rPr>
        <w:t>风险分析与对冲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11.1 风险矩阵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118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风险描述</w:t>
            </w:r>
          </w:p>
        </w:tc>
        <w:tc>
          <w:tcPr>
            <w:tcW w:type="dxa" w:w="907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概率</w:t>
            </w:r>
          </w:p>
        </w:tc>
        <w:tc>
          <w:tcPr>
            <w:tcW w:type="dxa" w:w="907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3005"/>
            <w:shd w:val="clear" w:color="auto" w:fill="1E3A5F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对冲策略</w:t>
            </w:r>
          </w:p>
        </w:tc>
      </w:tr>
      <w:tr>
        <w:tc>
          <w:tcPr>
            <w:tcW w:type="dxa" w:w="113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政策</w:t>
            </w:r>
          </w:p>
        </w:tc>
        <w:tc>
          <w:tcPr>
            <w:tcW w:type="dxa" w:w="311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政府数字化预算波动 / 反腐影响采购</w:t>
            </w:r>
          </w:p>
        </w:tc>
        <w:tc>
          <w:tcPr>
            <w:tcW w:type="dxa" w:w="90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中</w:t>
            </w:r>
          </w:p>
        </w:tc>
        <w:tc>
          <w:tcPr>
            <w:tcW w:type="dxa" w:w="90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高</w:t>
            </w:r>
          </w:p>
        </w:tc>
        <w:tc>
          <w:tcPr>
            <w:tcW w:type="dxa" w:w="300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 条收入流多元 / 加大学术党校占比</w:t>
            </w:r>
          </w:p>
        </w:tc>
      </w:tr>
      <w:tr>
        <w:tc>
          <w:tcPr>
            <w:tcW w:type="dxa" w:w="113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竞争</w:t>
            </w:r>
          </w:p>
        </w:tc>
        <w:tc>
          <w:tcPr>
            <w:tcW w:type="dxa" w:w="311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华为/阿里直接做同类产品</w:t>
            </w:r>
          </w:p>
        </w:tc>
        <w:tc>
          <w:tcPr>
            <w:tcW w:type="dxa" w:w="90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高</w:t>
            </w:r>
          </w:p>
        </w:tc>
        <w:tc>
          <w:tcPr>
            <w:tcW w:type="dxa" w:w="90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高</w:t>
            </w:r>
          </w:p>
        </w:tc>
        <w:tc>
          <w:tcPr>
            <w:tcW w:type="dxa" w:w="300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学术 IP 锁定 / 第三方独立定位 / 国资战投</w:t>
            </w:r>
          </w:p>
        </w:tc>
      </w:tr>
      <w:tr>
        <w:tc>
          <w:tcPr>
            <w:tcW w:type="dxa" w:w="113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IP</w:t>
            </w:r>
          </w:p>
        </w:tc>
        <w:tc>
          <w:tcPr>
            <w:tcW w:type="dxa" w:w="311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史文中教授学术合作变更</w:t>
            </w:r>
          </w:p>
        </w:tc>
        <w:tc>
          <w:tcPr>
            <w:tcW w:type="dxa" w:w="90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低</w:t>
            </w:r>
          </w:p>
        </w:tc>
        <w:tc>
          <w:tcPr>
            <w:tcW w:type="dxa" w:w="90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高</w:t>
            </w:r>
          </w:p>
        </w:tc>
        <w:tc>
          <w:tcPr>
            <w:tcW w:type="dxa" w:w="300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 年独家 + 联合实验室 + 股权激励</w:t>
            </w:r>
          </w:p>
        </w:tc>
      </w:tr>
      <w:tr>
        <w:tc>
          <w:tcPr>
            <w:tcW w:type="dxa" w:w="113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销售</w:t>
            </w:r>
          </w:p>
        </w:tc>
        <w:tc>
          <w:tcPr>
            <w:tcW w:type="dxa" w:w="311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政府决策周期长 / 招投标变数</w:t>
            </w:r>
          </w:p>
        </w:tc>
        <w:tc>
          <w:tcPr>
            <w:tcW w:type="dxa" w:w="90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高</w:t>
            </w:r>
          </w:p>
        </w:tc>
        <w:tc>
          <w:tcPr>
            <w:tcW w:type="dxa" w:w="90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中</w:t>
            </w:r>
          </w:p>
        </w:tc>
        <w:tc>
          <w:tcPr>
            <w:tcW w:type="dxa" w:w="300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党校学院切入 / 集成商渠道 / 多客户分散</w:t>
            </w:r>
          </w:p>
        </w:tc>
      </w:tr>
      <w:tr>
        <w:tc>
          <w:tcPr>
            <w:tcW w:type="dxa" w:w="113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AI 监管</w:t>
            </w:r>
          </w:p>
        </w:tc>
        <w:tc>
          <w:tcPr>
            <w:tcW w:type="dxa" w:w="311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数据出境 / 算法备案趋严</w:t>
            </w:r>
          </w:p>
        </w:tc>
        <w:tc>
          <w:tcPr>
            <w:tcW w:type="dxa" w:w="90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中</w:t>
            </w:r>
          </w:p>
        </w:tc>
        <w:tc>
          <w:tcPr>
            <w:tcW w:type="dxa" w:w="90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中</w:t>
            </w:r>
          </w:p>
        </w:tc>
        <w:tc>
          <w:tcPr>
            <w:tcW w:type="dxa" w:w="300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数据本地化 + 国产大模型 + 等保三级</w:t>
            </w:r>
          </w:p>
        </w:tc>
      </w:tr>
      <w:tr>
        <w:tc>
          <w:tcPr>
            <w:tcW w:type="dxa" w:w="113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人才</w:t>
            </w:r>
          </w:p>
        </w:tc>
        <w:tc>
          <w:tcPr>
            <w:tcW w:type="dxa" w:w="311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核心 CTO/COO 跳槽</w:t>
            </w:r>
          </w:p>
        </w:tc>
        <w:tc>
          <w:tcPr>
            <w:tcW w:type="dxa" w:w="90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中</w:t>
            </w:r>
          </w:p>
        </w:tc>
        <w:tc>
          <w:tcPr>
            <w:tcW w:type="dxa" w:w="90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高</w:t>
            </w:r>
          </w:p>
        </w:tc>
        <w:tc>
          <w:tcPr>
            <w:tcW w:type="dxa" w:w="300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8F8F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充分股权激励 + 创始团队凝聚</w:t>
            </w:r>
          </w:p>
        </w:tc>
      </w:tr>
      <w:tr>
        <w:tc>
          <w:tcPr>
            <w:tcW w:type="dxa" w:w="113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财务</w:t>
            </w:r>
          </w:p>
        </w:tc>
        <w:tc>
          <w:tcPr>
            <w:tcW w:type="dxa" w:w="311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应收账款周期长（政府客户特征）</w:t>
            </w:r>
          </w:p>
        </w:tc>
        <w:tc>
          <w:tcPr>
            <w:tcW w:type="dxa" w:w="90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高</w:t>
            </w:r>
          </w:p>
        </w:tc>
        <w:tc>
          <w:tcPr>
            <w:tcW w:type="dxa" w:w="90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中</w:t>
            </w:r>
          </w:p>
        </w:tc>
        <w:tc>
          <w:tcPr>
            <w:tcW w:type="dxa" w:w="300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保理 + 银行授信 + 季度现金管理</w:t>
            </w:r>
          </w:p>
        </w:tc>
      </w:tr>
    </w:tbl>
    <w:p/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11.2 政策合规与数据安全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color w:val="1A202C"/>
          <w:sz w:val="22"/>
        </w:rPr>
        <w:t>本平台严格遵守《数据安全法》《个人信息保护法》《关键信息基础设施安全保护条例》及网信办《生成式人工智能服务管理暂行办法》。具体措施：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数据出境：所有政府数据本地化存储，不出境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算法备案：公开服务前完成网信办算法备案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等保三级：核心 SaaS 产品在 Y2 完成等保三级测评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信创合规：Y2 完成华为鲲鹏 / 飞腾 + 麒麟 / 统信 + 国产中间件适配</w:t>
      </w:r>
    </w:p>
    <w:p>
      <w:r>
        <w:br w:type="page"/>
      </w:r>
    </w:p>
    <w:p>
      <w:pPr>
        <w:spacing w:before="480" w:after="24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44"/>
        </w:rPr>
        <w:t xml:space="preserve">12  </w:t>
      </w:r>
      <w:r>
        <w:rPr>
          <w:rFonts w:ascii="微软雅黑" w:hAnsi="微软雅黑" w:eastAsia="微软雅黑"/>
          <w:b/>
          <w:color w:val="1E3A5F"/>
          <w:sz w:val="44"/>
        </w:rPr>
        <w:t>附录 · 学术与行业背书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12.1 史文中教授学术资历摘要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香港理工大学土地测量及地理资讯学系 讲座教授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智慧城市研究院（SCRI）主任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国际摄影测量与遥感学会（ISPRS）王之卓奖（终身成就奖）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Springer 《Urban Informatics》专著主编（2021）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ISUI 智慧城市指数体系原创者（2022）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已发表 SCI/SSCI 论文 400+ 篇，Google Scholar 引用 25000+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12.2 En-ROADS 方法论权威性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color w:val="1A202C"/>
          <w:sz w:val="22"/>
        </w:rPr>
        <w:t>En-ROADS Climate Solutions Simulator 由 MIT Sloan Sustainability Initiative 与 Climate Interactive 联合开发，30 年研发积累，目前已被联合国 IPCC、世界银行、欧盟、美国国会、中国生态环境部等引用，在全球 100+ 国家使用。HENAN-ROADS 是中国首个把这一方法论应用于「治理」领域的本土化产品。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12.3 已实现的产品（在线 Demo）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color w:val="1A202C"/>
          <w:sz w:val="22"/>
        </w:rPr>
        <w:t>在线访问：https://gallen666.github.io/henan-governance/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✓ 10 大栏目主网站（已上线）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✓ 18 杠杆政策沙盘 + 4 反馈环（已上线）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✓ ISUI 6 维实时雷达图 + 港京基准对标（已上线）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✓ AI 治理诊断 + 自动汇报稿生成（已上线）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✓ 群众满意度调查问卷 15 题（已上线）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✓ 案例库（郑州模式）+ 工作坊指南（已上线）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✓ 中央配音 MP3 + 3 分钟视频汇报版（已发布）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B8232F"/>
          <w:sz w:val="30"/>
        </w:rPr>
        <w:t>12.4 行业政策依据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《党的二十大报告》—— 推进国家治理体系和治理能力现代化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《十四五推进国家政务信息化规划》（国务院）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《关于加强基层治理体系和治理能力现代化建设的意见》（中共中央国务院）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《数字中国建设整体布局规划》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《数字政府建设指南》（中央网信办）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《河南省十四五基层治理现代化规划》（首个落地省份）</w:t>
      </w:r>
    </w:p>
    <w:p/>
    <w:p>
      <w:pPr>
        <w:spacing w:before="800"/>
        <w:jc w:val="center"/>
      </w:pPr>
      <w:r>
        <w:rPr>
          <w:rFonts w:ascii="微软雅黑" w:hAnsi="微软雅黑" w:eastAsia="微软雅黑"/>
          <w:color w:val="718096"/>
          <w:sz w:val="24"/>
        </w:rPr>
        <w:t>—— 完 ——</w:t>
      </w:r>
    </w:p>
    <w:p>
      <w:pPr>
        <w:spacing w:before="800"/>
        <w:jc w:val="center"/>
      </w:pPr>
      <w:r>
        <w:rPr>
          <w:rFonts w:ascii="微软雅黑" w:hAnsi="微软雅黑" w:eastAsia="微软雅黑"/>
          <w:color w:val="718096"/>
          <w:sz w:val="18"/>
        </w:rPr>
        <w:t>本文件为 HENAN-ROADS 商业秘密 · 仅供合格投资人评估 · 未经许可不得复制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