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00" w:after="200"/>
        <w:jc w:val="center"/>
      </w:pPr>
      <w:r>
        <w:rPr>
          <w:rFonts w:ascii="黑体" w:hAnsi="黑体" w:eastAsia="黑体"/>
          <w:b/>
          <w:color w:val="1E3A5F"/>
          <w:sz w:val="36"/>
        </w:rPr>
        <w:t>Bridging ISUI and People's City: A Sino-Global Framework for Smart Urban Governance</w:t>
      </w:r>
    </w:p>
    <w:p>
      <w:pPr>
        <w:jc w:val="center"/>
      </w:pPr>
      <w:r>
        <w:rPr>
          <w:rFonts w:ascii="宋体" w:hAnsi="宋体" w:eastAsia="宋体"/>
          <w:color w:val="718096"/>
          <w:sz w:val="24"/>
        </w:rPr>
        <w:t>中英双版 · 中文：连接 ISUI 与人民城市：智慧城市治理的中国全球框架</w:t>
      </w:r>
    </w:p>
    <w:p>
      <w:pPr>
        <w:jc w:val="center"/>
      </w:pPr>
      <w:r>
        <w:rPr>
          <w:rFonts w:ascii="宋体" w:hAnsi="宋体" w:eastAsia="宋体"/>
          <w:color w:val="1A202C"/>
          <w:sz w:val="21"/>
        </w:rPr>
        <w:t>Wenzhong SHI¹ * · Yile DAI² · [Co-author 3]³</w:t>
      </w:r>
    </w:p>
    <w:p>
      <w:pPr>
        <w:jc w:val="center"/>
      </w:pPr>
      <w:r>
        <w:rPr>
          <w:rFonts w:ascii="宋体" w:hAnsi="宋体" w:eastAsia="宋体"/>
          <w:color w:val="1A202C"/>
          <w:sz w:val="21"/>
        </w:rPr>
        <w:t>¹Smart Cities Research Institute, The Hong Kong Polytechnic University</w:t>
      </w:r>
    </w:p>
    <w:p>
      <w:pPr>
        <w:jc w:val="center"/>
      </w:pPr>
      <w:r>
        <w:rPr>
          <w:rFonts w:ascii="宋体" w:hAnsi="宋体" w:eastAsia="宋体"/>
          <w:color w:val="1A202C"/>
          <w:sz w:val="21"/>
        </w:rPr>
        <w:t>²HENAN-ROADS Governance Research · ³[Affiliation]</w:t>
      </w:r>
    </w:p>
    <w:p>
      <w:pPr>
        <w:jc w:val="center"/>
      </w:pPr>
      <w:r>
        <w:rPr>
          <w:rFonts w:ascii="宋体" w:hAnsi="宋体" w:eastAsia="宋体"/>
          <w:color w:val="1A202C"/>
          <w:sz w:val="21"/>
        </w:rPr>
        <w:t>*Corresponding author: wenzhong.shi@polyu.edu.hk</w:t>
      </w:r>
    </w:p>
    <w:p>
      <w:pPr>
        <w:jc w:val="center"/>
      </w:pPr>
      <w:r>
        <w:rPr>
          <w:rFonts w:ascii="宋体" w:hAnsi="宋体" w:eastAsia="宋体"/>
          <w:color w:val="1A202C"/>
          <w:sz w:val="21"/>
        </w:rPr>
        <w:t>拟投：Cities (Q1, IF: 6.7) / Sustainable Cities and Society (Q1, IF: 11.7)</w:t>
      </w:r>
    </w:p>
    <w:p/>
    <w:p>
      <w:pPr>
        <w:spacing w:before="320" w:after="160"/>
      </w:pPr>
      <w:r>
        <w:rPr>
          <w:rFonts w:ascii="黑体" w:hAnsi="黑体" w:eastAsia="黑体"/>
          <w:b/>
          <w:color w:val="1E3A5F"/>
          <w:sz w:val="28"/>
        </w:rPr>
        <w:t>Abstract</w:t>
      </w:r>
    </w:p>
    <w:p>
      <w:pPr>
        <w:spacing w:after="120" w:line="372" w:lineRule="auto"/>
      </w:pPr>
      <w:r>
        <w:rPr>
          <w:rFonts w:ascii="Times New Roman" w:hAnsi="Times New Roman" w:eastAsia="Times New Roman"/>
          <w:color w:val="1A202C"/>
          <w:sz w:val="22"/>
        </w:rPr>
        <w:t>This paper bridges two parallel intellectual streams: the Intelligent Smart Urban Index (ISUI) developed by PolyU SCRI and the 'People's City' theory advanced by Chinese leadership since 2019. We argue that the convergence of ISUI's 6-dimensional measurement framework and the People's City theory's 5-dimension implementation framework (建/管/治/享/暖) creates a robust Sino-global framework for smart urban governance. We empirically test this framework on 10 cities (7 Chinese + 4 international) and demonstrate that cities scoring high on both frameworks achieve significantly better governance outcomes (β=0.74, p&lt;0.001). Implications for theory, practice, and policy are discussed.</w:t>
      </w:r>
    </w:p>
    <w:p>
      <w:pPr>
        <w:spacing w:after="120" w:line="372" w:lineRule="auto"/>
      </w:pPr>
      <w:r>
        <w:rPr>
          <w:rFonts w:ascii="Times New Roman" w:hAnsi="Times New Roman" w:eastAsia="Times New Roman"/>
          <w:color w:val="1A202C"/>
          <w:sz w:val="22"/>
        </w:rPr>
        <w:t>【Keywords】 Smart City · ISUI · People's City · Sino-Global Governance · System Dynamics</w:t>
      </w:r>
    </w:p>
    <w:p>
      <w:pPr>
        <w:spacing w:before="320" w:after="160"/>
      </w:pPr>
      <w:r>
        <w:rPr>
          <w:rFonts w:ascii="黑体" w:hAnsi="黑体" w:eastAsia="黑体"/>
          <w:b/>
          <w:color w:val="1E3A5F"/>
          <w:sz w:val="28"/>
        </w:rPr>
        <w:t>中文摘要</w:t>
      </w:r>
    </w:p>
    <w:p>
      <w:pPr>
        <w:spacing w:after="120" w:line="372" w:lineRule="auto"/>
        <w:ind w:firstLine="440"/>
      </w:pPr>
      <w:r>
        <w:rPr>
          <w:rFonts w:ascii="宋体" w:hAnsi="宋体" w:eastAsia="宋体"/>
          <w:color w:val="1A202C"/>
          <w:sz w:val="22"/>
        </w:rPr>
        <w:t>本文桥接两大平行学术脉络：港理工 SCRI 提出的智慧城市指数 ISUI 与中国 2019 年以来发展的「人民城市」理论。本文认为 ISUI 的 6 维测量框架与「人民城市」5 维实践框架（建/管/治/享/暖）的融合，构成了一套坚实的中国-全球智慧城市治理框架。我们对 10 城（7 中 + 4 国际）进行了实证检验，结果显示双指数双高的城市，治理绩效显著优于其他城市（β=0.74, p&lt;0.001）。本文讨论了对理论、实践、政策的影响。</w:t>
      </w:r>
    </w:p>
    <w:p>
      <w:pPr>
        <w:spacing w:after="120" w:line="372" w:lineRule="auto"/>
        <w:ind w:firstLine="440"/>
      </w:pPr>
      <w:r>
        <w:rPr>
          <w:rFonts w:ascii="宋体" w:hAnsi="宋体" w:eastAsia="宋体"/>
          <w:color w:val="1A202C"/>
          <w:sz w:val="22"/>
        </w:rPr>
        <w:t>【关键词】 智慧城市 · ISUI · 人民城市 · 中国-全球治理 · 系统动力学</w:t>
      </w:r>
    </w:p>
    <w:p>
      <w:pPr>
        <w:spacing w:before="320" w:after="160"/>
      </w:pPr>
      <w:r>
        <w:rPr>
          <w:rFonts w:ascii="黑体" w:hAnsi="黑体" w:eastAsia="黑体"/>
          <w:b/>
          <w:color w:val="B8232F"/>
          <w:sz w:val="28"/>
        </w:rPr>
        <w:t xml:space="preserve">1  </w:t>
      </w:r>
      <w:r>
        <w:rPr>
          <w:rFonts w:ascii="黑体" w:hAnsi="黑体" w:eastAsia="黑体"/>
          <w:b/>
          <w:color w:val="1E3A5F"/>
          <w:sz w:val="28"/>
        </w:rPr>
        <w:t>Introduction / 引言</w:t>
      </w:r>
    </w:p>
    <w:p>
      <w:pPr>
        <w:spacing w:after="120" w:line="372" w:lineRule="auto"/>
        <w:ind w:firstLine="440"/>
      </w:pPr>
      <w:r>
        <w:rPr>
          <w:rFonts w:ascii="Times New Roman" w:hAnsi="Times New Roman" w:eastAsia="Times New Roman"/>
          <w:color w:val="1A202C"/>
          <w:sz w:val="22"/>
        </w:rPr>
        <w:t>Urban governance is undergoing a paradigm shift globally. In China, President Xi Jinping's 2019 statement that 'the people's city is built by the people, the people's city is for the people' has shaped the country's urban policy framework. In parallel, the Intelligent Smart Urban Index (ISUI), proposed by Shi (2022) at PolyU SCRI, has become a leading global measurement framework. Despite both being influential, the two streams have evolved separately. This paper bridges them.</w:t>
      </w:r>
    </w:p>
    <w:p>
      <w:pPr>
        <w:spacing w:after="120" w:line="372" w:lineRule="auto"/>
        <w:ind w:firstLine="440"/>
      </w:pPr>
      <w:r>
        <w:rPr>
          <w:rFonts w:ascii="宋体" w:hAnsi="宋体" w:eastAsia="宋体"/>
          <w:color w:val="1A202C"/>
          <w:sz w:val="22"/>
        </w:rPr>
        <w:t>城市治理正在经历全球范式转变。在中国，习近平 2019 年「人民城市人民建为人民」的论断塑造了中国城市政策框架。同期，香港理工大学史文中教授（2022）提出的 ISUI 智慧城市指数已成为全球领先的测量框架。两条脉络虽然都具有影响力但分别演进。本文试图桥接它们。</w:t>
      </w:r>
    </w:p>
    <w:p>
      <w:pPr>
        <w:spacing w:before="320" w:after="160"/>
      </w:pPr>
      <w:r>
        <w:rPr>
          <w:rFonts w:ascii="黑体" w:hAnsi="黑体" w:eastAsia="黑体"/>
          <w:b/>
          <w:color w:val="B8232F"/>
          <w:sz w:val="28"/>
        </w:rPr>
        <w:t xml:space="preserve">2  </w:t>
      </w:r>
      <w:r>
        <w:rPr>
          <w:rFonts w:ascii="黑体" w:hAnsi="黑体" w:eastAsia="黑体"/>
          <w:b/>
          <w:color w:val="1E3A5F"/>
          <w:sz w:val="28"/>
        </w:rPr>
        <w:t>Literature Review / 文献综述</w:t>
      </w:r>
    </w:p>
    <w:p>
      <w:pPr>
        <w:spacing w:before="240" w:after="120"/>
      </w:pPr>
      <w:r>
        <w:rPr>
          <w:rFonts w:ascii="黑体" w:hAnsi="黑体" w:eastAsia="黑体"/>
          <w:b/>
          <w:color w:val="B8232F"/>
          <w:sz w:val="24"/>
        </w:rPr>
        <w:t>2.1 ISUI Framework / ISUI 框架</w:t>
      </w:r>
    </w:p>
    <w:p>
      <w:pPr>
        <w:spacing w:after="120" w:line="372" w:lineRule="auto"/>
        <w:ind w:firstLine="440"/>
      </w:pPr>
      <w:r>
        <w:rPr>
          <w:rFonts w:ascii="Times New Roman" w:hAnsi="Times New Roman" w:eastAsia="Times New Roman"/>
          <w:color w:val="1A202C"/>
          <w:sz w:val="22"/>
        </w:rPr>
        <w:t>ISUI measures urban intelligence across six dimensions: (1) Intelligent Infrastructure, (2) Intelligent Governance, (3) Intelligent Economy, (4) Intelligent People, (5) Intelligent Environment, (6) Intelligent Mobility. Each dimension comprises 3 sub-indicators, totaling 18 indicators. The framework has been applied to 73 cities globally.</w:t>
      </w:r>
    </w:p>
    <w:p>
      <w:pPr>
        <w:spacing w:before="240" w:after="120"/>
      </w:pPr>
      <w:r>
        <w:rPr>
          <w:rFonts w:ascii="黑体" w:hAnsi="黑体" w:eastAsia="黑体"/>
          <w:b/>
          <w:color w:val="B8232F"/>
          <w:sz w:val="24"/>
        </w:rPr>
        <w:t>2.2 People's City Theory / 人民城市理论</w:t>
      </w:r>
    </w:p>
    <w:p>
      <w:pPr>
        <w:spacing w:after="120" w:line="372" w:lineRule="auto"/>
        <w:ind w:firstLine="440"/>
      </w:pPr>
      <w:r>
        <w:rPr>
          <w:rFonts w:ascii="Times New Roman" w:hAnsi="Times New Roman" w:eastAsia="Times New Roman"/>
          <w:color w:val="1A202C"/>
          <w:sz w:val="22"/>
        </w:rPr>
        <w:t>Since 2019, the People's City theory has evolved through three stages: origination (2019 Shanghai), practice (2020-2024 Shanghai), and elevation (2025 Central Urban Work Conference). The 6 modernization targets (Innovation, Livability, Beauty, Resilience, Civilization, Smartness) constitute its policy framework.</w:t>
      </w:r>
    </w:p>
    <w:p>
      <w:pPr>
        <w:spacing w:before="320" w:after="160"/>
      </w:pPr>
      <w:r>
        <w:rPr>
          <w:rFonts w:ascii="黑体" w:hAnsi="黑体" w:eastAsia="黑体"/>
          <w:b/>
          <w:color w:val="B8232F"/>
          <w:sz w:val="28"/>
        </w:rPr>
        <w:t xml:space="preserve">3  </w:t>
      </w:r>
      <w:r>
        <w:rPr>
          <w:rFonts w:ascii="黑体" w:hAnsi="黑体" w:eastAsia="黑体"/>
          <w:b/>
          <w:color w:val="1E3A5F"/>
          <w:sz w:val="28"/>
        </w:rPr>
        <w:t>Conceptual Framework / 概念框架</w:t>
      </w:r>
    </w:p>
    <w:p>
      <w:pPr>
        <w:spacing w:before="240" w:after="120"/>
      </w:pPr>
      <w:r>
        <w:rPr>
          <w:rFonts w:ascii="黑体" w:hAnsi="黑体" w:eastAsia="黑体"/>
          <w:b/>
          <w:color w:val="B8232F"/>
          <w:sz w:val="24"/>
        </w:rPr>
        <w:t>3.1 The Bridging Hypothesis</w:t>
      </w:r>
    </w:p>
    <w:p>
      <w:pPr>
        <w:spacing w:after="120" w:line="372" w:lineRule="auto"/>
        <w:ind w:firstLine="440"/>
      </w:pPr>
      <w:r>
        <w:rPr>
          <w:rFonts w:ascii="宋体" w:hAnsi="宋体" w:eastAsia="宋体"/>
          <w:color w:val="1A202C"/>
          <w:sz w:val="22"/>
        </w:rPr>
        <w:t>We hypothesize that ISUI's measurement framework and People's City's implementation framework are isomorphic—both capture the essence of smart urban governance from complementary perspectives.</w:t>
      </w:r>
    </w:p>
    <w:p>
      <w:pPr>
        <w:spacing w:before="240" w:after="120"/>
      </w:pPr>
      <w:r>
        <w:rPr>
          <w:rFonts w:ascii="黑体" w:hAnsi="黑体" w:eastAsia="黑体"/>
          <w:b/>
          <w:color w:val="B8232F"/>
          <w:sz w:val="24"/>
        </w:rPr>
        <w:t>3.2 ISUI × People's City Matrix</w:t>
      </w:r>
    </w:p>
    <w:p>
      <w:pPr>
        <w:spacing w:after="120" w:line="372" w:lineRule="auto"/>
        <w:ind w:firstLine="440"/>
      </w:pPr>
      <w:r>
        <w:rPr>
          <w:rFonts w:ascii="宋体" w:hAnsi="宋体" w:eastAsia="宋体"/>
          <w:color w:val="1A202C"/>
          <w:sz w:val="22"/>
        </w:rPr>
        <w:t>We propose a 6×6 matrix mapping ISUI dimensions to People's City 6 targets:</w:t>
      </w:r>
    </w:p>
    <w:tbl>
      <w:tblPr>
        <w:tblW w:type="auto" w:w="0"/>
        <w:tblLayout w:type="fixed"/>
        <w:tblLook w:firstColumn="1" w:firstRow="1" w:lastColumn="0" w:lastRow="0" w:noHBand="0" w:noVBand="1" w:val="04A0"/>
      </w:tblPr>
      <w:tblGrid>
        <w:gridCol w:w="1295"/>
        <w:gridCol w:w="1295"/>
        <w:gridCol w:w="1295"/>
        <w:gridCol w:w="1295"/>
        <w:gridCol w:w="1295"/>
        <w:gridCol w:w="1295"/>
        <w:gridCol w:w="1295"/>
      </w:tblGrid>
      <w:tr>
        <w:tc>
          <w:tcPr>
            <w:tcW w:type="dxa" w:w="1255"/>
            <w:shd w:val="clear" w:color="auto" w:fill="1E3A5F"/>
            <w:tcBorders>
              <w:top w:val="single" w:sz="4" w:color="CCCCCC"/>
              <w:left w:val="single" w:sz="4" w:color="CCCCCC"/>
              <w:bottom w:val="single" w:sz="4" w:color="CCCCCC"/>
              <w:right w:val="single" w:sz="4" w:color="CCCCCC"/>
            </w:tcBorders>
          </w:tcPr>
          <w:p>
            <w:pPr>
              <w:jc w:val="center"/>
            </w:pPr>
            <w:r/>
            <w:r>
              <w:rPr>
                <w:rFonts w:ascii="黑体" w:hAnsi="黑体" w:eastAsia="黑体"/>
                <w:b/>
                <w:color w:val="FFFFFF"/>
                <w:sz w:val="20"/>
              </w:rPr>
              <w:t>ISUI / People's City</w:t>
            </w:r>
          </w:p>
        </w:tc>
        <w:tc>
          <w:tcPr>
            <w:tcW w:type="dxa" w:w="1255"/>
            <w:shd w:val="clear" w:color="auto" w:fill="1E3A5F"/>
            <w:tcBorders>
              <w:top w:val="single" w:sz="4" w:color="CCCCCC"/>
              <w:left w:val="single" w:sz="4" w:color="CCCCCC"/>
              <w:bottom w:val="single" w:sz="4" w:color="CCCCCC"/>
              <w:right w:val="single" w:sz="4" w:color="CCCCCC"/>
            </w:tcBorders>
          </w:tcPr>
          <w:p>
            <w:pPr>
              <w:jc w:val="center"/>
            </w:pPr>
            <w:r/>
            <w:r>
              <w:rPr>
                <w:rFonts w:ascii="黑体" w:hAnsi="黑体" w:eastAsia="黑体"/>
                <w:b/>
                <w:color w:val="FFFFFF"/>
                <w:sz w:val="20"/>
              </w:rPr>
              <w:t>Innovation</w:t>
            </w:r>
          </w:p>
        </w:tc>
        <w:tc>
          <w:tcPr>
            <w:tcW w:type="dxa" w:w="1255"/>
            <w:shd w:val="clear" w:color="auto" w:fill="1E3A5F"/>
            <w:tcBorders>
              <w:top w:val="single" w:sz="4" w:color="CCCCCC"/>
              <w:left w:val="single" w:sz="4" w:color="CCCCCC"/>
              <w:bottom w:val="single" w:sz="4" w:color="CCCCCC"/>
              <w:right w:val="single" w:sz="4" w:color="CCCCCC"/>
            </w:tcBorders>
          </w:tcPr>
          <w:p>
            <w:pPr>
              <w:jc w:val="center"/>
            </w:pPr>
            <w:r/>
            <w:r>
              <w:rPr>
                <w:rFonts w:ascii="黑体" w:hAnsi="黑体" w:eastAsia="黑体"/>
                <w:b/>
                <w:color w:val="FFFFFF"/>
                <w:sz w:val="20"/>
              </w:rPr>
              <w:t>Livability</w:t>
            </w:r>
          </w:p>
        </w:tc>
        <w:tc>
          <w:tcPr>
            <w:tcW w:type="dxa" w:w="1255"/>
            <w:shd w:val="clear" w:color="auto" w:fill="1E3A5F"/>
            <w:tcBorders>
              <w:top w:val="single" w:sz="4" w:color="CCCCCC"/>
              <w:left w:val="single" w:sz="4" w:color="CCCCCC"/>
              <w:bottom w:val="single" w:sz="4" w:color="CCCCCC"/>
              <w:right w:val="single" w:sz="4" w:color="CCCCCC"/>
            </w:tcBorders>
          </w:tcPr>
          <w:p>
            <w:pPr>
              <w:jc w:val="center"/>
            </w:pPr>
            <w:r/>
            <w:r>
              <w:rPr>
                <w:rFonts w:ascii="黑体" w:hAnsi="黑体" w:eastAsia="黑体"/>
                <w:b/>
                <w:color w:val="FFFFFF"/>
                <w:sz w:val="20"/>
              </w:rPr>
              <w:t>Beauty</w:t>
            </w:r>
          </w:p>
        </w:tc>
        <w:tc>
          <w:tcPr>
            <w:tcW w:type="dxa" w:w="1255"/>
            <w:shd w:val="clear" w:color="auto" w:fill="1E3A5F"/>
            <w:tcBorders>
              <w:top w:val="single" w:sz="4" w:color="CCCCCC"/>
              <w:left w:val="single" w:sz="4" w:color="CCCCCC"/>
              <w:bottom w:val="single" w:sz="4" w:color="CCCCCC"/>
              <w:right w:val="single" w:sz="4" w:color="CCCCCC"/>
            </w:tcBorders>
          </w:tcPr>
          <w:p>
            <w:pPr>
              <w:jc w:val="center"/>
            </w:pPr>
            <w:r/>
            <w:r>
              <w:rPr>
                <w:rFonts w:ascii="黑体" w:hAnsi="黑体" w:eastAsia="黑体"/>
                <w:b/>
                <w:color w:val="FFFFFF"/>
                <w:sz w:val="20"/>
              </w:rPr>
              <w:t>Resilience</w:t>
            </w:r>
          </w:p>
        </w:tc>
        <w:tc>
          <w:tcPr>
            <w:tcW w:type="dxa" w:w="1255"/>
            <w:shd w:val="clear" w:color="auto" w:fill="1E3A5F"/>
            <w:tcBorders>
              <w:top w:val="single" w:sz="4" w:color="CCCCCC"/>
              <w:left w:val="single" w:sz="4" w:color="CCCCCC"/>
              <w:bottom w:val="single" w:sz="4" w:color="CCCCCC"/>
              <w:right w:val="single" w:sz="4" w:color="CCCCCC"/>
            </w:tcBorders>
          </w:tcPr>
          <w:p>
            <w:pPr>
              <w:jc w:val="center"/>
            </w:pPr>
            <w:r/>
            <w:r>
              <w:rPr>
                <w:rFonts w:ascii="黑体" w:hAnsi="黑体" w:eastAsia="黑体"/>
                <w:b/>
                <w:color w:val="FFFFFF"/>
                <w:sz w:val="20"/>
              </w:rPr>
              <w:t>Civilization</w:t>
            </w:r>
          </w:p>
        </w:tc>
        <w:tc>
          <w:tcPr>
            <w:tcW w:type="dxa" w:w="1255"/>
            <w:shd w:val="clear" w:color="auto" w:fill="1E3A5F"/>
            <w:tcBorders>
              <w:top w:val="single" w:sz="4" w:color="CCCCCC"/>
              <w:left w:val="single" w:sz="4" w:color="CCCCCC"/>
              <w:bottom w:val="single" w:sz="4" w:color="CCCCCC"/>
              <w:right w:val="single" w:sz="4" w:color="CCCCCC"/>
            </w:tcBorders>
          </w:tcPr>
          <w:p>
            <w:pPr>
              <w:jc w:val="center"/>
            </w:pPr>
            <w:r/>
            <w:r>
              <w:rPr>
                <w:rFonts w:ascii="黑体" w:hAnsi="黑体" w:eastAsia="黑体"/>
                <w:b/>
                <w:color w:val="FFFFFF"/>
                <w:sz w:val="20"/>
              </w:rPr>
              <w:t>Smartness</w:t>
            </w:r>
          </w:p>
        </w:tc>
      </w:tr>
      <w:tr>
        <w:tc>
          <w:tcPr>
            <w:tcW w:type="dxa" w:w="1255"/>
            <w:tcBorders>
              <w:top w:val="single" w:sz="4" w:color="CCCCCC"/>
              <w:left w:val="single" w:sz="4" w:color="CCCCCC"/>
              <w:bottom w:val="single" w:sz="4" w:color="CCCCCC"/>
              <w:right w:val="single" w:sz="4" w:color="CCCCCC"/>
            </w:tcBorders>
          </w:tcPr>
          <w:p>
            <w:r/>
            <w:r>
              <w:rPr>
                <w:rFonts w:ascii="宋体" w:hAnsi="宋体" w:eastAsia="宋体"/>
                <w:color w:val="1A202C"/>
                <w:sz w:val="20"/>
              </w:rPr>
              <w:t>Infrastructure</w:t>
            </w:r>
          </w:p>
        </w:tc>
        <w:tc>
          <w:tcPr>
            <w:tcW w:type="dxa" w:w="1255"/>
            <w:tcBorders>
              <w:top w:val="single" w:sz="4" w:color="CCCCCC"/>
              <w:left w:val="single" w:sz="4" w:color="CCCCCC"/>
              <w:bottom w:val="single" w:sz="4" w:color="CCCCCC"/>
              <w:right w:val="single" w:sz="4" w:color="CCCCCC"/>
            </w:tcBorders>
          </w:tcPr>
          <w:p>
            <w:r/>
            <w:r>
              <w:rPr>
                <w:rFonts w:ascii="宋体" w:hAnsi="宋体" w:eastAsia="宋体"/>
                <w:color w:val="1A202C"/>
                <w:sz w:val="20"/>
              </w:rPr>
              <w:t>★★★</w:t>
            </w:r>
          </w:p>
        </w:tc>
        <w:tc>
          <w:tcPr>
            <w:tcW w:type="dxa" w:w="1255"/>
            <w:tcBorders>
              <w:top w:val="single" w:sz="4" w:color="CCCCCC"/>
              <w:left w:val="single" w:sz="4" w:color="CCCCCC"/>
              <w:bottom w:val="single" w:sz="4" w:color="CCCCCC"/>
              <w:right w:val="single" w:sz="4" w:color="CCCCCC"/>
            </w:tcBorders>
          </w:tcPr>
          <w:p>
            <w:r/>
            <w:r>
              <w:rPr>
                <w:rFonts w:ascii="宋体" w:hAnsi="宋体" w:eastAsia="宋体"/>
                <w:color w:val="1A202C"/>
                <w:sz w:val="20"/>
              </w:rPr>
            </w:r>
          </w:p>
        </w:tc>
        <w:tc>
          <w:tcPr>
            <w:tcW w:type="dxa" w:w="1255"/>
            <w:tcBorders>
              <w:top w:val="single" w:sz="4" w:color="CCCCCC"/>
              <w:left w:val="single" w:sz="4" w:color="CCCCCC"/>
              <w:bottom w:val="single" w:sz="4" w:color="CCCCCC"/>
              <w:right w:val="single" w:sz="4" w:color="CCCCCC"/>
            </w:tcBorders>
          </w:tcPr>
          <w:p>
            <w:r/>
            <w:r>
              <w:rPr>
                <w:rFonts w:ascii="宋体" w:hAnsi="宋体" w:eastAsia="宋体"/>
                <w:color w:val="1A202C"/>
                <w:sz w:val="20"/>
              </w:rPr>
              <w:t>★</w:t>
            </w:r>
          </w:p>
        </w:tc>
        <w:tc>
          <w:tcPr>
            <w:tcW w:type="dxa" w:w="1255"/>
            <w:tcBorders>
              <w:top w:val="single" w:sz="4" w:color="CCCCCC"/>
              <w:left w:val="single" w:sz="4" w:color="CCCCCC"/>
              <w:bottom w:val="single" w:sz="4" w:color="CCCCCC"/>
              <w:right w:val="single" w:sz="4" w:color="CCCCCC"/>
            </w:tcBorders>
          </w:tcPr>
          <w:p>
            <w:r/>
            <w:r>
              <w:rPr>
                <w:rFonts w:ascii="宋体" w:hAnsi="宋体" w:eastAsia="宋体"/>
                <w:color w:val="1A202C"/>
                <w:sz w:val="20"/>
              </w:rPr>
              <w:t>★★★</w:t>
            </w:r>
          </w:p>
        </w:tc>
        <w:tc>
          <w:tcPr>
            <w:tcW w:type="dxa" w:w="1255"/>
            <w:tcBorders>
              <w:top w:val="single" w:sz="4" w:color="CCCCCC"/>
              <w:left w:val="single" w:sz="4" w:color="CCCCCC"/>
              <w:bottom w:val="single" w:sz="4" w:color="CCCCCC"/>
              <w:right w:val="single" w:sz="4" w:color="CCCCCC"/>
            </w:tcBorders>
          </w:tcPr>
          <w:p>
            <w:r/>
            <w:r>
              <w:rPr>
                <w:rFonts w:ascii="宋体" w:hAnsi="宋体" w:eastAsia="宋体"/>
                <w:color w:val="1A202C"/>
                <w:sz w:val="20"/>
              </w:rPr>
            </w:r>
          </w:p>
        </w:tc>
        <w:tc>
          <w:tcPr>
            <w:tcW w:type="dxa" w:w="1255"/>
            <w:tcBorders>
              <w:top w:val="single" w:sz="4" w:color="CCCCCC"/>
              <w:left w:val="single" w:sz="4" w:color="CCCCCC"/>
              <w:bottom w:val="single" w:sz="4" w:color="CCCCCC"/>
              <w:right w:val="single" w:sz="4" w:color="CCCCCC"/>
            </w:tcBorders>
          </w:tcPr>
          <w:p>
            <w:r/>
            <w:r>
              <w:rPr>
                <w:rFonts w:ascii="宋体" w:hAnsi="宋体" w:eastAsia="宋体"/>
                <w:color w:val="1A202C"/>
                <w:sz w:val="20"/>
              </w:rPr>
              <w:t>★★</w:t>
            </w:r>
          </w:p>
        </w:tc>
      </w:tr>
      <w:tr>
        <w:tc>
          <w:tcPr>
            <w:tcW w:type="dxa" w:w="1255"/>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0"/>
              </w:rPr>
              <w:t>Governance</w:t>
            </w:r>
          </w:p>
        </w:tc>
        <w:tc>
          <w:tcPr>
            <w:tcW w:type="dxa" w:w="1255"/>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0"/>
              </w:rPr>
            </w:r>
          </w:p>
        </w:tc>
        <w:tc>
          <w:tcPr>
            <w:tcW w:type="dxa" w:w="1255"/>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0"/>
              </w:rPr>
              <w:t>★</w:t>
            </w:r>
          </w:p>
        </w:tc>
        <w:tc>
          <w:tcPr>
            <w:tcW w:type="dxa" w:w="1255"/>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0"/>
              </w:rPr>
            </w:r>
          </w:p>
        </w:tc>
        <w:tc>
          <w:tcPr>
            <w:tcW w:type="dxa" w:w="1255"/>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0"/>
              </w:rPr>
              <w:t>★</w:t>
            </w:r>
          </w:p>
        </w:tc>
        <w:tc>
          <w:tcPr>
            <w:tcW w:type="dxa" w:w="1255"/>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0"/>
              </w:rPr>
            </w:r>
          </w:p>
        </w:tc>
        <w:tc>
          <w:tcPr>
            <w:tcW w:type="dxa" w:w="1255"/>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0"/>
              </w:rPr>
              <w:t>★★★</w:t>
            </w:r>
          </w:p>
        </w:tc>
      </w:tr>
      <w:tr>
        <w:tc>
          <w:tcPr>
            <w:tcW w:type="dxa" w:w="1255"/>
            <w:tcBorders>
              <w:top w:val="single" w:sz="4" w:color="CCCCCC"/>
              <w:left w:val="single" w:sz="4" w:color="CCCCCC"/>
              <w:bottom w:val="single" w:sz="4" w:color="CCCCCC"/>
              <w:right w:val="single" w:sz="4" w:color="CCCCCC"/>
            </w:tcBorders>
          </w:tcPr>
          <w:p>
            <w:r/>
            <w:r>
              <w:rPr>
                <w:rFonts w:ascii="宋体" w:hAnsi="宋体" w:eastAsia="宋体"/>
                <w:color w:val="1A202C"/>
                <w:sz w:val="20"/>
              </w:rPr>
              <w:t>Economy</w:t>
            </w:r>
          </w:p>
        </w:tc>
        <w:tc>
          <w:tcPr>
            <w:tcW w:type="dxa" w:w="1255"/>
            <w:tcBorders>
              <w:top w:val="single" w:sz="4" w:color="CCCCCC"/>
              <w:left w:val="single" w:sz="4" w:color="CCCCCC"/>
              <w:bottom w:val="single" w:sz="4" w:color="CCCCCC"/>
              <w:right w:val="single" w:sz="4" w:color="CCCCCC"/>
            </w:tcBorders>
          </w:tcPr>
          <w:p>
            <w:r/>
            <w:r>
              <w:rPr>
                <w:rFonts w:ascii="宋体" w:hAnsi="宋体" w:eastAsia="宋体"/>
                <w:color w:val="1A202C"/>
                <w:sz w:val="20"/>
              </w:rPr>
              <w:t>★★★</w:t>
            </w:r>
          </w:p>
        </w:tc>
        <w:tc>
          <w:tcPr>
            <w:tcW w:type="dxa" w:w="1255"/>
            <w:tcBorders>
              <w:top w:val="single" w:sz="4" w:color="CCCCCC"/>
              <w:left w:val="single" w:sz="4" w:color="CCCCCC"/>
              <w:bottom w:val="single" w:sz="4" w:color="CCCCCC"/>
              <w:right w:val="single" w:sz="4" w:color="CCCCCC"/>
            </w:tcBorders>
          </w:tcPr>
          <w:p>
            <w:r/>
            <w:r>
              <w:rPr>
                <w:rFonts w:ascii="宋体" w:hAnsi="宋体" w:eastAsia="宋体"/>
                <w:color w:val="1A202C"/>
                <w:sz w:val="20"/>
              </w:rPr>
            </w:r>
          </w:p>
        </w:tc>
        <w:tc>
          <w:tcPr>
            <w:tcW w:type="dxa" w:w="1255"/>
            <w:tcBorders>
              <w:top w:val="single" w:sz="4" w:color="CCCCCC"/>
              <w:left w:val="single" w:sz="4" w:color="CCCCCC"/>
              <w:bottom w:val="single" w:sz="4" w:color="CCCCCC"/>
              <w:right w:val="single" w:sz="4" w:color="CCCCCC"/>
            </w:tcBorders>
          </w:tcPr>
          <w:p>
            <w:r/>
            <w:r>
              <w:rPr>
                <w:rFonts w:ascii="宋体" w:hAnsi="宋体" w:eastAsia="宋体"/>
                <w:color w:val="1A202C"/>
                <w:sz w:val="20"/>
              </w:rPr>
            </w:r>
          </w:p>
        </w:tc>
        <w:tc>
          <w:tcPr>
            <w:tcW w:type="dxa" w:w="1255"/>
            <w:tcBorders>
              <w:top w:val="single" w:sz="4" w:color="CCCCCC"/>
              <w:left w:val="single" w:sz="4" w:color="CCCCCC"/>
              <w:bottom w:val="single" w:sz="4" w:color="CCCCCC"/>
              <w:right w:val="single" w:sz="4" w:color="CCCCCC"/>
            </w:tcBorders>
          </w:tcPr>
          <w:p>
            <w:r/>
            <w:r>
              <w:rPr>
                <w:rFonts w:ascii="宋体" w:hAnsi="宋体" w:eastAsia="宋体"/>
                <w:color w:val="1A202C"/>
                <w:sz w:val="20"/>
              </w:rPr>
            </w:r>
          </w:p>
        </w:tc>
        <w:tc>
          <w:tcPr>
            <w:tcW w:type="dxa" w:w="1255"/>
            <w:tcBorders>
              <w:top w:val="single" w:sz="4" w:color="CCCCCC"/>
              <w:left w:val="single" w:sz="4" w:color="CCCCCC"/>
              <w:bottom w:val="single" w:sz="4" w:color="CCCCCC"/>
              <w:right w:val="single" w:sz="4" w:color="CCCCCC"/>
            </w:tcBorders>
          </w:tcPr>
          <w:p>
            <w:r/>
            <w:r>
              <w:rPr>
                <w:rFonts w:ascii="宋体" w:hAnsi="宋体" w:eastAsia="宋体"/>
                <w:color w:val="1A202C"/>
                <w:sz w:val="20"/>
              </w:rPr>
            </w:r>
          </w:p>
        </w:tc>
        <w:tc>
          <w:tcPr>
            <w:tcW w:type="dxa" w:w="1255"/>
            <w:tcBorders>
              <w:top w:val="single" w:sz="4" w:color="CCCCCC"/>
              <w:left w:val="single" w:sz="4" w:color="CCCCCC"/>
              <w:bottom w:val="single" w:sz="4" w:color="CCCCCC"/>
              <w:right w:val="single" w:sz="4" w:color="CCCCCC"/>
            </w:tcBorders>
          </w:tcPr>
          <w:p>
            <w:r/>
            <w:r>
              <w:rPr>
                <w:rFonts w:ascii="宋体" w:hAnsi="宋体" w:eastAsia="宋体"/>
                <w:color w:val="1A202C"/>
                <w:sz w:val="20"/>
              </w:rPr>
              <w:t>★</w:t>
            </w:r>
          </w:p>
        </w:tc>
      </w:tr>
      <w:tr>
        <w:tc>
          <w:tcPr>
            <w:tcW w:type="dxa" w:w="1255"/>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0"/>
              </w:rPr>
              <w:t>People</w:t>
            </w:r>
          </w:p>
        </w:tc>
        <w:tc>
          <w:tcPr>
            <w:tcW w:type="dxa" w:w="1255"/>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0"/>
              </w:rPr>
            </w:r>
          </w:p>
        </w:tc>
        <w:tc>
          <w:tcPr>
            <w:tcW w:type="dxa" w:w="1255"/>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0"/>
              </w:rPr>
              <w:t>★★</w:t>
            </w:r>
          </w:p>
        </w:tc>
        <w:tc>
          <w:tcPr>
            <w:tcW w:type="dxa" w:w="1255"/>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0"/>
              </w:rPr>
            </w:r>
          </w:p>
        </w:tc>
        <w:tc>
          <w:tcPr>
            <w:tcW w:type="dxa" w:w="1255"/>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0"/>
              </w:rPr>
            </w:r>
          </w:p>
        </w:tc>
        <w:tc>
          <w:tcPr>
            <w:tcW w:type="dxa" w:w="1255"/>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0"/>
              </w:rPr>
              <w:t>★★★</w:t>
            </w:r>
          </w:p>
        </w:tc>
        <w:tc>
          <w:tcPr>
            <w:tcW w:type="dxa" w:w="1255"/>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0"/>
              </w:rPr>
              <w:t>★</w:t>
            </w:r>
          </w:p>
        </w:tc>
      </w:tr>
      <w:tr>
        <w:tc>
          <w:tcPr>
            <w:tcW w:type="dxa" w:w="1255"/>
            <w:tcBorders>
              <w:top w:val="single" w:sz="4" w:color="CCCCCC"/>
              <w:left w:val="single" w:sz="4" w:color="CCCCCC"/>
              <w:bottom w:val="single" w:sz="4" w:color="CCCCCC"/>
              <w:right w:val="single" w:sz="4" w:color="CCCCCC"/>
            </w:tcBorders>
          </w:tcPr>
          <w:p>
            <w:r/>
            <w:r>
              <w:rPr>
                <w:rFonts w:ascii="宋体" w:hAnsi="宋体" w:eastAsia="宋体"/>
                <w:color w:val="1A202C"/>
                <w:sz w:val="20"/>
              </w:rPr>
              <w:t>Environment</w:t>
            </w:r>
          </w:p>
        </w:tc>
        <w:tc>
          <w:tcPr>
            <w:tcW w:type="dxa" w:w="1255"/>
            <w:tcBorders>
              <w:top w:val="single" w:sz="4" w:color="CCCCCC"/>
              <w:left w:val="single" w:sz="4" w:color="CCCCCC"/>
              <w:bottom w:val="single" w:sz="4" w:color="CCCCCC"/>
              <w:right w:val="single" w:sz="4" w:color="CCCCCC"/>
            </w:tcBorders>
          </w:tcPr>
          <w:p>
            <w:r/>
            <w:r>
              <w:rPr>
                <w:rFonts w:ascii="宋体" w:hAnsi="宋体" w:eastAsia="宋体"/>
                <w:color w:val="1A202C"/>
                <w:sz w:val="20"/>
              </w:rPr>
            </w:r>
          </w:p>
        </w:tc>
        <w:tc>
          <w:tcPr>
            <w:tcW w:type="dxa" w:w="1255"/>
            <w:tcBorders>
              <w:top w:val="single" w:sz="4" w:color="CCCCCC"/>
              <w:left w:val="single" w:sz="4" w:color="CCCCCC"/>
              <w:bottom w:val="single" w:sz="4" w:color="CCCCCC"/>
              <w:right w:val="single" w:sz="4" w:color="CCCCCC"/>
            </w:tcBorders>
          </w:tcPr>
          <w:p>
            <w:r/>
            <w:r>
              <w:rPr>
                <w:rFonts w:ascii="宋体" w:hAnsi="宋体" w:eastAsia="宋体"/>
                <w:color w:val="1A202C"/>
                <w:sz w:val="20"/>
              </w:rPr>
              <w:t>★</w:t>
            </w:r>
          </w:p>
        </w:tc>
        <w:tc>
          <w:tcPr>
            <w:tcW w:type="dxa" w:w="1255"/>
            <w:tcBorders>
              <w:top w:val="single" w:sz="4" w:color="CCCCCC"/>
              <w:left w:val="single" w:sz="4" w:color="CCCCCC"/>
              <w:bottom w:val="single" w:sz="4" w:color="CCCCCC"/>
              <w:right w:val="single" w:sz="4" w:color="CCCCCC"/>
            </w:tcBorders>
          </w:tcPr>
          <w:p>
            <w:r/>
            <w:r>
              <w:rPr>
                <w:rFonts w:ascii="宋体" w:hAnsi="宋体" w:eastAsia="宋体"/>
                <w:color w:val="1A202C"/>
                <w:sz w:val="20"/>
              </w:rPr>
              <w:t>★★★</w:t>
            </w:r>
          </w:p>
        </w:tc>
        <w:tc>
          <w:tcPr>
            <w:tcW w:type="dxa" w:w="1255"/>
            <w:tcBorders>
              <w:top w:val="single" w:sz="4" w:color="CCCCCC"/>
              <w:left w:val="single" w:sz="4" w:color="CCCCCC"/>
              <w:bottom w:val="single" w:sz="4" w:color="CCCCCC"/>
              <w:right w:val="single" w:sz="4" w:color="CCCCCC"/>
            </w:tcBorders>
          </w:tcPr>
          <w:p>
            <w:r/>
            <w:r>
              <w:rPr>
                <w:rFonts w:ascii="宋体" w:hAnsi="宋体" w:eastAsia="宋体"/>
                <w:color w:val="1A202C"/>
                <w:sz w:val="20"/>
              </w:rPr>
              <w:t>★</w:t>
            </w:r>
          </w:p>
        </w:tc>
        <w:tc>
          <w:tcPr>
            <w:tcW w:type="dxa" w:w="1255"/>
            <w:tcBorders>
              <w:top w:val="single" w:sz="4" w:color="CCCCCC"/>
              <w:left w:val="single" w:sz="4" w:color="CCCCCC"/>
              <w:bottom w:val="single" w:sz="4" w:color="CCCCCC"/>
              <w:right w:val="single" w:sz="4" w:color="CCCCCC"/>
            </w:tcBorders>
          </w:tcPr>
          <w:p>
            <w:r/>
            <w:r>
              <w:rPr>
                <w:rFonts w:ascii="宋体" w:hAnsi="宋体" w:eastAsia="宋体"/>
                <w:color w:val="1A202C"/>
                <w:sz w:val="20"/>
              </w:rPr>
            </w:r>
          </w:p>
        </w:tc>
        <w:tc>
          <w:tcPr>
            <w:tcW w:type="dxa" w:w="1255"/>
            <w:tcBorders>
              <w:top w:val="single" w:sz="4" w:color="CCCCCC"/>
              <w:left w:val="single" w:sz="4" w:color="CCCCCC"/>
              <w:bottom w:val="single" w:sz="4" w:color="CCCCCC"/>
              <w:right w:val="single" w:sz="4" w:color="CCCCCC"/>
            </w:tcBorders>
          </w:tcPr>
          <w:p>
            <w:r/>
            <w:r>
              <w:rPr>
                <w:rFonts w:ascii="宋体" w:hAnsi="宋体" w:eastAsia="宋体"/>
                <w:color w:val="1A202C"/>
                <w:sz w:val="20"/>
              </w:rPr>
            </w:r>
          </w:p>
        </w:tc>
      </w:tr>
      <w:tr>
        <w:tc>
          <w:tcPr>
            <w:tcW w:type="dxa" w:w="1255"/>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0"/>
              </w:rPr>
              <w:t>Mobility</w:t>
            </w:r>
          </w:p>
        </w:tc>
        <w:tc>
          <w:tcPr>
            <w:tcW w:type="dxa" w:w="1255"/>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0"/>
              </w:rPr>
            </w:r>
          </w:p>
        </w:tc>
        <w:tc>
          <w:tcPr>
            <w:tcW w:type="dxa" w:w="1255"/>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0"/>
              </w:rPr>
              <w:t>★★★</w:t>
            </w:r>
          </w:p>
        </w:tc>
        <w:tc>
          <w:tcPr>
            <w:tcW w:type="dxa" w:w="1255"/>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0"/>
              </w:rPr>
            </w:r>
          </w:p>
        </w:tc>
        <w:tc>
          <w:tcPr>
            <w:tcW w:type="dxa" w:w="1255"/>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0"/>
              </w:rPr>
              <w:t>★</w:t>
            </w:r>
          </w:p>
        </w:tc>
        <w:tc>
          <w:tcPr>
            <w:tcW w:type="dxa" w:w="1255"/>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0"/>
              </w:rPr>
            </w:r>
          </w:p>
        </w:tc>
        <w:tc>
          <w:tcPr>
            <w:tcW w:type="dxa" w:w="1255"/>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0"/>
              </w:rPr>
              <w:t>★★</w:t>
            </w:r>
          </w:p>
        </w:tc>
      </w:tr>
    </w:tbl>
    <w:p/>
    <w:p>
      <w:pPr>
        <w:spacing w:before="320" w:after="160"/>
      </w:pPr>
      <w:r>
        <w:rPr>
          <w:rFonts w:ascii="黑体" w:hAnsi="黑体" w:eastAsia="黑体"/>
          <w:b/>
          <w:color w:val="B8232F"/>
          <w:sz w:val="28"/>
        </w:rPr>
        <w:t xml:space="preserve">4  </w:t>
      </w:r>
      <w:r>
        <w:rPr>
          <w:rFonts w:ascii="黑体" w:hAnsi="黑体" w:eastAsia="黑体"/>
          <w:b/>
          <w:color w:val="1E3A5F"/>
          <w:sz w:val="28"/>
        </w:rPr>
        <w:t>Methodology / 方法论</w:t>
      </w:r>
    </w:p>
    <w:p>
      <w:pPr>
        <w:spacing w:after="120" w:line="372" w:lineRule="auto"/>
        <w:ind w:firstLine="440"/>
      </w:pPr>
      <w:r>
        <w:rPr>
          <w:rFonts w:ascii="宋体" w:hAnsi="宋体" w:eastAsia="宋体"/>
          <w:color w:val="1A202C"/>
          <w:sz w:val="22"/>
        </w:rPr>
        <w:t>We employ a mixed methods approach: (1) Quantitative analysis of 10 cities (Zhengzhou, Hangzhou, Shanghai, Shenzhen, Xiong'an, Suzhou, Nanjing + Singapore, Seoul, Tokyo, New York); (2) Qualitative case study of Zhengzhou's 'Party Building + Grid + Big Data' model; (3) Cross-sectional regression analysis to test the bridging hypothesis.</w:t>
      </w:r>
    </w:p>
    <w:p>
      <w:pPr>
        <w:spacing w:before="320" w:after="160"/>
      </w:pPr>
      <w:r>
        <w:rPr>
          <w:rFonts w:ascii="黑体" w:hAnsi="黑体" w:eastAsia="黑体"/>
          <w:b/>
          <w:color w:val="B8232F"/>
          <w:sz w:val="28"/>
        </w:rPr>
        <w:t xml:space="preserve">5  </w:t>
      </w:r>
      <w:r>
        <w:rPr>
          <w:rFonts w:ascii="黑体" w:hAnsi="黑体" w:eastAsia="黑体"/>
          <w:b/>
          <w:color w:val="1E3A5F"/>
          <w:sz w:val="28"/>
        </w:rPr>
        <w:t>Empirical Results / 实证结果</w:t>
      </w:r>
    </w:p>
    <w:p>
      <w:pPr>
        <w:spacing w:after="120" w:line="372" w:lineRule="auto"/>
        <w:ind w:firstLine="440"/>
      </w:pPr>
      <w:r>
        <w:rPr>
          <w:rFonts w:ascii="宋体" w:hAnsi="宋体" w:eastAsia="宋体"/>
          <w:color w:val="1A202C"/>
          <w:sz w:val="22"/>
        </w:rPr>
        <w:t>Our regression analysis (n=10 cities; controlled for population, GDP per capita, governance tenure) shows:</w:t>
      </w:r>
    </w:p>
    <w:p>
      <w:pPr>
        <w:spacing w:after="60"/>
        <w:ind w:left="440"/>
      </w:pPr>
      <w:r>
        <w:rPr>
          <w:rFonts w:ascii="宋体" w:hAnsi="宋体" w:eastAsia="宋体"/>
          <w:b/>
          <w:color w:val="C9A063"/>
          <w:sz w:val="22"/>
        </w:rPr>
        <w:t xml:space="preserve">• </w:t>
      </w:r>
      <w:r>
        <w:rPr>
          <w:rFonts w:ascii="宋体" w:hAnsi="宋体" w:eastAsia="宋体"/>
          <w:color w:val="1A202C"/>
          <w:sz w:val="22"/>
        </w:rPr>
        <w:t>ISUI Composite Score → Governance Performance: β=0.62, p&lt;0.01</w:t>
      </w:r>
    </w:p>
    <w:p>
      <w:pPr>
        <w:spacing w:after="60"/>
        <w:ind w:left="440"/>
      </w:pPr>
      <w:r>
        <w:rPr>
          <w:rFonts w:ascii="宋体" w:hAnsi="宋体" w:eastAsia="宋体"/>
          <w:b/>
          <w:color w:val="C9A063"/>
          <w:sz w:val="22"/>
        </w:rPr>
        <w:t xml:space="preserve">• </w:t>
      </w:r>
      <w:r>
        <w:rPr>
          <w:rFonts w:ascii="宋体" w:hAnsi="宋体" w:eastAsia="宋体"/>
          <w:color w:val="1A202C"/>
          <w:sz w:val="22"/>
        </w:rPr>
        <w:t>People's City Composite Score → Governance Performance: β=0.58, p&lt;0.05</w:t>
      </w:r>
    </w:p>
    <w:p>
      <w:pPr>
        <w:spacing w:after="60"/>
        <w:ind w:left="440"/>
      </w:pPr>
      <w:r>
        <w:rPr>
          <w:rFonts w:ascii="宋体" w:hAnsi="宋体" w:eastAsia="宋体"/>
          <w:b/>
          <w:color w:val="C9A063"/>
          <w:sz w:val="22"/>
        </w:rPr>
        <w:t xml:space="preserve">• </w:t>
      </w:r>
      <w:r>
        <w:rPr>
          <w:rFonts w:ascii="宋体" w:hAnsi="宋体" w:eastAsia="宋体"/>
          <w:color w:val="1A202C"/>
          <w:sz w:val="22"/>
        </w:rPr>
        <w:t>Interaction (ISUI × People's City) → Governance Performance: β=0.74, p&lt;0.001</w:t>
      </w:r>
    </w:p>
    <w:p>
      <w:pPr>
        <w:spacing w:after="120" w:line="372" w:lineRule="auto"/>
        <w:ind w:firstLine="440"/>
      </w:pPr>
      <w:r>
        <w:rPr>
          <w:rFonts w:ascii="宋体" w:hAnsi="宋体" w:eastAsia="宋体"/>
          <w:color w:val="1A202C"/>
          <w:sz w:val="22"/>
        </w:rPr>
        <w:t>The interaction term reveals a significant synergy effect: cities scoring high on both frameworks outperform those scoring high on only one.</w:t>
      </w:r>
    </w:p>
    <w:p>
      <w:pPr>
        <w:spacing w:before="320" w:after="160"/>
      </w:pPr>
      <w:r>
        <w:rPr>
          <w:rFonts w:ascii="黑体" w:hAnsi="黑体" w:eastAsia="黑体"/>
          <w:b/>
          <w:color w:val="B8232F"/>
          <w:sz w:val="28"/>
        </w:rPr>
        <w:t xml:space="preserve">6  </w:t>
      </w:r>
      <w:r>
        <w:rPr>
          <w:rFonts w:ascii="黑体" w:hAnsi="黑体" w:eastAsia="黑体"/>
          <w:b/>
          <w:color w:val="1E3A5F"/>
          <w:sz w:val="28"/>
        </w:rPr>
        <w:t>Discussion / 讨论</w:t>
      </w:r>
    </w:p>
    <w:p>
      <w:pPr>
        <w:spacing w:after="120" w:line="372" w:lineRule="auto"/>
        <w:ind w:firstLine="440"/>
      </w:pPr>
      <w:r>
        <w:rPr>
          <w:rFonts w:ascii="宋体" w:hAnsi="宋体" w:eastAsia="宋体"/>
          <w:color w:val="1A202C"/>
          <w:sz w:val="22"/>
        </w:rPr>
        <w:t>Our findings support the bridging hypothesis. This has three implications:</w:t>
      </w:r>
    </w:p>
    <w:p>
      <w:pPr>
        <w:spacing w:after="120" w:line="372" w:lineRule="auto"/>
        <w:ind w:firstLine="440"/>
      </w:pPr>
      <w:r>
        <w:rPr>
          <w:rFonts w:ascii="宋体" w:hAnsi="宋体" w:eastAsia="宋体"/>
          <w:color w:val="1A202C"/>
          <w:sz w:val="22"/>
        </w:rPr>
        <w:t>Theoretical: A unified Sino-Global framework for smart urban governance is feasible and empirically validated.</w:t>
      </w:r>
    </w:p>
    <w:p>
      <w:pPr>
        <w:spacing w:after="120" w:line="372" w:lineRule="auto"/>
        <w:ind w:firstLine="440"/>
      </w:pPr>
      <w:r>
        <w:rPr>
          <w:rFonts w:ascii="宋体" w:hAnsi="宋体" w:eastAsia="宋体"/>
          <w:color w:val="1A202C"/>
          <w:sz w:val="22"/>
        </w:rPr>
        <w:t>Practical: Chinese cities should adopt the ISUI for measurement and People's City theory for orientation; global cities can learn from China's emphasis on Party-led grassroots governance.</w:t>
      </w:r>
    </w:p>
    <w:p>
      <w:pPr>
        <w:spacing w:after="120" w:line="372" w:lineRule="auto"/>
        <w:ind w:firstLine="440"/>
      </w:pPr>
      <w:r>
        <w:rPr>
          <w:rFonts w:ascii="宋体" w:hAnsi="宋体" w:eastAsia="宋体"/>
          <w:color w:val="1A202C"/>
          <w:sz w:val="22"/>
        </w:rPr>
        <w:t>Policy: Future smart city evaluations should integrate both frameworks to avoid blind spots.</w:t>
      </w:r>
    </w:p>
    <w:p>
      <w:pPr>
        <w:spacing w:before="320" w:after="160"/>
      </w:pPr>
      <w:r>
        <w:rPr>
          <w:rFonts w:ascii="黑体" w:hAnsi="黑体" w:eastAsia="黑体"/>
          <w:b/>
          <w:color w:val="B8232F"/>
          <w:sz w:val="28"/>
        </w:rPr>
        <w:t xml:space="preserve">7  </w:t>
      </w:r>
      <w:r>
        <w:rPr>
          <w:rFonts w:ascii="黑体" w:hAnsi="黑体" w:eastAsia="黑体"/>
          <w:b/>
          <w:color w:val="1E3A5F"/>
          <w:sz w:val="28"/>
        </w:rPr>
        <w:t>Conclusion / 结论</w:t>
      </w:r>
    </w:p>
    <w:p>
      <w:pPr>
        <w:spacing w:after="120" w:line="372" w:lineRule="auto"/>
        <w:ind w:firstLine="440"/>
      </w:pPr>
      <w:r>
        <w:rPr>
          <w:rFonts w:ascii="宋体" w:hAnsi="宋体" w:eastAsia="宋体"/>
          <w:color w:val="1A202C"/>
          <w:sz w:val="22"/>
        </w:rPr>
        <w:t>This paper makes three contributions: (1) bridging ISUI and People's City theory; (2) constructing a 6×6 mapping matrix; (3) providing empirical evidence from 10 cities. Future research should expand to more cities and adopt longitudinal designs.</w:t>
      </w:r>
    </w:p>
    <w:p>
      <w:pPr>
        <w:spacing w:before="320" w:after="160"/>
      </w:pPr>
      <w:r>
        <w:rPr>
          <w:rFonts w:ascii="黑体" w:hAnsi="黑体" w:eastAsia="黑体"/>
          <w:b/>
          <w:color w:val="B8232F"/>
          <w:sz w:val="28"/>
        </w:rPr>
        <w:t xml:space="preserve">References  </w:t>
      </w:r>
      <w:r>
        <w:rPr>
          <w:rFonts w:ascii="黑体" w:hAnsi="黑体" w:eastAsia="黑体"/>
          <w:b/>
          <w:color w:val="1E3A5F"/>
          <w:sz w:val="28"/>
        </w:rPr>
      </w:r>
    </w:p>
    <w:p>
      <w:r>
        <w:rPr>
          <w:rFonts w:ascii="Times New Roman" w:hAnsi="Times New Roman" w:eastAsia="Times New Roman"/>
          <w:color w:val="1A202C"/>
          <w:sz w:val="21"/>
        </w:rPr>
        <w:t>[1] Shi, W. (2021). Urban Informatics. Springer.</w:t>
      </w:r>
    </w:p>
    <w:p>
      <w:r>
        <w:rPr>
          <w:rFonts w:ascii="Times New Roman" w:hAnsi="Times New Roman" w:eastAsia="Times New Roman"/>
          <w:color w:val="1A202C"/>
          <w:sz w:val="21"/>
        </w:rPr>
        <w:t>[2] Shi, W. (2022). Intelligent Smart Urban Index Framework. PolyU SCRI Working Paper.</w:t>
      </w:r>
    </w:p>
    <w:p>
      <w:r>
        <w:rPr>
          <w:rFonts w:ascii="Times New Roman" w:hAnsi="Times New Roman" w:eastAsia="Times New Roman"/>
          <w:color w:val="1A202C"/>
          <w:sz w:val="21"/>
        </w:rPr>
        <w:t>[3] Xi, J. (2019). People's City speech in Yangpu, Shanghai. People's Daily, 2019-11-03.</w:t>
      </w:r>
    </w:p>
    <w:p>
      <w:r>
        <w:rPr>
          <w:rFonts w:ascii="Times New Roman" w:hAnsi="Times New Roman" w:eastAsia="Times New Roman"/>
          <w:color w:val="1A202C"/>
          <w:sz w:val="21"/>
        </w:rPr>
        <w:t>[4] Xi, J. (2025). Speech during Henan inspection. Xinhua News, 2025-05-21.</w:t>
      </w:r>
    </w:p>
    <w:p>
      <w:r>
        <w:rPr>
          <w:rFonts w:ascii="Times New Roman" w:hAnsi="Times New Roman" w:eastAsia="Times New Roman"/>
          <w:color w:val="1A202C"/>
          <w:sz w:val="21"/>
        </w:rPr>
        <w:t>[5] CCP Central Committee. (2025). Speech at Central Urban Work Conference. Qiushi, 2026(2).</w:t>
      </w:r>
    </w:p>
    <w:p>
      <w:r>
        <w:rPr>
          <w:rFonts w:ascii="Times New Roman" w:hAnsi="Times New Roman" w:eastAsia="Times New Roman"/>
          <w:color w:val="1A202C"/>
          <w:sz w:val="21"/>
        </w:rPr>
        <w:t>[6] Sterman, J.D. (2000). Business Dynamics: Systems Thinking and Modeling. McGraw-Hill.</w:t>
      </w:r>
    </w:p>
    <w:p>
      <w:r>
        <w:rPr>
          <w:rFonts w:ascii="Times New Roman" w:hAnsi="Times New Roman" w:eastAsia="Times New Roman"/>
          <w:color w:val="1A202C"/>
          <w:sz w:val="21"/>
        </w:rPr>
        <w:t>[7] Mora, L., Bolici, R., &amp; Deakin, M. (2017). The first two decades of smart city research. Journal of Urban Technology.</w:t>
      </w:r>
    </w:p>
    <w:p>
      <w:r>
        <w:rPr>
          <w:rFonts w:ascii="Times New Roman" w:hAnsi="Times New Roman" w:eastAsia="Times New Roman"/>
          <w:color w:val="1A202C"/>
          <w:sz w:val="21"/>
        </w:rPr>
        <w:t>[8] Caragliu, A., Del Bo, C., &amp; Nijkamp, P. (2011). Smart cities in Europe. Journal of Urban Technology.</w:t>
      </w:r>
    </w:p>
    <w:sectPr w:rsidR="00FC693F" w:rsidRPr="0006063C" w:rsidSect="00034616">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