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200"/>
        <w:jc w:val="center"/>
      </w:pPr>
      <w:r>
        <w:rPr>
          <w:rFonts w:ascii="黑体" w:hAnsi="黑体" w:eastAsia="黑体"/>
          <w:b/>
          <w:color w:val="1E3A5F"/>
          <w:sz w:val="36"/>
        </w:rPr>
        <w:t>「智慧城市与人民城市」联合实验室合作方案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PolyU SCRI × 内地高校 · Joint Lab Cooperation Proposal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拟设立：港理工 SCRI + 内地高校（清华公管/人大公管/河南大学）联合实验室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时间：2026 年下半年启动</w:t>
      </w:r>
    </w:p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01  </w:t>
      </w:r>
      <w:r>
        <w:rPr>
          <w:rFonts w:ascii="黑体" w:hAnsi="黑体" w:eastAsia="黑体"/>
          <w:b/>
          <w:color w:val="1E3A5F"/>
          <w:sz w:val="28"/>
        </w:rPr>
        <w:t>成立背景与意义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在习近平总书记 2025 年 5 月河南考察重要讲话精神指引下，依托港理工大学智慧城市研究院（SCRI）的 ISUI 智慧城市指数研究基础，结合内地高校在公共管理领域的优势，成立「智慧城市与人民城市」联合实验室，对接国家治理体系和治理能力现代化战略需求。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02  </w:t>
      </w:r>
      <w:r>
        <w:rPr>
          <w:rFonts w:ascii="黑体" w:hAnsi="黑体" w:eastAsia="黑体"/>
          <w:b/>
          <w:color w:val="1E3A5F"/>
          <w:sz w:val="28"/>
        </w:rPr>
        <w:t>实验室定位与目标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（一）定位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粤港澳大湾区+内地协同的智慧城市治理国家级研究平台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ISUI 智慧城市指数中国应用研究中心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习近平人民城市理论实践研究高地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国际 SSCI 期刊持续发表的学术孵化器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（二）5 年目标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6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6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2027</w:t>
            </w:r>
          </w:p>
        </w:tc>
        <w:tc>
          <w:tcPr>
            <w:tcW w:type="dxa" w:w="146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2028</w:t>
            </w:r>
          </w:p>
        </w:tc>
        <w:tc>
          <w:tcPr>
            <w:tcW w:type="dxa" w:w="146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2029</w:t>
            </w:r>
          </w:p>
        </w:tc>
        <w:tc>
          <w:tcPr>
            <w:tcW w:type="dxa" w:w="146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2030</w:t>
            </w:r>
          </w:p>
        </w:tc>
        <w:tc>
          <w:tcPr>
            <w:tcW w:type="dxa" w:w="146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2031</w:t>
            </w:r>
          </w:p>
        </w:tc>
      </w:tr>
      <w:tr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SSCI/SCI 论文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10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12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15</w:t>
            </w:r>
          </w:p>
        </w:tc>
      </w:tr>
      <w:tr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专著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</w:tr>
      <w:tr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智库报告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4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10</w:t>
            </w:r>
          </w:p>
        </w:tc>
      </w:tr>
      <w:tr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国际会议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4</w:t>
            </w:r>
          </w:p>
        </w:tc>
      </w:tr>
      <w:tr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博士培养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5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</w:t>
            </w:r>
          </w:p>
        </w:tc>
      </w:tr>
      <w:tr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合作项目金额（万）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300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600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1,200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2,000</w:t>
            </w:r>
          </w:p>
        </w:tc>
        <w:tc>
          <w:tcPr>
            <w:tcW w:type="dxa" w:w="14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3,000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03  </w:t>
      </w:r>
      <w:r>
        <w:rPr>
          <w:rFonts w:ascii="黑体" w:hAnsi="黑体" w:eastAsia="黑体"/>
          <w:b/>
          <w:color w:val="1E3A5F"/>
          <w:sz w:val="28"/>
        </w:rPr>
        <w:t>组织架构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（一）联合主任制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港理工方主任：史文中 教授（PolyU SCRI 主任）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内地方主任：[内地高校院士/资深教授]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（二）研究中心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ISUI 测量与方法学研究中心（港理工主导）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人民城市理论与实践研究中心（内地主导）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城市治理科技应用中心（联合）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国际比较与对话中心（联合）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（三）核心团队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背景要求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联合主任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学术地位 · 重大课题主持人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副主任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正教授级 · 实操能力强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研究员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8-10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副教授至教授 · 国际期刊作者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博士后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5-8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海外名校或港校博士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博士生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10-15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联合培养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合计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27-37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—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04  </w:t>
      </w:r>
      <w:r>
        <w:rPr>
          <w:rFonts w:ascii="黑体" w:hAnsi="黑体" w:eastAsia="黑体"/>
          <w:b/>
          <w:color w:val="1E3A5F"/>
          <w:sz w:val="28"/>
        </w:rPr>
        <w:t>重点研究方向（5 年规划）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重点方向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预期产出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2027 Y1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ISUI×People's City 桥接理论 + 10 城对标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F1 论文发表 + 1 本英文专著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2028 Y2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高效能治理系统动力学模型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 篇 SSCI + 1 本中文专著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2029 Y3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AI 治理诊断方法论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4 篇 SCI/SSCI + 智库报告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2030 Y4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粤港澳大湾区与内地比较治理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5 篇国际期刊 + 国际会议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2031 Y5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全球治理科技话语权建设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 篇 SSCI + 港中学术对话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05  </w:t>
      </w:r>
      <w:r>
        <w:rPr>
          <w:rFonts w:ascii="黑体" w:hAnsi="黑体" w:eastAsia="黑体"/>
          <w:b/>
          <w:color w:val="1E3A5F"/>
          <w:sz w:val="28"/>
        </w:rPr>
        <w:t>经费与资助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金额（5 年合计·万元）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港理工 SCRI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1,500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人员+设备+学术活动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内地合作高校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1,500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人员+场地+课题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国家自然科学基金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1,000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重大项目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国家社科基金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800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重大项目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香港 ITF/RGC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600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国际合作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企业横向（HENAN-ROADS 等）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2,000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工程化应用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合计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7,400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5 年总投入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06  </w:t>
      </w:r>
      <w:r>
        <w:rPr>
          <w:rFonts w:ascii="黑体" w:hAnsi="黑体" w:eastAsia="黑体"/>
          <w:b/>
          <w:color w:val="1E3A5F"/>
          <w:sz w:val="28"/>
        </w:rPr>
        <w:t>实施路径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Phase 1（2026 H2）：签约 · 揭牌 · 招聘核心团队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Phase 2（2027）：3 篇 SSCI · 1 本专著 · ISUI×PeoplesCity 框架确立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Phase 3（2028-2029）：扩展研究 · 启动博士培养 · 智库报告系列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Phase 4（2030-2031）：国际话语权 · 中国治理科学走向世界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