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" w:after="200"/>
        <w:jc w:val="center"/>
      </w:pPr>
      <w:r>
        <w:rPr>
          <w:rFonts w:ascii="黑体" w:hAnsi="黑体" w:eastAsia="黑体"/>
          <w:b/>
          <w:color w:val="1E3A5F"/>
          <w:sz w:val="36"/>
        </w:rPr>
        <w:t>国际期刊投稿计划 · 5 年 12 篇 SSCI/SCI 矩阵</w:t>
      </w:r>
    </w:p>
    <w:p>
      <w:pPr>
        <w:jc w:val="center"/>
      </w:pPr>
      <w:r>
        <w:rPr>
          <w:rFonts w:ascii="宋体" w:hAnsi="宋体" w:eastAsia="宋体"/>
          <w:color w:val="718096"/>
          <w:sz w:val="24"/>
        </w:rPr>
        <w:t>International Publication Plan · 5-Year 12-Paper SSCI/SCI Strategy</w:t>
      </w:r>
    </w:p>
    <w:p>
      <w:pPr>
        <w:jc w:val="center"/>
      </w:pPr>
      <w:r>
        <w:rPr>
          <w:rFonts w:ascii="宋体" w:hAnsi="宋体" w:eastAsia="宋体"/>
          <w:color w:val="1A202C"/>
          <w:sz w:val="21"/>
        </w:rPr>
        <w:t>主导：HENAN-ROADS × PolyU SCRI</w:t>
      </w:r>
    </w:p>
    <w:p>
      <w:pPr>
        <w:jc w:val="center"/>
      </w:pPr>
      <w:r>
        <w:rPr>
          <w:rFonts w:ascii="宋体" w:hAnsi="宋体" w:eastAsia="宋体"/>
          <w:color w:val="1A202C"/>
          <w:sz w:val="21"/>
        </w:rPr>
        <w:t>投稿期刊：Q1 Cities / Habitat International / Urban Studies / Sustainable Cities and Society 等</w:t>
      </w:r>
    </w:p>
    <w:p/>
    <w:p>
      <w:pPr>
        <w:spacing w:before="320" w:after="160"/>
      </w:pPr>
      <w:r>
        <w:rPr>
          <w:rFonts w:ascii="黑体" w:hAnsi="黑体" w:eastAsia="黑体"/>
          <w:b/>
          <w:color w:val="B8232F"/>
          <w:sz w:val="28"/>
        </w:rPr>
        <w:t xml:space="preserve">01  </w:t>
      </w:r>
      <w:r>
        <w:rPr>
          <w:rFonts w:ascii="黑体" w:hAnsi="黑体" w:eastAsia="黑体"/>
          <w:b/>
          <w:color w:val="1E3A5F"/>
          <w:sz w:val="28"/>
        </w:rPr>
        <w:t>5 年发表矩阵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197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年度</w:t>
            </w:r>
          </w:p>
        </w:tc>
        <w:tc>
          <w:tcPr>
            <w:tcW w:type="dxa" w:w="2197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SSCI 数量</w:t>
            </w:r>
          </w:p>
        </w:tc>
        <w:tc>
          <w:tcPr>
            <w:tcW w:type="dxa" w:w="2197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SCI 数量</w:t>
            </w:r>
          </w:p>
        </w:tc>
        <w:tc>
          <w:tcPr>
            <w:tcW w:type="dxa" w:w="2197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核心目标期刊</w:t>
            </w:r>
          </w:p>
        </w:tc>
      </w:tr>
      <w:tr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2027 Y1</w:t>
            </w:r>
          </w:p>
        </w:tc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</w:t>
            </w:r>
          </w:p>
        </w:tc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1</w:t>
            </w:r>
          </w:p>
        </w:tc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Cities (Q1) · Urban Studies (Q1) · IEEE Smart Cities</w:t>
            </w:r>
          </w:p>
        </w:tc>
      </w:tr>
      <w:tr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2028 Y2</w:t>
            </w:r>
          </w:p>
        </w:tc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3</w:t>
            </w:r>
          </w:p>
        </w:tc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1</w:t>
            </w:r>
          </w:p>
        </w:tc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Habitat International (Q1) · Sustainable Cities (Q1) · Computers Env</w:t>
            </w:r>
          </w:p>
        </w:tc>
      </w:tr>
      <w:tr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2029 Y3</w:t>
            </w:r>
          </w:p>
        </w:tc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</w:t>
            </w:r>
          </w:p>
        </w:tc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1</w:t>
            </w:r>
          </w:p>
        </w:tc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Journal of Urban Affairs · Public Administration Review</w:t>
            </w:r>
          </w:p>
        </w:tc>
      </w:tr>
      <w:tr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2030 Y4</w:t>
            </w:r>
          </w:p>
        </w:tc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</w:t>
            </w:r>
          </w:p>
        </w:tc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0</w:t>
            </w:r>
          </w:p>
        </w:tc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Smart Cities (Q1) · Cities · Habitat Int'l</w:t>
            </w:r>
          </w:p>
        </w:tc>
      </w:tr>
      <w:tr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2031 Y5</w:t>
            </w:r>
          </w:p>
        </w:tc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1</w:t>
            </w:r>
          </w:p>
        </w:tc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1</w:t>
            </w:r>
          </w:p>
        </w:tc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Public Administration Review · Sustainability</w:t>
            </w:r>
          </w:p>
        </w:tc>
      </w:tr>
      <w:tr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合计</w:t>
            </w:r>
          </w:p>
        </w:tc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10</w:t>
            </w:r>
          </w:p>
        </w:tc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4</w:t>
            </w:r>
          </w:p>
        </w:tc>
        <w:tc>
          <w:tcPr>
            <w:tcW w:type="dxa" w:w="2197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14 篇高质量国际发表</w:t>
            </w:r>
          </w:p>
        </w:tc>
      </w:tr>
    </w:tbl>
    <w:p/>
    <w:p>
      <w:pPr>
        <w:spacing w:before="320" w:after="160"/>
      </w:pPr>
      <w:r>
        <w:rPr>
          <w:rFonts w:ascii="黑体" w:hAnsi="黑体" w:eastAsia="黑体"/>
          <w:b/>
          <w:color w:val="B8232F"/>
          <w:sz w:val="28"/>
        </w:rPr>
        <w:t xml:space="preserve">02  </w:t>
      </w:r>
      <w:r>
        <w:rPr>
          <w:rFonts w:ascii="黑体" w:hAnsi="黑体" w:eastAsia="黑体"/>
          <w:b/>
          <w:color w:val="1E3A5F"/>
          <w:sz w:val="28"/>
        </w:rPr>
        <w:t>12 篇具体规划</w:t>
      </w:r>
    </w:p>
    <w:p>
      <w:pPr>
        <w:spacing w:after="80"/>
        <w:ind w:left="440"/>
      </w:pPr>
      <w:r>
        <w:rPr>
          <w:rFonts w:ascii="宋体" w:hAnsi="宋体" w:eastAsia="宋体"/>
          <w:b/>
          <w:color w:val="C9A063"/>
          <w:sz w:val="22"/>
        </w:rPr>
        <w:t xml:space="preserve">01. </w:t>
      </w:r>
      <w:r>
        <w:rPr>
          <w:rFonts w:ascii="宋体" w:hAnsi="宋体" w:eastAsia="宋体"/>
          <w:b/>
          <w:color w:val="1E3A5F"/>
          <w:sz w:val="22"/>
        </w:rPr>
        <w:t>《F1 Bridging ISUI and People's City》</w:t>
      </w:r>
      <w:r>
        <w:rPr>
          <w:rFonts w:ascii="宋体" w:hAnsi="宋体" w:eastAsia="宋体"/>
          <w:color w:val="1A202C"/>
          <w:sz w:val="21"/>
        </w:rPr>
        <w:t xml:space="preserve"> · 投 Cities (Q1, IF 6.7) · 时间 2027.06</w:t>
      </w:r>
    </w:p>
    <w:p>
      <w:pPr>
        <w:spacing w:after="80"/>
        <w:ind w:left="440"/>
      </w:pPr>
      <w:r>
        <w:rPr>
          <w:rFonts w:ascii="宋体" w:hAnsi="宋体" w:eastAsia="宋体"/>
          <w:b/>
          <w:color w:val="C9A063"/>
          <w:sz w:val="22"/>
        </w:rPr>
        <w:t xml:space="preserve">02. </w:t>
      </w:r>
      <w:r>
        <w:rPr>
          <w:rFonts w:ascii="宋体" w:hAnsi="宋体" w:eastAsia="宋体"/>
          <w:b/>
          <w:color w:val="1E3A5F"/>
          <w:sz w:val="22"/>
        </w:rPr>
        <w:t>《Three-Network Convergence Governance: A Zhengzhou Case》</w:t>
      </w:r>
      <w:r>
        <w:rPr>
          <w:rFonts w:ascii="宋体" w:hAnsi="宋体" w:eastAsia="宋体"/>
          <w:color w:val="1A202C"/>
          <w:sz w:val="21"/>
        </w:rPr>
        <w:t xml:space="preserve"> · 投 Urban Studies (Q1) · 时间 2027.09</w:t>
      </w:r>
    </w:p>
    <w:p>
      <w:pPr>
        <w:spacing w:after="80"/>
        <w:ind w:left="440"/>
      </w:pPr>
      <w:r>
        <w:rPr>
          <w:rFonts w:ascii="宋体" w:hAnsi="宋体" w:eastAsia="宋体"/>
          <w:b/>
          <w:color w:val="C9A063"/>
          <w:sz w:val="22"/>
        </w:rPr>
        <w:t xml:space="preserve">03. </w:t>
      </w:r>
      <w:r>
        <w:rPr>
          <w:rFonts w:ascii="宋体" w:hAnsi="宋体" w:eastAsia="宋体"/>
          <w:b/>
          <w:color w:val="1E3A5F"/>
          <w:sz w:val="22"/>
        </w:rPr>
        <w:t>《Smart City Brain 3.0: A Hangzhou Experiment》</w:t>
      </w:r>
      <w:r>
        <w:rPr>
          <w:rFonts w:ascii="宋体" w:hAnsi="宋体" w:eastAsia="宋体"/>
          <w:color w:val="1A202C"/>
          <w:sz w:val="21"/>
        </w:rPr>
        <w:t xml:space="preserve"> · 投 Sustainable Cities and Society (Q1) · 时间 2027.12</w:t>
      </w:r>
    </w:p>
    <w:p>
      <w:pPr>
        <w:spacing w:after="80"/>
        <w:ind w:left="440"/>
      </w:pPr>
      <w:r>
        <w:rPr>
          <w:rFonts w:ascii="宋体" w:hAnsi="宋体" w:eastAsia="宋体"/>
          <w:b/>
          <w:color w:val="C9A063"/>
          <w:sz w:val="22"/>
        </w:rPr>
        <w:t xml:space="preserve">04. </w:t>
      </w:r>
      <w:r>
        <w:rPr>
          <w:rFonts w:ascii="宋体" w:hAnsi="宋体" w:eastAsia="宋体"/>
          <w:b/>
          <w:color w:val="1E3A5F"/>
          <w:sz w:val="22"/>
        </w:rPr>
        <w:t>《People's City Index: Operationalizing Xi's Concept》</w:t>
      </w:r>
      <w:r>
        <w:rPr>
          <w:rFonts w:ascii="宋体" w:hAnsi="宋体" w:eastAsia="宋体"/>
          <w:color w:val="1A202C"/>
          <w:sz w:val="21"/>
        </w:rPr>
        <w:t xml:space="preserve"> · 投 Habitat International (Q1) · 时间 2028.03</w:t>
      </w:r>
    </w:p>
    <w:p>
      <w:pPr>
        <w:spacing w:after="80"/>
        <w:ind w:left="440"/>
      </w:pPr>
      <w:r>
        <w:rPr>
          <w:rFonts w:ascii="宋体" w:hAnsi="宋体" w:eastAsia="宋体"/>
          <w:b/>
          <w:color w:val="C9A063"/>
          <w:sz w:val="22"/>
        </w:rPr>
        <w:t xml:space="preserve">05. </w:t>
      </w:r>
      <w:r>
        <w:rPr>
          <w:rFonts w:ascii="宋体" w:hAnsi="宋体" w:eastAsia="宋体"/>
          <w:b/>
          <w:color w:val="1E3A5F"/>
          <w:sz w:val="22"/>
        </w:rPr>
        <w:t>《System Dynamics for Urban Governance: The HENAN-ROADS Approach》</w:t>
      </w:r>
      <w:r>
        <w:rPr>
          <w:rFonts w:ascii="宋体" w:hAnsi="宋体" w:eastAsia="宋体"/>
          <w:color w:val="1A202C"/>
          <w:sz w:val="21"/>
        </w:rPr>
        <w:t xml:space="preserve"> · 投 Cities · 时间 2028.06</w:t>
      </w:r>
    </w:p>
    <w:p>
      <w:pPr>
        <w:spacing w:after="80"/>
        <w:ind w:left="440"/>
      </w:pPr>
      <w:r>
        <w:rPr>
          <w:rFonts w:ascii="宋体" w:hAnsi="宋体" w:eastAsia="宋体"/>
          <w:b/>
          <w:color w:val="C9A063"/>
          <w:sz w:val="22"/>
        </w:rPr>
        <w:t xml:space="preserve">06. </w:t>
      </w:r>
      <w:r>
        <w:rPr>
          <w:rFonts w:ascii="宋体" w:hAnsi="宋体" w:eastAsia="宋体"/>
          <w:b/>
          <w:color w:val="1E3A5F"/>
          <w:sz w:val="22"/>
        </w:rPr>
        <w:t>《Comparing China's 7 Cities and Singapore's Smart Nation》</w:t>
      </w:r>
      <w:r>
        <w:rPr>
          <w:rFonts w:ascii="宋体" w:hAnsi="宋体" w:eastAsia="宋体"/>
          <w:color w:val="1A202C"/>
          <w:sz w:val="21"/>
        </w:rPr>
        <w:t xml:space="preserve"> · 投 Urban Studies · 时间 2028.09</w:t>
      </w:r>
    </w:p>
    <w:p>
      <w:pPr>
        <w:spacing w:after="80"/>
        <w:ind w:left="440"/>
      </w:pPr>
      <w:r>
        <w:rPr>
          <w:rFonts w:ascii="宋体" w:hAnsi="宋体" w:eastAsia="宋体"/>
          <w:b/>
          <w:color w:val="C9A063"/>
          <w:sz w:val="22"/>
        </w:rPr>
        <w:t xml:space="preserve">07. </w:t>
      </w:r>
      <w:r>
        <w:rPr>
          <w:rFonts w:ascii="宋体" w:hAnsi="宋体" w:eastAsia="宋体"/>
          <w:b/>
          <w:color w:val="1E3A5F"/>
          <w:sz w:val="22"/>
        </w:rPr>
        <w:t>《AI in Governance: An Experimental Study》</w:t>
      </w:r>
      <w:r>
        <w:rPr>
          <w:rFonts w:ascii="宋体" w:hAnsi="宋体" w:eastAsia="宋体"/>
          <w:color w:val="1A202C"/>
          <w:sz w:val="21"/>
        </w:rPr>
        <w:t xml:space="preserve"> · 投 Public Administration Review · 时间 2028.12</w:t>
      </w:r>
    </w:p>
    <w:p>
      <w:pPr>
        <w:spacing w:after="80"/>
        <w:ind w:left="440"/>
      </w:pPr>
      <w:r>
        <w:rPr>
          <w:rFonts w:ascii="宋体" w:hAnsi="宋体" w:eastAsia="宋体"/>
          <w:b/>
          <w:color w:val="C9A063"/>
          <w:sz w:val="22"/>
        </w:rPr>
        <w:t xml:space="preserve">08. </w:t>
      </w:r>
      <w:r>
        <w:rPr>
          <w:rFonts w:ascii="宋体" w:hAnsi="宋体" w:eastAsia="宋体"/>
          <w:b/>
          <w:color w:val="1E3A5F"/>
          <w:sz w:val="22"/>
        </w:rPr>
        <w:t>《Resilient Cities: The 6-Target Framework Applied》</w:t>
      </w:r>
      <w:r>
        <w:rPr>
          <w:rFonts w:ascii="宋体" w:hAnsi="宋体" w:eastAsia="宋体"/>
          <w:color w:val="1A202C"/>
          <w:sz w:val="21"/>
        </w:rPr>
        <w:t xml:space="preserve"> · 投 Habitat International · 时间 2029.06</w:t>
      </w:r>
    </w:p>
    <w:p>
      <w:pPr>
        <w:spacing w:after="80"/>
        <w:ind w:left="440"/>
      </w:pPr>
      <w:r>
        <w:rPr>
          <w:rFonts w:ascii="宋体" w:hAnsi="宋体" w:eastAsia="宋体"/>
          <w:b/>
          <w:color w:val="C9A063"/>
          <w:sz w:val="22"/>
        </w:rPr>
        <w:t xml:space="preserve">09. </w:t>
      </w:r>
      <w:r>
        <w:rPr>
          <w:rFonts w:ascii="宋体" w:hAnsi="宋体" w:eastAsia="宋体"/>
          <w:b/>
          <w:color w:val="1E3A5F"/>
          <w:sz w:val="22"/>
        </w:rPr>
        <w:t>《Innovation Cities in China: A Multi-Case Analysis》</w:t>
      </w:r>
      <w:r>
        <w:rPr>
          <w:rFonts w:ascii="宋体" w:hAnsi="宋体" w:eastAsia="宋体"/>
          <w:color w:val="1A202C"/>
          <w:sz w:val="21"/>
        </w:rPr>
        <w:t xml:space="preserve"> · 投 Cities · 时间 2029.09</w:t>
      </w:r>
    </w:p>
    <w:p>
      <w:pPr>
        <w:spacing w:after="80"/>
        <w:ind w:left="440"/>
      </w:pPr>
      <w:r>
        <w:rPr>
          <w:rFonts w:ascii="宋体" w:hAnsi="宋体" w:eastAsia="宋体"/>
          <w:b/>
          <w:color w:val="C9A063"/>
          <w:sz w:val="22"/>
        </w:rPr>
        <w:t xml:space="preserve">10. </w:t>
      </w:r>
      <w:r>
        <w:rPr>
          <w:rFonts w:ascii="宋体" w:hAnsi="宋体" w:eastAsia="宋体"/>
          <w:b/>
          <w:color w:val="1E3A5F"/>
          <w:sz w:val="22"/>
        </w:rPr>
        <w:t>《Digital Twin and Urban Governance》</w:t>
      </w:r>
      <w:r>
        <w:rPr>
          <w:rFonts w:ascii="宋体" w:hAnsi="宋体" w:eastAsia="宋体"/>
          <w:color w:val="1A202C"/>
          <w:sz w:val="21"/>
        </w:rPr>
        <w:t xml:space="preserve"> · 投 Sustainable Cities and Society · 时间 2030.03</w:t>
      </w:r>
    </w:p>
    <w:p>
      <w:pPr>
        <w:spacing w:after="80"/>
        <w:ind w:left="440"/>
      </w:pPr>
      <w:r>
        <w:rPr>
          <w:rFonts w:ascii="宋体" w:hAnsi="宋体" w:eastAsia="宋体"/>
          <w:b/>
          <w:color w:val="C9A063"/>
          <w:sz w:val="22"/>
        </w:rPr>
        <w:t xml:space="preserve">11. </w:t>
      </w:r>
      <w:r>
        <w:rPr>
          <w:rFonts w:ascii="宋体" w:hAnsi="宋体" w:eastAsia="宋体"/>
          <w:b/>
          <w:color w:val="1E3A5F"/>
          <w:sz w:val="22"/>
        </w:rPr>
        <w:t>《ISUI 2.0: An Updated Framework》</w:t>
      </w:r>
      <w:r>
        <w:rPr>
          <w:rFonts w:ascii="宋体" w:hAnsi="宋体" w:eastAsia="宋体"/>
          <w:color w:val="1A202C"/>
          <w:sz w:val="21"/>
        </w:rPr>
        <w:t xml:space="preserve"> · 投 Smart Cities (Q1) · 时间 2030.09</w:t>
      </w:r>
    </w:p>
    <w:p>
      <w:pPr>
        <w:spacing w:after="80"/>
        <w:ind w:left="440"/>
      </w:pPr>
      <w:r>
        <w:rPr>
          <w:rFonts w:ascii="宋体" w:hAnsi="宋体" w:eastAsia="宋体"/>
          <w:b/>
          <w:color w:val="C9A063"/>
          <w:sz w:val="22"/>
        </w:rPr>
        <w:t xml:space="preserve">12. </w:t>
      </w:r>
      <w:r>
        <w:rPr>
          <w:rFonts w:ascii="宋体" w:hAnsi="宋体" w:eastAsia="宋体"/>
          <w:b/>
          <w:color w:val="1E3A5F"/>
          <w:sz w:val="22"/>
        </w:rPr>
        <w:t>《The Sino-Global Urban Governance Discourse》</w:t>
      </w:r>
      <w:r>
        <w:rPr>
          <w:rFonts w:ascii="宋体" w:hAnsi="宋体" w:eastAsia="宋体"/>
          <w:color w:val="1A202C"/>
          <w:sz w:val="21"/>
        </w:rPr>
        <w:t xml:space="preserve"> · 投 Public Administration Review · 时间 2031.03</w:t>
      </w:r>
    </w:p>
    <w:p>
      <w:pPr>
        <w:spacing w:before="320" w:after="160"/>
      </w:pPr>
      <w:r>
        <w:rPr>
          <w:rFonts w:ascii="黑体" w:hAnsi="黑体" w:eastAsia="黑体"/>
          <w:b/>
          <w:color w:val="B8232F"/>
          <w:sz w:val="28"/>
        </w:rPr>
        <w:t xml:space="preserve">03  </w:t>
      </w:r>
      <w:r>
        <w:rPr>
          <w:rFonts w:ascii="黑体" w:hAnsi="黑体" w:eastAsia="黑体"/>
          <w:b/>
          <w:color w:val="1E3A5F"/>
          <w:sz w:val="28"/>
        </w:rPr>
        <w:t>撰写分工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929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责任人</w:t>
            </w:r>
          </w:p>
        </w:tc>
        <w:tc>
          <w:tcPr>
            <w:tcW w:type="dxa" w:w="2929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主撰篇数</w:t>
            </w:r>
          </w:p>
        </w:tc>
        <w:tc>
          <w:tcPr>
            <w:tcW w:type="dxa" w:w="2929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主导研究方向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史文中（通讯）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12（全部署名）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ISUI 测量学 + 全程学术指导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戴亦乐（共同一作）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4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系统动力学 + 政策实证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[内地高校教授]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3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案例研究 + 比较城市学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博士后/博士生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5（共同作者）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数据采集 + 分析</w:t>
            </w:r>
          </w:p>
        </w:tc>
      </w:tr>
    </w:tbl>
    <w:p/>
    <w:p>
      <w:pPr>
        <w:spacing w:before="320" w:after="160"/>
      </w:pPr>
      <w:r>
        <w:rPr>
          <w:rFonts w:ascii="黑体" w:hAnsi="黑体" w:eastAsia="黑体"/>
          <w:b/>
          <w:color w:val="B8232F"/>
          <w:sz w:val="28"/>
        </w:rPr>
        <w:t xml:space="preserve">04  </w:t>
      </w:r>
      <w:r>
        <w:rPr>
          <w:rFonts w:ascii="黑体" w:hAnsi="黑体" w:eastAsia="黑体"/>
          <w:b/>
          <w:color w:val="1E3A5F"/>
          <w:sz w:val="28"/>
        </w:rPr>
        <w:t>国际会议同步发表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929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会议</w:t>
            </w:r>
          </w:p>
        </w:tc>
        <w:tc>
          <w:tcPr>
            <w:tcW w:type="dxa" w:w="2929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929"/>
            <w:shd w:val="clear" w:color="auto" w:fill="1E3A5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AAG Annual Meeting 2027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2027.04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Bridging ISUI and People's City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ICA Conference 2027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2027.07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Smart City Brain Comparison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URBAN21 Singapore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2028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Sino-Global Framework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ESRI UC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2028.07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8F8F5"/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GIS-based Urban Analysis</w:t>
            </w:r>
          </w:p>
        </w:tc>
      </w:tr>
      <w:tr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ISA RC21 World Forum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2029</w:t>
            </w:r>
          </w:p>
        </w:tc>
        <w:tc>
          <w:tcPr>
            <w:tcW w:type="dxa" w:w="2929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宋体" w:hAnsi="宋体" w:eastAsia="宋体"/>
                <w:color w:val="1A202C"/>
                <w:sz w:val="20"/>
              </w:rPr>
              <w:t>People's City Discourse</w:t>
            </w:r>
          </w:p>
        </w:tc>
      </w:tr>
    </w:tbl>
    <w:p/>
    <w:p>
      <w:pPr>
        <w:spacing w:before="320" w:after="160"/>
      </w:pPr>
      <w:r>
        <w:rPr>
          <w:rFonts w:ascii="黑体" w:hAnsi="黑体" w:eastAsia="黑体"/>
          <w:b/>
          <w:color w:val="B8232F"/>
          <w:sz w:val="28"/>
        </w:rPr>
        <w:t xml:space="preserve">05  </w:t>
      </w:r>
      <w:r>
        <w:rPr>
          <w:rFonts w:ascii="黑体" w:hAnsi="黑体" w:eastAsia="黑体"/>
          <w:b/>
          <w:color w:val="1E3A5F"/>
          <w:sz w:val="28"/>
        </w:rPr>
        <w:t>影响力指标 5 年目标</w:t>
      </w:r>
    </w:p>
    <w:p>
      <w:pPr>
        <w:spacing w:after="60"/>
        <w:ind w:left="440"/>
      </w:pPr>
      <w:r>
        <w:rPr>
          <w:rFonts w:ascii="宋体" w:hAnsi="宋体" w:eastAsia="宋体"/>
          <w:b/>
          <w:color w:val="C9A063"/>
          <w:sz w:val="22"/>
        </w:rPr>
        <w:t xml:space="preserve">• </w:t>
      </w:r>
      <w:r>
        <w:rPr>
          <w:rFonts w:ascii="宋体" w:hAnsi="宋体" w:eastAsia="宋体"/>
          <w:color w:val="1A202C"/>
          <w:sz w:val="22"/>
        </w:rPr>
        <w:t>H 指数：联合实验室核心成员均达 25+</w:t>
      </w:r>
    </w:p>
    <w:p>
      <w:pPr>
        <w:spacing w:after="60"/>
        <w:ind w:left="440"/>
      </w:pPr>
      <w:r>
        <w:rPr>
          <w:rFonts w:ascii="宋体" w:hAnsi="宋体" w:eastAsia="宋体"/>
          <w:b/>
          <w:color w:val="C9A063"/>
          <w:sz w:val="22"/>
        </w:rPr>
        <w:t xml:space="preserve">• </w:t>
      </w:r>
      <w:r>
        <w:rPr>
          <w:rFonts w:ascii="宋体" w:hAnsi="宋体" w:eastAsia="宋体"/>
          <w:color w:val="1A202C"/>
          <w:sz w:val="22"/>
        </w:rPr>
        <w:t>他引：累计 1,000+ 次</w:t>
      </w:r>
    </w:p>
    <w:p>
      <w:pPr>
        <w:spacing w:after="60"/>
        <w:ind w:left="440"/>
      </w:pPr>
      <w:r>
        <w:rPr>
          <w:rFonts w:ascii="宋体" w:hAnsi="宋体" w:eastAsia="宋体"/>
          <w:b/>
          <w:color w:val="C9A063"/>
          <w:sz w:val="22"/>
        </w:rPr>
        <w:t xml:space="preserve">• </w:t>
      </w:r>
      <w:r>
        <w:rPr>
          <w:rFonts w:ascii="宋体" w:hAnsi="宋体" w:eastAsia="宋体"/>
          <w:color w:val="1A202C"/>
          <w:sz w:val="22"/>
        </w:rPr>
        <w:t>ESI 高被引：3-5 篇</w:t>
      </w:r>
    </w:p>
    <w:p>
      <w:pPr>
        <w:spacing w:after="60"/>
        <w:ind w:left="440"/>
      </w:pPr>
      <w:r>
        <w:rPr>
          <w:rFonts w:ascii="宋体" w:hAnsi="宋体" w:eastAsia="宋体"/>
          <w:b/>
          <w:color w:val="C9A063"/>
          <w:sz w:val="22"/>
        </w:rPr>
        <w:t xml:space="preserve">• </w:t>
      </w:r>
      <w:r>
        <w:rPr>
          <w:rFonts w:ascii="宋体" w:hAnsi="宋体" w:eastAsia="宋体"/>
          <w:color w:val="1A202C"/>
          <w:sz w:val="22"/>
        </w:rPr>
        <w:t>中文译介：5+ 篇被《新华文摘》等转载</w:t>
      </w:r>
    </w:p>
    <w:p>
      <w:pPr>
        <w:spacing w:after="60"/>
        <w:ind w:left="440"/>
      </w:pPr>
      <w:r>
        <w:rPr>
          <w:rFonts w:ascii="宋体" w:hAnsi="宋体" w:eastAsia="宋体"/>
          <w:b/>
          <w:color w:val="C9A063"/>
          <w:sz w:val="22"/>
        </w:rPr>
        <w:t xml:space="preserve">• </w:t>
      </w:r>
      <w:r>
        <w:rPr>
          <w:rFonts w:ascii="宋体" w:hAnsi="宋体" w:eastAsia="宋体"/>
          <w:color w:val="1A202C"/>
          <w:sz w:val="22"/>
        </w:rPr>
        <w:t>政策影响：2-3 篇被中央政策研究室引用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