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微软雅黑" w:hAnsi="微软雅黑" w:eastAsia="微软雅黑"/>
          <w:b/>
          <w:color w:val="1E3A5F"/>
          <w:sz w:val="52"/>
        </w:rPr>
        <w:t>20 家投资人精准对接清单</w:t>
      </w:r>
    </w:p>
    <w:p>
      <w:pPr>
        <w:jc w:val="center"/>
      </w:pPr>
      <w:r>
        <w:rPr>
          <w:rFonts w:ascii="微软雅黑" w:hAnsi="微软雅黑" w:eastAsia="微软雅黑"/>
          <w:color w:val="718096"/>
          <w:sz w:val="24"/>
        </w:rPr>
        <w:t>HENAN-ROADS Seed 轮 · 投资人优先级排序</w:t>
      </w:r>
    </w:p>
    <w:p>
      <w:pPr>
        <w:spacing w:before="1200"/>
        <w:jc w:val="center"/>
      </w:pPr>
      <w:r>
        <w:rPr>
          <w:rFonts w:ascii="微软雅黑" w:hAnsi="微软雅黑" w:eastAsia="微软雅黑"/>
          <w:color w:val="1E3A5F"/>
          <w:sz w:val="26"/>
        </w:rPr>
        <w:t>拟融资金额：1,500 万 RMB · 投前估值 1 亿 · 释放 13% 股权</w:t>
      </w:r>
    </w:p>
    <w:p>
      <w:r>
        <w:br w:type="page"/>
      </w:r>
    </w:p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01  </w:t>
      </w:r>
      <w:r>
        <w:rPr>
          <w:rFonts w:ascii="微软雅黑" w:hAnsi="微软雅黑" w:eastAsia="微软雅黑"/>
          <w:b/>
          <w:color w:val="1E3A5F"/>
          <w:sz w:val="36"/>
        </w:rPr>
        <w:t>国资战投（4 家，优先级最高）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国资背景投资人是 B2G 创业公司的最佳选择，提供政府关系背书 + 风险对冲 + 政策协同。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重点联系人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投资偏好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中信资本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首席投资官 · 张懿宸办公室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稳健 · 看政府关系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数字政务、教育科技、医疗健康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info@citicpartners.com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华润战投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投资部 · 周燕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重视政企生态协同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智慧城市、数字医疗、新基建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investor@crc.com.cn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国新央企运营基金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投资总监 · 直接接触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央企旗下，政策导向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国之重器、数字政府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guoxin@guoxin.com.cn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招银国际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国家中小企业基金管理人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重视产业生态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金融科技、政务、医疗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info@cmbi.com.hk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02  </w:t>
      </w:r>
      <w:r>
        <w:rPr>
          <w:rFonts w:ascii="微软雅黑" w:hAnsi="微软雅黑" w:eastAsia="微软雅黑"/>
          <w:b/>
          <w:color w:val="1E3A5F"/>
          <w:sz w:val="36"/>
        </w:rPr>
        <w:t>产业战投（4 家）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重点联系人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投资偏好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阿里战投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数字政府投资负责人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看战略协同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云计算/AI 配套生态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investor@alibaba-inc.com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华为产投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数字政府产业基金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看技术协同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云、AI、安全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investor@huawei.com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紫光集团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数字政府方向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信创栈协同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信创、政务云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info@unisplendour.com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腾讯产投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WeCity 智慧城市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看产品能力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数字政府、医疗、教育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investor@tencent.com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03  </w:t>
      </w:r>
      <w:r>
        <w:rPr>
          <w:rFonts w:ascii="微软雅黑" w:hAnsi="微软雅黑" w:eastAsia="微软雅黑"/>
          <w:b/>
          <w:color w:val="1E3A5F"/>
          <w:sz w:val="36"/>
        </w:rPr>
        <w:t>VC 风险投资（8 家）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重点联系人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投资偏好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邮箱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红杉中国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合伙人 · 周逵 / 沈南鹏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看团队 · 看市场天花板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Pre-A 到 D 全阶段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info@sequoiacap.com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IDG 资本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合伙人 · 周全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经典 VC · 看技术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TMT、医疗、消费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info@idgcapital.com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启明创投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合伙人 · 邝子平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 ToB 商业模式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企业服务、医疗、TMT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info@qimingvc.com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高瓴创投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执行董事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看长期价值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科技、医疗、企业服务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info@hillhousecap.com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君联资本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合伙人 · 朱立南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联想系 · 老牌稳健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TMT、医疗、消费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info@legendcapital.com.cn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经纬中国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合伙人 · 张颖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活跃 · 早期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TMT、AI、医疗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info@matrixpartners.com.cn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真格基金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创始人 · 徐小平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看创始人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天使期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info@zhenfund.com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顺为资本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合伙人 · 许达来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小米生态系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AI、IoT、企服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info@shunwei.com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04  </w:t>
      </w:r>
      <w:r>
        <w:rPr>
          <w:rFonts w:ascii="微软雅黑" w:hAnsi="微软雅黑" w:eastAsia="微软雅黑"/>
          <w:b/>
          <w:color w:val="1E3A5F"/>
          <w:sz w:val="36"/>
        </w:rPr>
        <w:t>地方政府引导基金（4 家）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基金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投资偏好</w:t>
            </w:r>
          </w:p>
        </w:tc>
        <w:tc>
          <w:tcPr>
            <w:tcW w:type="dxa" w:w="1814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对接邮箱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国家中小企业发展基金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工信部主管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对中小企业友好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需河南匹配子基金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info@sme.gov.cn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河南省创投引导基金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省政府主管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本地化 · 区域协同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数字经济、智能制造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info@hncti.gov.cn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郑州市创投基金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郑州市政府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重点支持郑州本地落地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需注册或运营在郑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info@zzci.com</w:t>
            </w:r>
          </w:p>
        </w:tc>
      </w:tr>
      <w:tr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港深创科产业基金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港深合作 · 政府引导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需港 IP 落地深圳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适合史文中 IP 关联</w:t>
            </w:r>
          </w:p>
        </w:tc>
        <w:tc>
          <w:tcPr>
            <w:tcW w:type="dxa" w:w="181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info@gba-innovation.com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05  </w:t>
      </w:r>
      <w:r>
        <w:rPr>
          <w:rFonts w:ascii="微软雅黑" w:hAnsi="微软雅黑" w:eastAsia="微软雅黑"/>
          <w:b/>
          <w:color w:val="1E3A5F"/>
          <w:sz w:val="36"/>
        </w:rPr>
        <w:t>联系路径与优先级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机构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268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预计周期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P0 强推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国新央企运营基金 + 中信资本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直接对接 · 史文中教授背书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1-2 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P0 强推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招银国际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通过 PolyU 校友/中信介绍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1-2 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P1 推荐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红杉中国 + IDG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直接 BP 投递 + Linkedin 联系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1-3 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P1 推荐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阿里战投 + 华为产投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通过华为政务/阿里云朋友介绍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2-3 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P2 备选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其他 VC（启明/高瓴/君联/经纬）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BP 投递 + 朋友推荐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3-6 月</w:t>
            </w:r>
          </w:p>
        </w:tc>
      </w:tr>
      <w:tr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P3 应急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真格 + 顺为 + 引导基金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天使阶段或备用方案</w:t>
            </w:r>
          </w:p>
        </w:tc>
        <w:tc>
          <w:tcPr>
            <w:tcW w:type="dxa" w:w="22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微软雅黑" w:hAnsi="微软雅黑" w:eastAsia="微软雅黑"/>
                <w:color w:val="1A202C"/>
                <w:sz w:val="20"/>
              </w:rPr>
              <w:t>2-4 月</w:t>
            </w:r>
          </w:p>
        </w:tc>
      </w:tr>
    </w:tbl>
    <w:p/>
    <w:p>
      <w:pPr>
        <w:spacing w:before="400" w:after="200"/>
        <w:pBdr>
          <w:bottom w:val="single" w:sz="8" w:color="C9A063"/>
        </w:pBdr>
      </w:pPr>
      <w:r>
        <w:rPr>
          <w:rFonts w:ascii="微软雅黑" w:hAnsi="微软雅黑" w:eastAsia="微软雅黑"/>
          <w:b/>
          <w:color w:val="C9A063"/>
          <w:sz w:val="36"/>
        </w:rPr>
        <w:t xml:space="preserve">06  </w:t>
      </w:r>
      <w:r>
        <w:rPr>
          <w:rFonts w:ascii="微软雅黑" w:hAnsi="微软雅黑" w:eastAsia="微软雅黑"/>
          <w:b/>
          <w:color w:val="1E3A5F"/>
          <w:sz w:val="36"/>
        </w:rPr>
        <w:t>BP 投递清单 · 1 周冲刺</w:t>
      </w:r>
    </w:p>
    <w:p>
      <w:pPr>
        <w:spacing w:after="120" w:line="372" w:lineRule="auto"/>
        <w:ind w:firstLine="440"/>
      </w:pPr>
      <w:r>
        <w:rPr>
          <w:rFonts w:ascii="微软雅黑" w:hAnsi="微软雅黑" w:eastAsia="微软雅黑"/>
          <w:color w:val="1A202C"/>
          <w:sz w:val="22"/>
        </w:rPr>
        <w:t>建议本周内完成以下 8 件事：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1：BP 终稿审核 + 1 分钟电梯演讲视频准备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2：发邮件至 4 家国资战投，CC 史文中教授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3：发邮件至 4 家产业战投，同步公众号文章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4：发邮件至 8 家 VC，附带 demo 链接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5：发邮件至 4 家政府引导基金，强调本地落地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6：朋友圈介绍：通过 PolyU / 清华 / 河南三圈层推介</w:t>
      </w:r>
    </w:p>
    <w:p>
      <w:pPr>
        <w:spacing w:after="60"/>
        <w:ind w:left="440"/>
      </w:pPr>
      <w:r>
        <w:rPr>
          <w:rFonts w:ascii="微软雅黑" w:hAnsi="微软雅黑" w:eastAsia="微软雅黑"/>
          <w:b/>
          <w:color w:val="C9A063"/>
          <w:sz w:val="22"/>
        </w:rPr>
        <w:t xml:space="preserve">• </w:t>
      </w:r>
      <w:r>
        <w:rPr>
          <w:rFonts w:ascii="微软雅黑" w:hAnsi="微软雅黑" w:eastAsia="微软雅黑"/>
          <w:color w:val="1A202C"/>
          <w:sz w:val="22"/>
        </w:rPr>
        <w:t>Day 7：跟进 / 安排首次咖啡 / 视频会议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