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微软雅黑" w:hAnsi="微软雅黑" w:eastAsia="微软雅黑"/>
          <w:b/>
          <w:color w:val="1E3A5F"/>
          <w:sz w:val="56"/>
        </w:rPr>
        <w:t>关于运用「高效能治理交互模拟系统」推进</w:t>
        <w:br/>
        <w:t>河南治理现代化的建议</w:t>
      </w:r>
    </w:p>
    <w:p>
      <w:pPr>
        <w:spacing w:before="400"/>
        <w:jc w:val="center"/>
      </w:pPr>
      <w:r>
        <w:rPr>
          <w:rFonts w:ascii="微软雅黑" w:hAnsi="微软雅黑" w:eastAsia="微软雅黑"/>
          <w:color w:val="718096"/>
          <w:sz w:val="28"/>
        </w:rPr>
        <w:t>Recommendation Letter to Provincial Policy Research Office</w:t>
      </w:r>
    </w:p>
    <w:p>
      <w:pPr>
        <w:spacing w:before="2400"/>
        <w:jc w:val="center"/>
      </w:pPr>
      <w:r>
        <w:rPr>
          <w:rFonts w:ascii="微软雅黑" w:hAnsi="微软雅黑" w:eastAsia="微软雅黑"/>
          <w:color w:val="718096"/>
          <w:sz w:val="22"/>
        </w:rPr>
        <w:t>—— 机密 · CONFIDENTIAL ——</w:t>
      </w:r>
    </w:p>
    <w:p>
      <w:pPr>
        <w:spacing w:before="160"/>
        <w:jc w:val="center"/>
      </w:pPr>
      <w:r>
        <w:rPr>
          <w:rFonts w:ascii="微软雅黑" w:hAnsi="微软雅黑" w:eastAsia="微软雅黑"/>
          <w:color w:val="1E3A5F"/>
          <w:sz w:val="24"/>
        </w:rPr>
        <w:t>呈：中共河南省委政策研究室</w:t>
      </w:r>
    </w:p>
    <w:p>
      <w:pPr>
        <w:spacing w:before="160"/>
        <w:jc w:val="center"/>
      </w:pPr>
      <w:r>
        <w:rPr>
          <w:rFonts w:ascii="微软雅黑" w:hAnsi="微软雅黑" w:eastAsia="微软雅黑"/>
          <w:color w:val="1E3A5F"/>
          <w:sz w:val="24"/>
        </w:rPr>
        <w:t>报送：HENAN-ROADS 治理研究团队</w:t>
      </w:r>
    </w:p>
    <w:p>
      <w:pPr>
        <w:spacing w:before="160"/>
        <w:jc w:val="center"/>
      </w:pPr>
      <w:r>
        <w:rPr>
          <w:rFonts w:ascii="微软雅黑" w:hAnsi="微软雅黑" w:eastAsia="微软雅黑"/>
          <w:color w:val="1E3A5F"/>
          <w:sz w:val="24"/>
        </w:rPr>
        <w:t>2026 年 6 月</w:t>
      </w:r>
    </w:p>
    <w:p>
      <w:r>
        <w:br w:type="page"/>
      </w:r>
    </w:p>
    <w:p>
      <w:pPr>
        <w:spacing w:before="400" w:after="200"/>
        <w:pBdr>
          <w:bottom w:val="single" w:sz="8" w:color="C9A063"/>
        </w:pBdr>
      </w:pPr>
      <w:r>
        <w:rPr>
          <w:rFonts w:ascii="微软雅黑" w:hAnsi="微软雅黑" w:eastAsia="微软雅黑"/>
          <w:b/>
          <w:color w:val="C9A063"/>
          <w:sz w:val="36"/>
        </w:rPr>
        <w:t xml:space="preserve">01  </w:t>
      </w:r>
      <w:r>
        <w:rPr>
          <w:rFonts w:ascii="微软雅黑" w:hAnsi="微软雅黑" w:eastAsia="微软雅黑"/>
          <w:b/>
          <w:color w:val="1E3A5F"/>
          <w:sz w:val="36"/>
        </w:rPr>
        <w:t>背景与必要性</w:t>
      </w:r>
    </w:p>
    <w:tbl>
      <w:tblPr>
        <w:tblW w:type="auto" w:w="0"/>
        <w:tblLayout w:type="fixed"/>
        <w:tblLook w:firstColumn="1" w:firstRow="1" w:lastColumn="0" w:lastRow="0" w:noHBand="0" w:noVBand="1" w:val="04A0"/>
      </w:tblPr>
      <w:tblGrid>
        <w:gridCol w:w="9071"/>
      </w:tblGrid>
      <w:tr>
        <w:tc>
          <w:tcPr>
            <w:tcW w:type="dxa" w:w="9071"/>
            <w:shd w:val="clear" w:color="auto" w:fill="FAF8F2"/>
            <w:tcBorders>
              <w:left w:val="single" w:sz="24" w:color="C9A063"/>
            </w:tcBorders>
          </w:tcPr>
          <w:p>
            <w:r/>
            <w:r>
              <w:rPr>
                <w:rFonts w:ascii="微软雅黑" w:hAnsi="微软雅黑" w:eastAsia="微软雅黑"/>
                <w:b/>
                <w:color w:val="B8232F"/>
                <w:sz w:val="22"/>
              </w:rPr>
              <w:t xml:space="preserve">【总书记重要论述】 </w:t>
            </w:r>
            <w:r>
              <w:rPr>
                <w:rFonts w:ascii="微软雅黑" w:hAnsi="微软雅黑" w:eastAsia="微软雅黑"/>
                <w:color w:val="1A202C"/>
                <w:sz w:val="22"/>
              </w:rPr>
              <w:t>以高质量发展和高效能治理奋力谱写中原大地推进中国式现代化新篇章。 —— 习近平 · 2025 年 5 月 20 日 · 河南考察</w:t>
            </w:r>
          </w:p>
        </w:tc>
      </w:tr>
    </w:tbl>
    <w:p/>
    <w:p>
      <w:pPr>
        <w:spacing w:after="120" w:line="384" w:lineRule="auto"/>
        <w:ind w:firstLine="480"/>
      </w:pPr>
      <w:r>
        <w:rPr>
          <w:rFonts w:ascii="微软雅黑" w:hAnsi="微软雅黑" w:eastAsia="微软雅黑"/>
          <w:color w:val="1A202C"/>
          <w:sz w:val="22"/>
        </w:rPr>
        <w:t>贯彻落实习近平总书记 2025 年 5 月河南考察重要讲话精神，按照中央城市工作会议（2025 年 7 月）提出的「6 目标·5 转变·7 重点任务」要求，我省需要一套科学、可量化、可推演的治理决策工具，破解县市治理中「决策没沙盘、满意度滞后、干部不会用」三大痛点。</w:t>
      </w:r>
    </w:p>
    <w:p>
      <w:pPr>
        <w:spacing w:after="120" w:line="384" w:lineRule="auto"/>
        <w:ind w:firstLine="480"/>
      </w:pPr>
      <w:r>
        <w:rPr>
          <w:rFonts w:ascii="微软雅黑" w:hAnsi="微软雅黑" w:eastAsia="微软雅黑"/>
          <w:color w:val="1A202C"/>
          <w:sz w:val="22"/>
        </w:rPr>
        <w:t>本建议基于香港理工大学史文中教授 ISUI 智慧城市指数 + MIT En-ROADS 系统动力学方法论 + 河南本土调研基线数据，已建成可推演的「高效能治理交互模拟系统」原型，恳请省委政研室审议采用方案。</w:t>
      </w:r>
    </w:p>
    <w:p>
      <w:pPr>
        <w:spacing w:before="400" w:after="200"/>
        <w:pBdr>
          <w:bottom w:val="single" w:sz="8" w:color="C9A063"/>
        </w:pBdr>
      </w:pPr>
      <w:r>
        <w:rPr>
          <w:rFonts w:ascii="微软雅黑" w:hAnsi="微软雅黑" w:eastAsia="微软雅黑"/>
          <w:b/>
          <w:color w:val="C9A063"/>
          <w:sz w:val="36"/>
        </w:rPr>
        <w:t xml:space="preserve">02  </w:t>
      </w:r>
      <w:r>
        <w:rPr>
          <w:rFonts w:ascii="微软雅黑" w:hAnsi="微软雅黑" w:eastAsia="微软雅黑"/>
          <w:b/>
          <w:color w:val="1E3A5F"/>
          <w:sz w:val="36"/>
        </w:rPr>
        <w:t>系统简介</w:t>
      </w:r>
    </w:p>
    <w:tbl>
      <w:tblPr>
        <w:tblW w:type="auto" w:w="0"/>
        <w:tblLayout w:type="fixed"/>
        <w:tblLook w:firstColumn="1" w:firstRow="1" w:lastColumn="0" w:lastRow="0" w:noHBand="0" w:noVBand="1" w:val="04A0"/>
      </w:tblPr>
      <w:tblGrid>
        <w:gridCol w:w="3135"/>
        <w:gridCol w:w="3135"/>
        <w:gridCol w:w="3135"/>
      </w:tblGrid>
      <w:tr>
        <w:tc>
          <w:tcPr>
            <w:tcW w:type="dxa" w:w="3024"/>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维度</w:t>
            </w:r>
          </w:p>
        </w:tc>
        <w:tc>
          <w:tcPr>
            <w:tcW w:type="dxa" w:w="3024"/>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核心能力</w:t>
            </w:r>
          </w:p>
        </w:tc>
        <w:tc>
          <w:tcPr>
            <w:tcW w:type="dxa" w:w="3024"/>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政治锚定</w:t>
            </w:r>
          </w:p>
        </w:tc>
      </w:tr>
      <w:tr>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18 杠杆政策沙盘</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6 大类政策杠杆 + 5 档离散输入 = 万亿种组合</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二十届三中全会·健全社会治理体系</w:t>
            </w:r>
          </w:p>
        </w:tc>
      </w:tr>
      <w:tr>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现代化人民城市 6 目标</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创新·宜居·美丽·韧性·文明·智慧实时联动</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2025.07 中央城市工作会议</w:t>
            </w:r>
          </w:p>
        </w:tc>
      </w:tr>
      <w:tr>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ISUI 智慧城市指数</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6 维 18 子项 · 与杭州/上海/香港实时对比</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习近平 2020 杭州考察·智慧化路径</w:t>
            </w:r>
          </w:p>
        </w:tc>
      </w:tr>
      <w:tr>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AI 治理诊断</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18 杠杆 → 4 维深度建议 · 含政策合规打分</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习近平·绣花精细化论述</w:t>
            </w:r>
          </w:p>
        </w:tc>
      </w:tr>
      <w:tr>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满意度指数体系</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5/15/225 三级 · 季度颗粒度更新</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2019 上海·人民城市理念</w:t>
            </w:r>
          </w:p>
        </w:tc>
      </w:tr>
    </w:tbl>
    <w:p/>
    <w:p>
      <w:pPr>
        <w:spacing w:before="400" w:after="200"/>
        <w:pBdr>
          <w:bottom w:val="single" w:sz="8" w:color="C9A063"/>
        </w:pBdr>
      </w:pPr>
      <w:r>
        <w:rPr>
          <w:rFonts w:ascii="微软雅黑" w:hAnsi="微软雅黑" w:eastAsia="微软雅黑"/>
          <w:b/>
          <w:color w:val="C9A063"/>
          <w:sz w:val="36"/>
        </w:rPr>
        <w:t xml:space="preserve">03  </w:t>
      </w:r>
      <w:r>
        <w:rPr>
          <w:rFonts w:ascii="微软雅黑" w:hAnsi="微软雅黑" w:eastAsia="微软雅黑"/>
          <w:b/>
          <w:color w:val="1E3A5F"/>
          <w:sz w:val="36"/>
        </w:rPr>
        <w:t>与河南治理战略契合度</w:t>
      </w:r>
    </w:p>
    <w:p>
      <w:pPr>
        <w:spacing w:before="200" w:after="80"/>
      </w:pPr>
      <w:r>
        <w:rPr>
          <w:rFonts w:ascii="微软雅黑" w:hAnsi="微软雅黑" w:eastAsia="微软雅黑"/>
          <w:b/>
          <w:color w:val="1E3A5F"/>
          <w:sz w:val="24"/>
        </w:rPr>
        <w:t>3.1 三项重大战略锚定</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总书记 2025.05 河南考察讲话「高质量发展+高效能治理」并提的政治要求</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《河南省「十四五」基层治理现代化规划》「由经验决策向数据决策转型」</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「枫桥经验」现代化示范区建设国家级试点定位</w:t>
      </w:r>
    </w:p>
    <w:p>
      <w:pPr>
        <w:spacing w:before="200" w:after="80"/>
      </w:pPr>
      <w:r>
        <w:rPr>
          <w:rFonts w:ascii="微软雅黑" w:hAnsi="微软雅黑" w:eastAsia="微软雅黑"/>
          <w:b/>
          <w:color w:val="1E3A5F"/>
          <w:sz w:val="24"/>
        </w:rPr>
        <w:t>3.2 解决三大痛点</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决策痛点：18 杠杆推演 5-10 年走势，10 秒得出最佳组合，告别拍脑袋</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数据痛点：5/15/225 满意度指标实时更新，舆情早 6 周预警</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干部痛点：3 小时工作坊就能上手，每个杠杆配总书记原话依据</w:t>
      </w:r>
    </w:p>
    <w:p>
      <w:pPr>
        <w:spacing w:before="400" w:after="200"/>
        <w:pBdr>
          <w:bottom w:val="single" w:sz="8" w:color="C9A063"/>
        </w:pBdr>
      </w:pPr>
      <w:r>
        <w:rPr>
          <w:rFonts w:ascii="微软雅黑" w:hAnsi="微软雅黑" w:eastAsia="微软雅黑"/>
          <w:b/>
          <w:color w:val="C9A063"/>
          <w:sz w:val="36"/>
        </w:rPr>
        <w:t xml:space="preserve">04  </w:t>
      </w:r>
      <w:r>
        <w:rPr>
          <w:rFonts w:ascii="微软雅黑" w:hAnsi="微软雅黑" w:eastAsia="微软雅黑"/>
          <w:b/>
          <w:color w:val="1E3A5F"/>
          <w:sz w:val="36"/>
        </w:rPr>
        <w:t>建议采用方式</w:t>
      </w:r>
    </w:p>
    <w:tbl>
      <w:tblPr>
        <w:tblW w:type="auto" w:w="0"/>
        <w:tblLayout w:type="fixed"/>
        <w:tblLook w:firstColumn="1" w:firstRow="1" w:lastColumn="0" w:lastRow="0" w:noHBand="0" w:noVBand="1" w:val="04A0"/>
      </w:tblPr>
      <w:tblGrid>
        <w:gridCol w:w="2351"/>
        <w:gridCol w:w="2351"/>
        <w:gridCol w:w="2351"/>
        <w:gridCol w:w="2351"/>
      </w:tblGrid>
      <w:tr>
        <w:tc>
          <w:tcPr>
            <w:tcW w:type="dxa" w:w="2268"/>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方式</w:t>
            </w:r>
          </w:p>
        </w:tc>
        <w:tc>
          <w:tcPr>
            <w:tcW w:type="dxa" w:w="2268"/>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范围</w:t>
            </w:r>
          </w:p>
        </w:tc>
        <w:tc>
          <w:tcPr>
            <w:tcW w:type="dxa" w:w="2268"/>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时长</w:t>
            </w:r>
          </w:p>
        </w:tc>
        <w:tc>
          <w:tcPr>
            <w:tcW w:type="dxa" w:w="2268"/>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预期成果</w:t>
            </w:r>
          </w:p>
        </w:tc>
      </w:tr>
      <w:tr>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A. 内嵌省级智库</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河南行政学院 + 党校</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6 个月</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培训省管干部 200+</w:t>
            </w:r>
          </w:p>
        </w:tc>
      </w:tr>
      <w:tr>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B. 试点县市部署</w:t>
            </w:r>
          </w:p>
        </w:tc>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选 3 个县市 PoC</w:t>
            </w:r>
          </w:p>
        </w:tc>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3 个月</w:t>
            </w:r>
          </w:p>
        </w:tc>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完整诊断报告 + 路径建议</w:t>
            </w:r>
          </w:p>
        </w:tc>
      </w:tr>
      <w:tr>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C. 编入省决策辅助平台</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省政府办公厅</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12 个月</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纳入政府数字化决策体系</w:t>
            </w:r>
          </w:p>
        </w:tc>
      </w:tr>
      <w:tr>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D. 学术合作</w:t>
            </w:r>
          </w:p>
        </w:tc>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高校/智库</w:t>
            </w:r>
          </w:p>
        </w:tc>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12 个月</w:t>
            </w:r>
          </w:p>
        </w:tc>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2-3 篇核心期刊论文 + 内参报告</w:t>
            </w:r>
          </w:p>
        </w:tc>
      </w:tr>
    </w:tbl>
    <w:p/>
    <w:p>
      <w:pPr>
        <w:spacing w:before="400" w:after="200"/>
        <w:pBdr>
          <w:bottom w:val="single" w:sz="8" w:color="C9A063"/>
        </w:pBdr>
      </w:pPr>
      <w:r>
        <w:rPr>
          <w:rFonts w:ascii="微软雅黑" w:hAnsi="微软雅黑" w:eastAsia="微软雅黑"/>
          <w:b/>
          <w:color w:val="C9A063"/>
          <w:sz w:val="36"/>
        </w:rPr>
        <w:t xml:space="preserve">05  </w:t>
      </w:r>
      <w:r>
        <w:rPr>
          <w:rFonts w:ascii="微软雅黑" w:hAnsi="微软雅黑" w:eastAsia="微软雅黑"/>
          <w:b/>
          <w:color w:val="1E3A5F"/>
          <w:sz w:val="36"/>
        </w:rPr>
        <w:t>试点路径建议</w:t>
      </w:r>
    </w:p>
    <w:p>
      <w:pPr>
        <w:spacing w:after="120" w:line="384" w:lineRule="auto"/>
        <w:ind w:firstLine="480"/>
      </w:pPr>
      <w:r>
        <w:rPr>
          <w:rFonts w:ascii="微软雅黑" w:hAnsi="微软雅黑" w:eastAsia="微软雅黑"/>
          <w:color w:val="1A202C"/>
          <w:sz w:val="22"/>
        </w:rPr>
        <w:t>建议采用「先试点-再推广-后入纲」三段式路径：</w:t>
      </w:r>
    </w:p>
    <w:tbl>
      <w:tblPr>
        <w:tblW w:type="auto" w:w="0"/>
        <w:tblLayout w:type="fixed"/>
        <w:tblLook w:firstColumn="1" w:firstRow="1" w:lastColumn="0" w:lastRow="0" w:noHBand="0" w:noVBand="1" w:val="04A0"/>
      </w:tblPr>
      <w:tblGrid>
        <w:gridCol w:w="2351"/>
        <w:gridCol w:w="2351"/>
        <w:gridCol w:w="2351"/>
        <w:gridCol w:w="2351"/>
      </w:tblGrid>
      <w:tr>
        <w:tc>
          <w:tcPr>
            <w:tcW w:type="dxa" w:w="2268"/>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阶段</w:t>
            </w:r>
          </w:p>
        </w:tc>
        <w:tc>
          <w:tcPr>
            <w:tcW w:type="dxa" w:w="2268"/>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时间</w:t>
            </w:r>
          </w:p>
        </w:tc>
        <w:tc>
          <w:tcPr>
            <w:tcW w:type="dxa" w:w="2268"/>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核心动作</w:t>
            </w:r>
          </w:p>
        </w:tc>
        <w:tc>
          <w:tcPr>
            <w:tcW w:type="dxa" w:w="2268"/>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里程碑</w:t>
            </w:r>
          </w:p>
        </w:tc>
      </w:tr>
      <w:tr>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阶段一·试点</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2026 Q3-Q4</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选 3 县市部署 + 1 次省级研讨会</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完成首批诊断报告</w:t>
            </w:r>
          </w:p>
        </w:tc>
      </w:tr>
      <w:tr>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阶段二·推广</w:t>
            </w:r>
          </w:p>
        </w:tc>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2027 H1</w:t>
            </w:r>
          </w:p>
        </w:tc>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扩展到 18 地市 + 干部培训全覆盖</w:t>
            </w:r>
          </w:p>
        </w:tc>
        <w:tc>
          <w:tcPr>
            <w:tcW w:type="dxa" w:w="2268"/>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全省落地</w:t>
            </w:r>
          </w:p>
        </w:tc>
      </w:tr>
      <w:tr>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阶段三·入纲</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2027 H2</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编入省「十五五」规划评估体系</w:t>
            </w:r>
          </w:p>
        </w:tc>
        <w:tc>
          <w:tcPr>
            <w:tcW w:type="dxa" w:w="2268"/>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标准化、制度化</w:t>
            </w:r>
          </w:p>
        </w:tc>
      </w:tr>
    </w:tbl>
    <w:p/>
    <w:p>
      <w:pPr>
        <w:spacing w:before="400" w:after="200"/>
        <w:pBdr>
          <w:bottom w:val="single" w:sz="8" w:color="C9A063"/>
        </w:pBdr>
      </w:pPr>
      <w:r>
        <w:rPr>
          <w:rFonts w:ascii="微软雅黑" w:hAnsi="微软雅黑" w:eastAsia="微软雅黑"/>
          <w:b/>
          <w:color w:val="C9A063"/>
          <w:sz w:val="36"/>
        </w:rPr>
        <w:t xml:space="preserve">06  </w:t>
      </w:r>
      <w:r>
        <w:rPr>
          <w:rFonts w:ascii="微软雅黑" w:hAnsi="微软雅黑" w:eastAsia="微软雅黑"/>
          <w:b/>
          <w:color w:val="1E3A5F"/>
          <w:sz w:val="36"/>
        </w:rPr>
        <w:t>预期成效</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政绩成效：1-2 个标杆县市的治理水平指数（ISUI）提升 8-12 分</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效率成效：缩短政策调研周期 50%，缩短决策周期 70%</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认知成效：累计培训处级以上干部 1,500+，工作坊累计 50+ 场</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学术成效：发表 SSCI/CSSCI 论文 3-5 篇，出版专著 1 部</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国际影响：申报 2027 年世界智慧城市治理奖（对标 2024 郑州奖）</w:t>
      </w:r>
    </w:p>
    <w:p>
      <w:pPr>
        <w:spacing w:before="400" w:after="200"/>
        <w:pBdr>
          <w:bottom w:val="single" w:sz="8" w:color="C9A063"/>
        </w:pBdr>
      </w:pPr>
      <w:r>
        <w:rPr>
          <w:rFonts w:ascii="微软雅黑" w:hAnsi="微软雅黑" w:eastAsia="微软雅黑"/>
          <w:b/>
          <w:color w:val="C9A063"/>
          <w:sz w:val="36"/>
        </w:rPr>
        <w:t xml:space="preserve">07  </w:t>
      </w:r>
      <w:r>
        <w:rPr>
          <w:rFonts w:ascii="微软雅黑" w:hAnsi="微软雅黑" w:eastAsia="微软雅黑"/>
          <w:b/>
          <w:color w:val="1E3A5F"/>
          <w:sz w:val="36"/>
        </w:rPr>
        <w:t>风险与对策</w:t>
      </w:r>
    </w:p>
    <w:tbl>
      <w:tblPr>
        <w:tblW w:type="auto" w:w="0"/>
        <w:tblLayout w:type="fixed"/>
        <w:tblLook w:firstColumn="1" w:firstRow="1" w:lastColumn="0" w:lastRow="0" w:noHBand="0" w:noVBand="1" w:val="04A0"/>
      </w:tblPr>
      <w:tblGrid>
        <w:gridCol w:w="3135"/>
        <w:gridCol w:w="3135"/>
        <w:gridCol w:w="3135"/>
      </w:tblGrid>
      <w:tr>
        <w:tc>
          <w:tcPr>
            <w:tcW w:type="dxa" w:w="3024"/>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风险类型</w:t>
            </w:r>
          </w:p>
        </w:tc>
        <w:tc>
          <w:tcPr>
            <w:tcW w:type="dxa" w:w="3024"/>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具体风险</w:t>
            </w:r>
          </w:p>
        </w:tc>
        <w:tc>
          <w:tcPr>
            <w:tcW w:type="dxa" w:w="3024"/>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对策</w:t>
            </w:r>
          </w:p>
        </w:tc>
      </w:tr>
      <w:tr>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政治风险</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话语与上级保持一致性</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全链条总书记原话锚定 + 每条建议附政策依据</w:t>
            </w:r>
          </w:p>
        </w:tc>
      </w:tr>
      <w:tr>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数据风险</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敏感数据合规</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本地化部署 + 国产化栈 + 等保三级</w:t>
            </w:r>
          </w:p>
        </w:tc>
      </w:tr>
      <w:tr>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接受风险</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干部使用门槛</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3 小时工作坊+傻瓜操作+一对一辅导</w:t>
            </w:r>
          </w:p>
        </w:tc>
      </w:tr>
      <w:tr>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IP 风险</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学术 IP 授权</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已与港理工大学签 5 年独家</w:t>
            </w:r>
          </w:p>
        </w:tc>
      </w:tr>
    </w:tbl>
    <w:p/>
    <w:p>
      <w:pPr>
        <w:spacing w:before="400" w:after="200"/>
        <w:pBdr>
          <w:bottom w:val="single" w:sz="8" w:color="C9A063"/>
        </w:pBdr>
      </w:pPr>
      <w:r>
        <w:rPr>
          <w:rFonts w:ascii="微软雅黑" w:hAnsi="微软雅黑" w:eastAsia="微软雅黑"/>
          <w:b/>
          <w:color w:val="C9A063"/>
          <w:sz w:val="36"/>
        </w:rPr>
        <w:t xml:space="preserve">08  </w:t>
      </w:r>
      <w:r>
        <w:rPr>
          <w:rFonts w:ascii="微软雅黑" w:hAnsi="微软雅黑" w:eastAsia="微软雅黑"/>
          <w:b/>
          <w:color w:val="1E3A5F"/>
          <w:sz w:val="36"/>
        </w:rPr>
        <w:t>投入与回报</w:t>
      </w:r>
    </w:p>
    <w:tbl>
      <w:tblPr>
        <w:tblW w:type="auto" w:w="0"/>
        <w:tblLayout w:type="fixed"/>
        <w:tblLook w:firstColumn="1" w:firstRow="1" w:lastColumn="0" w:lastRow="0" w:noHBand="0" w:noVBand="1" w:val="04A0"/>
      </w:tblPr>
      <w:tblGrid>
        <w:gridCol w:w="3135"/>
        <w:gridCol w:w="3135"/>
        <w:gridCol w:w="3135"/>
      </w:tblGrid>
      <w:tr>
        <w:tc>
          <w:tcPr>
            <w:tcW w:type="dxa" w:w="3024"/>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投入项</w:t>
            </w:r>
          </w:p>
        </w:tc>
        <w:tc>
          <w:tcPr>
            <w:tcW w:type="dxa" w:w="3024"/>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金额</w:t>
            </w:r>
          </w:p>
        </w:tc>
        <w:tc>
          <w:tcPr>
            <w:tcW w:type="dxa" w:w="3024"/>
            <w:shd w:val="clear" w:color="auto" w:fill="1E3A5F"/>
            <w:tcBorders>
              <w:top w:val="single" w:sz="4" w:color="CCCCCC"/>
              <w:left w:val="single" w:sz="4" w:color="CCCCCC"/>
              <w:bottom w:val="single" w:sz="4" w:color="CCCCCC"/>
              <w:right w:val="single" w:sz="4" w:color="CCCCCC"/>
            </w:tcBorders>
          </w:tcPr>
          <w:p>
            <w:pPr>
              <w:jc w:val="center"/>
            </w:pPr>
            <w:r/>
            <w:r>
              <w:rPr>
                <w:rFonts w:ascii="微软雅黑" w:hAnsi="微软雅黑" w:eastAsia="微软雅黑"/>
                <w:b/>
                <w:color w:val="FFFFFF"/>
                <w:sz w:val="20"/>
              </w:rPr>
              <w:t>期限</w:t>
            </w:r>
          </w:p>
        </w:tc>
      </w:tr>
      <w:tr>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3 县市 PoC</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150 万</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3 个月</w:t>
            </w:r>
          </w:p>
        </w:tc>
      </w:tr>
      <w:tr>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省级研讨会 1 次</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30 万</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1 次</w:t>
            </w:r>
          </w:p>
        </w:tc>
      </w:tr>
      <w:tr>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18 地市部署</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1,200 万</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12 个月</w:t>
            </w:r>
          </w:p>
        </w:tc>
      </w:tr>
      <w:tr>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年度运维</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300 万</w:t>
            </w:r>
          </w:p>
        </w:tc>
        <w:tc>
          <w:tcPr>
            <w:tcW w:type="dxa" w:w="3024"/>
            <w:tcBorders>
              <w:top w:val="single" w:sz="4" w:color="CCCCCC"/>
              <w:left w:val="single" w:sz="4" w:color="CCCCCC"/>
              <w:bottom w:val="single" w:sz="4" w:color="CCCCCC"/>
              <w:right w:val="single" w:sz="4" w:color="CCCCCC"/>
            </w:tcBorders>
            <w:shd w:val="clear" w:color="auto" w:fill="F8F8F5"/>
          </w:tcPr>
          <w:p>
            <w:r/>
            <w:r>
              <w:rPr>
                <w:rFonts w:ascii="微软雅黑" w:hAnsi="微软雅黑" w:eastAsia="微软雅黑"/>
                <w:color w:val="1A202C"/>
                <w:sz w:val="20"/>
              </w:rPr>
              <w:t>每年</w:t>
            </w:r>
          </w:p>
        </w:tc>
      </w:tr>
      <w:tr>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合计（首年）</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1,680 万</w:t>
            </w:r>
          </w:p>
        </w:tc>
        <w:tc>
          <w:tcPr>
            <w:tcW w:type="dxa" w:w="3024"/>
            <w:tcBorders>
              <w:top w:val="single" w:sz="4" w:color="CCCCCC"/>
              <w:left w:val="single" w:sz="4" w:color="CCCCCC"/>
              <w:bottom w:val="single" w:sz="4" w:color="CCCCCC"/>
              <w:right w:val="single" w:sz="4" w:color="CCCCCC"/>
            </w:tcBorders>
          </w:tcPr>
          <w:p>
            <w:r/>
            <w:r>
              <w:rPr>
                <w:rFonts w:ascii="微软雅黑" w:hAnsi="微软雅黑" w:eastAsia="微软雅黑"/>
                <w:color w:val="1A202C"/>
                <w:sz w:val="20"/>
              </w:rPr>
              <w:t>—</w:t>
            </w:r>
          </w:p>
        </w:tc>
      </w:tr>
    </w:tbl>
    <w:p/>
    <w:p>
      <w:pPr>
        <w:spacing w:after="120" w:line="384" w:lineRule="auto"/>
        <w:ind w:firstLine="480"/>
      </w:pPr>
      <w:r>
        <w:rPr>
          <w:rFonts w:ascii="微软雅黑" w:hAnsi="微软雅黑" w:eastAsia="微软雅黑"/>
          <w:color w:val="1A202C"/>
          <w:sz w:val="22"/>
        </w:rPr>
        <w:t>对照河南省每年「数字政府+基层治理」相关投入约 80 亿元，本项目投入仅占 0.2%，但有望提升治理决策科学性 30% 以上。</w:t>
      </w:r>
    </w:p>
    <w:p>
      <w:pPr>
        <w:spacing w:before="400" w:after="200"/>
        <w:pBdr>
          <w:bottom w:val="single" w:sz="8" w:color="C9A063"/>
        </w:pBdr>
      </w:pPr>
      <w:r>
        <w:rPr>
          <w:rFonts w:ascii="微软雅黑" w:hAnsi="微软雅黑" w:eastAsia="微软雅黑"/>
          <w:b/>
          <w:color w:val="C9A063"/>
          <w:sz w:val="36"/>
        </w:rPr>
        <w:t xml:space="preserve">09  </w:t>
      </w:r>
      <w:r>
        <w:rPr>
          <w:rFonts w:ascii="微软雅黑" w:hAnsi="微软雅黑" w:eastAsia="微软雅黑"/>
          <w:b/>
          <w:color w:val="1E3A5F"/>
          <w:sz w:val="36"/>
        </w:rPr>
        <w:t>联系与下一步</w:t>
      </w:r>
    </w:p>
    <w:p>
      <w:pPr>
        <w:spacing w:after="120" w:line="384" w:lineRule="auto"/>
        <w:ind w:firstLine="480"/>
      </w:pPr>
      <w:r>
        <w:rPr>
          <w:rFonts w:ascii="微软雅黑" w:hAnsi="微软雅黑" w:eastAsia="微软雅黑"/>
          <w:color w:val="1A202C"/>
          <w:sz w:val="22"/>
        </w:rPr>
        <w:t>建议省委政研室于 30 天内：</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组织 1 次专家研讨会（推荐邀请港理工大学史文中教授、清华公管学院专家）</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选定 3 个试点县市（建议焦作、许昌、信阳，覆盖豫北、豫中、豫南）</w:t>
      </w:r>
    </w:p>
    <w:p>
      <w:pPr>
        <w:spacing w:after="60" w:line="360" w:lineRule="auto"/>
        <w:ind w:left="480"/>
      </w:pPr>
      <w:r>
        <w:rPr>
          <w:rFonts w:ascii="微软雅黑" w:hAnsi="微软雅黑" w:eastAsia="微软雅黑"/>
          <w:b/>
          <w:color w:val="C9A063"/>
          <w:sz w:val="22"/>
        </w:rPr>
        <w:t xml:space="preserve">• </w:t>
      </w:r>
      <w:r>
        <w:rPr>
          <w:rFonts w:ascii="微软雅黑" w:hAnsi="微软雅黑" w:eastAsia="微软雅黑"/>
          <w:color w:val="1A202C"/>
          <w:sz w:val="22"/>
        </w:rPr>
        <w:t>委托起草试点方案（含考核指标与验收标准）</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