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0"/>
        <w:jc w:val="center"/>
      </w:pPr>
      <w:r>
        <w:rPr>
          <w:rFonts w:ascii="微软雅黑" w:hAnsi="微软雅黑" w:eastAsia="微软雅黑"/>
          <w:b/>
          <w:color w:val="1E3A5F"/>
          <w:sz w:val="56"/>
        </w:rPr>
        <w:t>XX 市治理诊断 30 天 PoC 试点方案</w:t>
      </w:r>
    </w:p>
    <w:p>
      <w:pPr>
        <w:spacing w:before="400"/>
        <w:jc w:val="center"/>
      </w:pPr>
      <w:r>
        <w:rPr>
          <w:rFonts w:ascii="微软雅黑" w:hAnsi="微软雅黑" w:eastAsia="微软雅黑"/>
          <w:color w:val="718096"/>
          <w:sz w:val="28"/>
        </w:rPr>
        <w:t>30-Day Pilot Proposal for Municipal Governance Diagnosis</w:t>
      </w:r>
    </w:p>
    <w:p>
      <w:pPr>
        <w:spacing w:before="2400"/>
        <w:jc w:val="center"/>
      </w:pPr>
      <w:r>
        <w:rPr>
          <w:rFonts w:ascii="微软雅黑" w:hAnsi="微软雅黑" w:eastAsia="微软雅黑"/>
          <w:color w:val="718096"/>
          <w:sz w:val="22"/>
        </w:rPr>
        <w:t>—— 机密 · CONFIDENTIAL ——</w:t>
      </w:r>
    </w:p>
    <w:p>
      <w:pPr>
        <w:spacing w:before="160"/>
        <w:jc w:val="center"/>
      </w:pPr>
      <w:r>
        <w:rPr>
          <w:rFonts w:ascii="微软雅黑" w:hAnsi="微软雅黑" w:eastAsia="微软雅黑"/>
          <w:color w:val="1E3A5F"/>
          <w:sz w:val="24"/>
        </w:rPr>
        <w:t>报送：XX 市委办公厅</w:t>
      </w:r>
    </w:p>
    <w:p>
      <w:pPr>
        <w:spacing w:before="160"/>
        <w:jc w:val="center"/>
      </w:pPr>
      <w:r>
        <w:rPr>
          <w:rFonts w:ascii="微软雅黑" w:hAnsi="微软雅黑" w:eastAsia="微软雅黑"/>
          <w:color w:val="1E3A5F"/>
          <w:sz w:val="24"/>
        </w:rPr>
        <w:t>方案版本：v1.0</w:t>
      </w:r>
    </w:p>
    <w:p>
      <w:pPr>
        <w:spacing w:before="160"/>
        <w:jc w:val="center"/>
      </w:pPr>
      <w:r>
        <w:rPr>
          <w:rFonts w:ascii="微软雅黑" w:hAnsi="微软雅黑" w:eastAsia="微软雅黑"/>
          <w:color w:val="1E3A5F"/>
          <w:sz w:val="24"/>
        </w:rPr>
        <w:t>2026 年 6 月</w:t>
      </w:r>
    </w:p>
    <w:p>
      <w:r>
        <w:br w:type="page"/>
      </w:r>
    </w:p>
    <w:p>
      <w:pPr>
        <w:spacing w:before="400" w:after="200"/>
        <w:pBdr>
          <w:bottom w:val="single" w:sz="8" w:color="C9A063"/>
        </w:pBdr>
      </w:pPr>
      <w:r>
        <w:rPr>
          <w:rFonts w:ascii="微软雅黑" w:hAnsi="微软雅黑" w:eastAsia="微软雅黑"/>
          <w:b/>
          <w:color w:val="C9A063"/>
          <w:sz w:val="36"/>
        </w:rPr>
        <w:t xml:space="preserve">01  </w:t>
      </w:r>
      <w:r>
        <w:rPr>
          <w:rFonts w:ascii="微软雅黑" w:hAnsi="微软雅黑" w:eastAsia="微软雅黑"/>
          <w:b/>
          <w:color w:val="1E3A5F"/>
          <w:sz w:val="36"/>
        </w:rPr>
        <w:t>项目背景与目标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val="clear" w:color="auto" w:fill="FAF8F2"/>
            <w:tcBorders>
              <w:left w:val="single" w:sz="24" w:color="C9A063"/>
            </w:tcBorders>
          </w:tcPr>
          <w:p>
            <w:r/>
            <w:r>
              <w:rPr>
                <w:rFonts w:ascii="微软雅黑" w:hAnsi="微软雅黑" w:eastAsia="微软雅黑"/>
                <w:b/>
                <w:color w:val="B8232F"/>
                <w:sz w:val="22"/>
              </w:rPr>
              <w:t xml:space="preserve">【客户需求】 </w:t>
            </w:r>
            <w:r>
              <w:rPr>
                <w:rFonts w:ascii="微软雅黑" w:hAnsi="微软雅黑" w:eastAsia="微软雅黑"/>
                <w:color w:val="1A202C"/>
                <w:sz w:val="22"/>
              </w:rPr>
              <w:t>在 30 天内完成对全市治理水平的全面诊断，输出 1 份可呈报市委常委会的《XX 市治理水平评估报告》，并指明未来 2 年的 3 个突破口。</w:t>
            </w:r>
          </w:p>
        </w:tc>
      </w:tr>
    </w:tbl>
    <w:p/>
    <w:p>
      <w:pPr>
        <w:spacing w:after="120" w:line="384" w:lineRule="auto"/>
        <w:ind w:firstLine="480"/>
      </w:pPr>
      <w:r>
        <w:rPr>
          <w:rFonts w:ascii="微软雅黑" w:hAnsi="微软雅黑" w:eastAsia="微软雅黑"/>
          <w:color w:val="1A202C"/>
          <w:sz w:val="22"/>
        </w:rPr>
        <w:t>本方案基于「高效能治理交互模拟系统」+ ISUI 智慧城市指数 + 现代化人民城市 6 目标三维评估框架，30 天内可交付完整的城市治理体检报告。</w:t>
      </w:r>
    </w:p>
    <w:p>
      <w:pPr>
        <w:spacing w:before="400" w:after="200"/>
        <w:pBdr>
          <w:bottom w:val="single" w:sz="8" w:color="C9A063"/>
        </w:pBdr>
      </w:pPr>
      <w:r>
        <w:rPr>
          <w:rFonts w:ascii="微软雅黑" w:hAnsi="微软雅黑" w:eastAsia="微软雅黑"/>
          <w:b/>
          <w:color w:val="C9A063"/>
          <w:sz w:val="36"/>
        </w:rPr>
        <w:t xml:space="preserve">02  </w:t>
      </w:r>
      <w:r>
        <w:rPr>
          <w:rFonts w:ascii="微软雅黑" w:hAnsi="微软雅黑" w:eastAsia="微软雅黑"/>
          <w:b/>
          <w:color w:val="1E3A5F"/>
          <w:sz w:val="36"/>
        </w:rPr>
        <w:t>30 天工作计划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268"/>
            <w:shd w:val="clear" w:color="auto" w:fill="1E3A5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周次</w:t>
            </w:r>
          </w:p>
        </w:tc>
        <w:tc>
          <w:tcPr>
            <w:tcW w:type="dxa" w:w="2268"/>
            <w:shd w:val="clear" w:color="auto" w:fill="1E3A5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时间</w:t>
            </w:r>
          </w:p>
        </w:tc>
        <w:tc>
          <w:tcPr>
            <w:tcW w:type="dxa" w:w="2268"/>
            <w:shd w:val="clear" w:color="auto" w:fill="1E3A5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核心任务</w:t>
            </w:r>
          </w:p>
        </w:tc>
        <w:tc>
          <w:tcPr>
            <w:tcW w:type="dxa" w:w="2268"/>
            <w:shd w:val="clear" w:color="auto" w:fill="1E3A5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交付物</w:t>
            </w:r>
          </w:p>
        </w:tc>
      </w:tr>
      <w:tr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W1 调研启动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Day 1-7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1. 启动会议 + 数据接入</w:t>
              <w:br/>
              <w:t>2. 走访 3 个街道/乡镇</w:t>
              <w:br/>
              <w:t>3. 收集 18 杠杆基线数据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调研提纲 + 数据清单</w:t>
            </w:r>
          </w:p>
        </w:tc>
      </w:tr>
      <w:tr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8F8F5"/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W2 指标体系填充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8F8F5"/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Day 8-14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8F8F5"/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1. 18 杠杆现状打分</w:t>
              <w:br/>
              <w:t>2. 5/15/225 满意度调研（2000 份）</w:t>
              <w:br/>
              <w:t>3. ISUI 6 维评分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8F8F5"/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中期数据集</w:t>
            </w:r>
          </w:p>
        </w:tc>
      </w:tr>
      <w:tr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W3 推演与诊断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Day 15-21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1. 沙盘推演 3-5 个情景</w:t>
              <w:br/>
              <w:t>2. 与杭州/上海/香港对标</w:t>
              <w:br/>
              <w:t>3. AI 大模型深度诊断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10 张推演图表</w:t>
            </w:r>
          </w:p>
        </w:tc>
      </w:tr>
      <w:tr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8F8F5"/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W4 报告撰写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8F8F5"/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Day 22-30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8F8F5"/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1. 撰写 80 页综合评估报告</w:t>
              <w:br/>
              <w:t>2. 提炼 3 大突破口</w:t>
              <w:br/>
              <w:t>3. 编制 5 年路径图</w:t>
              <w:br/>
              <w:t>4. 终审汇报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8F8F5"/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正式评估报告 + 汇报 PPT</w:t>
            </w:r>
          </w:p>
        </w:tc>
      </w:tr>
    </w:tbl>
    <w:p/>
    <w:p>
      <w:pPr>
        <w:spacing w:before="400" w:after="200"/>
        <w:pBdr>
          <w:bottom w:val="single" w:sz="8" w:color="C9A063"/>
        </w:pBdr>
      </w:pPr>
      <w:r>
        <w:rPr>
          <w:rFonts w:ascii="微软雅黑" w:hAnsi="微软雅黑" w:eastAsia="微软雅黑"/>
          <w:b/>
          <w:color w:val="C9A063"/>
          <w:sz w:val="36"/>
        </w:rPr>
        <w:t xml:space="preserve">03  </w:t>
      </w:r>
      <w:r>
        <w:rPr>
          <w:rFonts w:ascii="微软雅黑" w:hAnsi="微软雅黑" w:eastAsia="微软雅黑"/>
          <w:b/>
          <w:color w:val="1E3A5F"/>
          <w:sz w:val="36"/>
        </w:rPr>
        <w:t>交付物清单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268"/>
            <w:shd w:val="clear" w:color="auto" w:fill="1E3A5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编号</w:t>
            </w:r>
          </w:p>
        </w:tc>
        <w:tc>
          <w:tcPr>
            <w:tcW w:type="dxa" w:w="2268"/>
            <w:shd w:val="clear" w:color="auto" w:fill="1E3A5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交付物</w:t>
            </w:r>
          </w:p>
        </w:tc>
        <w:tc>
          <w:tcPr>
            <w:tcW w:type="dxa" w:w="2268"/>
            <w:shd w:val="clear" w:color="auto" w:fill="1E3A5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页数/规模</w:t>
            </w:r>
          </w:p>
        </w:tc>
        <w:tc>
          <w:tcPr>
            <w:tcW w:type="dxa" w:w="2268"/>
            <w:shd w:val="clear" w:color="auto" w:fill="1E3A5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用途</w:t>
            </w:r>
          </w:p>
        </w:tc>
      </w:tr>
      <w:tr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D-01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《XX 市治理水平评估报告》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80 页 Word + PDF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市委常委会决策</w:t>
            </w:r>
          </w:p>
        </w:tc>
      </w:tr>
      <w:tr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8F8F5"/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D-02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8F8F5"/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ISUI 智慧城市指数评分卡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8F8F5"/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10 页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8F8F5"/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对标全国</w:t>
            </w:r>
          </w:p>
        </w:tc>
      </w:tr>
      <w:tr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D-03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现代化人民城市 6 目标雷达分析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12 页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中央对标</w:t>
            </w:r>
          </w:p>
        </w:tc>
      </w:tr>
      <w:tr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8F8F5"/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D-04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8F8F5"/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沙盘推演 5 个情景对比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8F8F5"/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20 页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8F8F5"/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政策模拟</w:t>
            </w:r>
          </w:p>
        </w:tc>
      </w:tr>
      <w:tr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D-05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3 大突破口路径图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8 页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未来 2 年实施</w:t>
            </w:r>
          </w:p>
        </w:tc>
      </w:tr>
      <w:tr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8F8F5"/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D-06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8F8F5"/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5 年治理提升五年规划框架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8F8F5"/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15 页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8F8F5"/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纳入十五五</w:t>
            </w:r>
          </w:p>
        </w:tc>
      </w:tr>
      <w:tr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D-07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汇报 PPT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30-40 页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市委常委会汇报</w:t>
            </w:r>
          </w:p>
        </w:tc>
      </w:tr>
      <w:tr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8F8F5"/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D-08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8F8F5"/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工作坊培训 1 次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8F8F5"/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3 小时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8F8F5"/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市直机关处级干部</w:t>
            </w:r>
          </w:p>
        </w:tc>
      </w:tr>
      <w:tr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D-09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对标专题报告（郑州+杭州+上海）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25 页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学习借鉴</w:t>
            </w:r>
          </w:p>
        </w:tc>
      </w:tr>
      <w:tr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8F8F5"/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D-10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8F8F5"/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数据集与原始材料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8F8F5"/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完整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8F8F5"/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存档与后续研究</w:t>
            </w:r>
          </w:p>
        </w:tc>
      </w:tr>
    </w:tbl>
    <w:p/>
    <w:p>
      <w:pPr>
        <w:spacing w:before="400" w:after="200"/>
        <w:pBdr>
          <w:bottom w:val="single" w:sz="8" w:color="C9A063"/>
        </w:pBdr>
      </w:pPr>
      <w:r>
        <w:rPr>
          <w:rFonts w:ascii="微软雅黑" w:hAnsi="微软雅黑" w:eastAsia="微软雅黑"/>
          <w:b/>
          <w:color w:val="C9A063"/>
          <w:sz w:val="36"/>
        </w:rPr>
        <w:t xml:space="preserve">04  </w:t>
      </w:r>
      <w:r>
        <w:rPr>
          <w:rFonts w:ascii="微软雅黑" w:hAnsi="微软雅黑" w:eastAsia="微软雅黑"/>
          <w:b/>
          <w:color w:val="1E3A5F"/>
          <w:sz w:val="36"/>
        </w:rPr>
        <w:t>报价区间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268"/>
            <w:shd w:val="clear" w:color="auto" w:fill="1E3A5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版本</w:t>
            </w:r>
          </w:p>
        </w:tc>
        <w:tc>
          <w:tcPr>
            <w:tcW w:type="dxa" w:w="2268"/>
            <w:shd w:val="clear" w:color="auto" w:fill="1E3A5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内容</w:t>
            </w:r>
          </w:p>
        </w:tc>
        <w:tc>
          <w:tcPr>
            <w:tcW w:type="dxa" w:w="2268"/>
            <w:shd w:val="clear" w:color="auto" w:fill="1E3A5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报价</w:t>
            </w:r>
          </w:p>
        </w:tc>
        <w:tc>
          <w:tcPr>
            <w:tcW w:type="dxa" w:w="2268"/>
            <w:shd w:val="clear" w:color="auto" w:fill="1E3A5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推荐</w:t>
            </w:r>
          </w:p>
        </w:tc>
      </w:tr>
      <w:tr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基础版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D01-D06 + 简单培训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60-80 万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中小县市</w:t>
            </w:r>
          </w:p>
        </w:tc>
      </w:tr>
      <w:tr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8F8F5"/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标准版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8F8F5"/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D01-D09 全套交付物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8F8F5"/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100-150 万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8F8F5"/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地级市</w:t>
            </w:r>
          </w:p>
        </w:tc>
      </w:tr>
      <w:tr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旗舰版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标准版 + 1 年滚动复盘 + 每季度更新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200-300 万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省会/副中心城市</w:t>
            </w:r>
          </w:p>
        </w:tc>
      </w:tr>
    </w:tbl>
    <w:p/>
    <w:p>
      <w:pPr>
        <w:spacing w:after="120" w:line="384" w:lineRule="auto"/>
        <w:ind w:firstLine="480"/>
      </w:pPr>
      <w:r>
        <w:rPr>
          <w:rFonts w:ascii="微软雅黑" w:hAnsi="微软雅黑" w:eastAsia="微软雅黑"/>
          <w:color w:val="1A202C"/>
          <w:sz w:val="22"/>
        </w:rPr>
        <w:t>上述报价含全部人工费用、差旅、平台 1 年使用许可。可签订三方分期协议：30% 启动+40% 中期+30% 终验。</w:t>
      </w:r>
    </w:p>
    <w:p>
      <w:pPr>
        <w:spacing w:before="400" w:after="200"/>
        <w:pBdr>
          <w:bottom w:val="single" w:sz="8" w:color="C9A063"/>
        </w:pBdr>
      </w:pPr>
      <w:r>
        <w:rPr>
          <w:rFonts w:ascii="微软雅黑" w:hAnsi="微软雅黑" w:eastAsia="微软雅黑"/>
          <w:b/>
          <w:color w:val="C9A063"/>
          <w:sz w:val="36"/>
        </w:rPr>
        <w:t xml:space="preserve">05  </w:t>
      </w:r>
      <w:r>
        <w:rPr>
          <w:rFonts w:ascii="微软雅黑" w:hAnsi="微软雅黑" w:eastAsia="微软雅黑"/>
          <w:b/>
          <w:color w:val="1E3A5F"/>
          <w:sz w:val="36"/>
        </w:rPr>
        <w:t>双方分工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024"/>
            <w:shd w:val="clear" w:color="auto" w:fill="1E3A5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事项</w:t>
            </w:r>
          </w:p>
        </w:tc>
        <w:tc>
          <w:tcPr>
            <w:tcW w:type="dxa" w:w="3024"/>
            <w:shd w:val="clear" w:color="auto" w:fill="1E3A5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甲方（XX市）</w:t>
            </w:r>
          </w:p>
        </w:tc>
        <w:tc>
          <w:tcPr>
            <w:tcW w:type="dxa" w:w="3024"/>
            <w:shd w:val="clear" w:color="auto" w:fill="1E3A5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乙方（我方）</w:t>
            </w:r>
          </w:p>
        </w:tc>
      </w:tr>
      <w:tr>
        <w:tc>
          <w:tcPr>
            <w:tcW w:type="dxa" w:w="302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数据接入</w:t>
            </w:r>
          </w:p>
        </w:tc>
        <w:tc>
          <w:tcPr>
            <w:tcW w:type="dxa" w:w="302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提供 6 大类基线数据</w:t>
            </w:r>
          </w:p>
        </w:tc>
        <w:tc>
          <w:tcPr>
            <w:tcW w:type="dxa" w:w="302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技术接口与本地化部署</w:t>
            </w:r>
          </w:p>
        </w:tc>
      </w:tr>
      <w:tr>
        <w:tc>
          <w:tcPr>
            <w:tcW w:type="dxa" w:w="302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8F8F5"/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调研支持</w:t>
            </w:r>
          </w:p>
        </w:tc>
        <w:tc>
          <w:tcPr>
            <w:tcW w:type="dxa" w:w="302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8F8F5"/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选定 3 街道/乡镇 + 协调访谈</w:t>
            </w:r>
          </w:p>
        </w:tc>
        <w:tc>
          <w:tcPr>
            <w:tcW w:type="dxa" w:w="302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8F8F5"/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调研设计 + 走访 + 整理</w:t>
            </w:r>
          </w:p>
        </w:tc>
      </w:tr>
      <w:tr>
        <w:tc>
          <w:tcPr>
            <w:tcW w:type="dxa" w:w="302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问卷调研</w:t>
            </w:r>
          </w:p>
        </w:tc>
        <w:tc>
          <w:tcPr>
            <w:tcW w:type="dxa" w:w="302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组织 2000 份样本</w:t>
            </w:r>
          </w:p>
        </w:tc>
        <w:tc>
          <w:tcPr>
            <w:tcW w:type="dxa" w:w="302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问卷设计 + 平台搭建 + 数据分析</w:t>
            </w:r>
          </w:p>
        </w:tc>
      </w:tr>
      <w:tr>
        <w:tc>
          <w:tcPr>
            <w:tcW w:type="dxa" w:w="302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8F8F5"/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专家会诊</w:t>
            </w:r>
          </w:p>
        </w:tc>
        <w:tc>
          <w:tcPr>
            <w:tcW w:type="dxa" w:w="302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8F8F5"/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邀请 5 位市委智库专家参与</w:t>
            </w:r>
          </w:p>
        </w:tc>
        <w:tc>
          <w:tcPr>
            <w:tcW w:type="dxa" w:w="302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8F8F5"/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邀请 3 位港理工/清华专家</w:t>
            </w:r>
          </w:p>
        </w:tc>
      </w:tr>
      <w:tr>
        <w:tc>
          <w:tcPr>
            <w:tcW w:type="dxa" w:w="302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报告评审</w:t>
            </w:r>
          </w:p>
        </w:tc>
        <w:tc>
          <w:tcPr>
            <w:tcW w:type="dxa" w:w="302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组织 1 次中期 + 1 次终审</w:t>
            </w:r>
          </w:p>
        </w:tc>
        <w:tc>
          <w:tcPr>
            <w:tcW w:type="dxa" w:w="302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撰写 + 答辩</w:t>
            </w:r>
          </w:p>
        </w:tc>
      </w:tr>
      <w:tr>
        <w:tc>
          <w:tcPr>
            <w:tcW w:type="dxa" w:w="302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8F8F5"/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汇报呈交</w:t>
            </w:r>
          </w:p>
        </w:tc>
        <w:tc>
          <w:tcPr>
            <w:tcW w:type="dxa" w:w="302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8F8F5"/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市委办公厅安排上会</w:t>
            </w:r>
          </w:p>
        </w:tc>
        <w:tc>
          <w:tcPr>
            <w:tcW w:type="dxa" w:w="302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8F8F5"/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提供汇报材料 + 主讲</w:t>
            </w:r>
          </w:p>
        </w:tc>
      </w:tr>
    </w:tbl>
    <w:p/>
    <w:p>
      <w:pPr>
        <w:spacing w:before="400" w:after="200"/>
        <w:pBdr>
          <w:bottom w:val="single" w:sz="8" w:color="C9A063"/>
        </w:pBdr>
      </w:pPr>
      <w:r>
        <w:rPr>
          <w:rFonts w:ascii="微软雅黑" w:hAnsi="微软雅黑" w:eastAsia="微软雅黑"/>
          <w:b/>
          <w:color w:val="C9A063"/>
          <w:sz w:val="36"/>
        </w:rPr>
        <w:t xml:space="preserve">06  </w:t>
      </w:r>
      <w:r>
        <w:rPr>
          <w:rFonts w:ascii="微软雅黑" w:hAnsi="微软雅黑" w:eastAsia="微软雅黑"/>
          <w:b/>
          <w:color w:val="1E3A5F"/>
          <w:sz w:val="36"/>
        </w:rPr>
        <w:t>团队配置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024"/>
            <w:shd w:val="clear" w:color="auto" w:fill="1E3A5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岗位</w:t>
            </w:r>
          </w:p>
        </w:tc>
        <w:tc>
          <w:tcPr>
            <w:tcW w:type="dxa" w:w="3024"/>
            <w:shd w:val="clear" w:color="auto" w:fill="1E3A5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人数</w:t>
            </w:r>
          </w:p>
        </w:tc>
        <w:tc>
          <w:tcPr>
            <w:tcW w:type="dxa" w:w="3024"/>
            <w:shd w:val="clear" w:color="auto" w:fill="1E3A5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职责</w:t>
            </w:r>
          </w:p>
        </w:tc>
      </w:tr>
      <w:tr>
        <w:tc>
          <w:tcPr>
            <w:tcW w:type="dxa" w:w="302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项目总监</w:t>
            </w:r>
          </w:p>
        </w:tc>
        <w:tc>
          <w:tcPr>
            <w:tcW w:type="dxa" w:w="302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1</w:t>
            </w:r>
          </w:p>
        </w:tc>
        <w:tc>
          <w:tcPr>
            <w:tcW w:type="dxa" w:w="302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总体协调 · 客户对接</w:t>
            </w:r>
          </w:p>
        </w:tc>
      </w:tr>
      <w:tr>
        <w:tc>
          <w:tcPr>
            <w:tcW w:type="dxa" w:w="302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8F8F5"/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首席研究员</w:t>
            </w:r>
          </w:p>
        </w:tc>
        <w:tc>
          <w:tcPr>
            <w:tcW w:type="dxa" w:w="302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8F8F5"/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1</w:t>
            </w:r>
          </w:p>
        </w:tc>
        <w:tc>
          <w:tcPr>
            <w:tcW w:type="dxa" w:w="302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8F8F5"/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方法论把控 · 报告主笔</w:t>
            </w:r>
          </w:p>
        </w:tc>
      </w:tr>
      <w:tr>
        <w:tc>
          <w:tcPr>
            <w:tcW w:type="dxa" w:w="302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数据分析师</w:t>
            </w:r>
          </w:p>
        </w:tc>
        <w:tc>
          <w:tcPr>
            <w:tcW w:type="dxa" w:w="302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2</w:t>
            </w:r>
          </w:p>
        </w:tc>
        <w:tc>
          <w:tcPr>
            <w:tcW w:type="dxa" w:w="302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数据清洗 · 沙盘推演</w:t>
            </w:r>
          </w:p>
        </w:tc>
      </w:tr>
      <w:tr>
        <w:tc>
          <w:tcPr>
            <w:tcW w:type="dxa" w:w="302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8F8F5"/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调研员</w:t>
            </w:r>
          </w:p>
        </w:tc>
        <w:tc>
          <w:tcPr>
            <w:tcW w:type="dxa" w:w="302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8F8F5"/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3</w:t>
            </w:r>
          </w:p>
        </w:tc>
        <w:tc>
          <w:tcPr>
            <w:tcW w:type="dxa" w:w="302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8F8F5"/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现场访谈 · 问卷执行</w:t>
            </w:r>
          </w:p>
        </w:tc>
      </w:tr>
      <w:tr>
        <w:tc>
          <w:tcPr>
            <w:tcW w:type="dxa" w:w="302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设计师</w:t>
            </w:r>
          </w:p>
        </w:tc>
        <w:tc>
          <w:tcPr>
            <w:tcW w:type="dxa" w:w="302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1</w:t>
            </w:r>
          </w:p>
        </w:tc>
        <w:tc>
          <w:tcPr>
            <w:tcW w:type="dxa" w:w="302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报告排版 · 图表设计</w:t>
            </w:r>
          </w:p>
        </w:tc>
      </w:tr>
      <w:tr>
        <w:tc>
          <w:tcPr>
            <w:tcW w:type="dxa" w:w="302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8F8F5"/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合计</w:t>
            </w:r>
          </w:p>
        </w:tc>
        <w:tc>
          <w:tcPr>
            <w:tcW w:type="dxa" w:w="302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8F8F5"/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8</w:t>
            </w:r>
          </w:p>
        </w:tc>
        <w:tc>
          <w:tcPr>
            <w:tcW w:type="dxa" w:w="302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8F8F5"/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—</w:t>
            </w:r>
          </w:p>
        </w:tc>
      </w:tr>
    </w:tbl>
    <w:p/>
    <w:p>
      <w:pPr>
        <w:spacing w:before="400" w:after="200"/>
        <w:pBdr>
          <w:bottom w:val="single" w:sz="8" w:color="C9A063"/>
        </w:pBdr>
      </w:pPr>
      <w:r>
        <w:rPr>
          <w:rFonts w:ascii="微软雅黑" w:hAnsi="微软雅黑" w:eastAsia="微软雅黑"/>
          <w:b/>
          <w:color w:val="C9A063"/>
          <w:sz w:val="36"/>
        </w:rPr>
        <w:t xml:space="preserve">07  </w:t>
      </w:r>
      <w:r>
        <w:rPr>
          <w:rFonts w:ascii="微软雅黑" w:hAnsi="微软雅黑" w:eastAsia="微软雅黑"/>
          <w:b/>
          <w:color w:val="1E3A5F"/>
          <w:sz w:val="36"/>
        </w:rPr>
        <w:t>验收标准</w:t>
      </w:r>
    </w:p>
    <w:p>
      <w:pPr>
        <w:spacing w:after="60" w:line="360" w:lineRule="auto"/>
        <w:ind w:left="480"/>
      </w:pPr>
      <w:r>
        <w:rPr>
          <w:rFonts w:ascii="微软雅黑" w:hAnsi="微软雅黑" w:eastAsia="微软雅黑"/>
          <w:b/>
          <w:color w:val="C9A063"/>
          <w:sz w:val="22"/>
        </w:rPr>
        <w:t xml:space="preserve">• </w:t>
      </w:r>
      <w:r>
        <w:rPr>
          <w:rFonts w:ascii="微软雅黑" w:hAnsi="微软雅黑" w:eastAsia="微软雅黑"/>
          <w:color w:val="1A202C"/>
          <w:sz w:val="22"/>
        </w:rPr>
        <w:t>数据完整性：18 杠杆全部完成现状打分，缺失率 &lt; 5%</w:t>
      </w:r>
    </w:p>
    <w:p>
      <w:pPr>
        <w:spacing w:after="60" w:line="360" w:lineRule="auto"/>
        <w:ind w:left="480"/>
      </w:pPr>
      <w:r>
        <w:rPr>
          <w:rFonts w:ascii="微软雅黑" w:hAnsi="微软雅黑" w:eastAsia="微软雅黑"/>
          <w:b/>
          <w:color w:val="C9A063"/>
          <w:sz w:val="22"/>
        </w:rPr>
        <w:t xml:space="preserve">• </w:t>
      </w:r>
      <w:r>
        <w:rPr>
          <w:rFonts w:ascii="微软雅黑" w:hAnsi="微软雅黑" w:eastAsia="微软雅黑"/>
          <w:color w:val="1A202C"/>
          <w:sz w:val="22"/>
        </w:rPr>
        <w:t>诊断深度：每个杠杆给出现状评分 + 1 条总书记原话依据 + 1 条提升建议</w:t>
      </w:r>
    </w:p>
    <w:p>
      <w:pPr>
        <w:spacing w:after="60" w:line="360" w:lineRule="auto"/>
        <w:ind w:left="480"/>
      </w:pPr>
      <w:r>
        <w:rPr>
          <w:rFonts w:ascii="微软雅黑" w:hAnsi="微软雅黑" w:eastAsia="微软雅黑"/>
          <w:b/>
          <w:color w:val="C9A063"/>
          <w:sz w:val="22"/>
        </w:rPr>
        <w:t xml:space="preserve">• </w:t>
      </w:r>
      <w:r>
        <w:rPr>
          <w:rFonts w:ascii="微软雅黑" w:hAnsi="微软雅黑" w:eastAsia="微软雅黑"/>
          <w:color w:val="1A202C"/>
          <w:sz w:val="22"/>
        </w:rPr>
        <w:t>对标精度：与至少 3 个标杆城市完成 ISUI 6 维对比</w:t>
      </w:r>
    </w:p>
    <w:p>
      <w:pPr>
        <w:spacing w:after="60" w:line="360" w:lineRule="auto"/>
        <w:ind w:left="480"/>
      </w:pPr>
      <w:r>
        <w:rPr>
          <w:rFonts w:ascii="微软雅黑" w:hAnsi="微软雅黑" w:eastAsia="微软雅黑"/>
          <w:b/>
          <w:color w:val="C9A063"/>
          <w:sz w:val="22"/>
        </w:rPr>
        <w:t xml:space="preserve">• </w:t>
      </w:r>
      <w:r>
        <w:rPr>
          <w:rFonts w:ascii="微软雅黑" w:hAnsi="微软雅黑" w:eastAsia="微软雅黑"/>
          <w:color w:val="1A202C"/>
          <w:sz w:val="22"/>
        </w:rPr>
        <w:t>可读性：报告通过市委办公厅文风审查，全部可上会</w:t>
      </w:r>
    </w:p>
    <w:p>
      <w:pPr>
        <w:spacing w:after="60" w:line="360" w:lineRule="auto"/>
        <w:ind w:left="480"/>
      </w:pPr>
      <w:r>
        <w:rPr>
          <w:rFonts w:ascii="微软雅黑" w:hAnsi="微软雅黑" w:eastAsia="微软雅黑"/>
          <w:b/>
          <w:color w:val="C9A063"/>
          <w:sz w:val="22"/>
        </w:rPr>
        <w:t xml:space="preserve">• </w:t>
      </w:r>
      <w:r>
        <w:rPr>
          <w:rFonts w:ascii="微软雅黑" w:hAnsi="微软雅黑" w:eastAsia="微软雅黑"/>
          <w:color w:val="1A202C"/>
          <w:sz w:val="22"/>
        </w:rPr>
        <w:t>时效性：第 30 天交付最终版本，逾期免责事项书面约定</w:t>
      </w:r>
    </w:p>
    <w:p>
      <w:pPr>
        <w:spacing w:before="400" w:after="200"/>
        <w:pBdr>
          <w:bottom w:val="single" w:sz="8" w:color="C9A063"/>
        </w:pBdr>
      </w:pPr>
      <w:r>
        <w:rPr>
          <w:rFonts w:ascii="微软雅黑" w:hAnsi="微软雅黑" w:eastAsia="微软雅黑"/>
          <w:b/>
          <w:color w:val="C9A063"/>
          <w:sz w:val="36"/>
        </w:rPr>
        <w:t xml:space="preserve">08  </w:t>
      </w:r>
      <w:r>
        <w:rPr>
          <w:rFonts w:ascii="微软雅黑" w:hAnsi="微软雅黑" w:eastAsia="微软雅黑"/>
          <w:b/>
          <w:color w:val="1E3A5F"/>
          <w:sz w:val="36"/>
        </w:rPr>
        <w:t>风险与保障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024"/>
            <w:shd w:val="clear" w:color="auto" w:fill="1E3A5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风险</w:t>
            </w:r>
          </w:p>
        </w:tc>
        <w:tc>
          <w:tcPr>
            <w:tcW w:type="dxa" w:w="3024"/>
            <w:shd w:val="clear" w:color="auto" w:fill="1E3A5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等级</w:t>
            </w:r>
          </w:p>
        </w:tc>
        <w:tc>
          <w:tcPr>
            <w:tcW w:type="dxa" w:w="3024"/>
            <w:shd w:val="clear" w:color="auto" w:fill="1E3A5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保障措施</w:t>
            </w:r>
          </w:p>
        </w:tc>
      </w:tr>
      <w:tr>
        <w:tc>
          <w:tcPr>
            <w:tcW w:type="dxa" w:w="302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数据缺失</w:t>
            </w:r>
          </w:p>
        </w:tc>
        <w:tc>
          <w:tcPr>
            <w:tcW w:type="dxa" w:w="302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中</w:t>
            </w:r>
          </w:p>
        </w:tc>
        <w:tc>
          <w:tcPr>
            <w:tcW w:type="dxa" w:w="302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甲方协助 + 替代调研方案</w:t>
            </w:r>
          </w:p>
        </w:tc>
      </w:tr>
      <w:tr>
        <w:tc>
          <w:tcPr>
            <w:tcW w:type="dxa" w:w="302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8F8F5"/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调研受阻</w:t>
            </w:r>
          </w:p>
        </w:tc>
        <w:tc>
          <w:tcPr>
            <w:tcW w:type="dxa" w:w="302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8F8F5"/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低</w:t>
            </w:r>
          </w:p>
        </w:tc>
        <w:tc>
          <w:tcPr>
            <w:tcW w:type="dxa" w:w="302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8F8F5"/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多渠道走访 + 电话访问替代</w:t>
            </w:r>
          </w:p>
        </w:tc>
      </w:tr>
      <w:tr>
        <w:tc>
          <w:tcPr>
            <w:tcW w:type="dxa" w:w="302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专家不到位</w:t>
            </w:r>
          </w:p>
        </w:tc>
        <w:tc>
          <w:tcPr>
            <w:tcW w:type="dxa" w:w="302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低</w:t>
            </w:r>
          </w:p>
        </w:tc>
        <w:tc>
          <w:tcPr>
            <w:tcW w:type="dxa" w:w="302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备选名单 3 人</w:t>
            </w:r>
          </w:p>
        </w:tc>
      </w:tr>
      <w:tr>
        <w:tc>
          <w:tcPr>
            <w:tcW w:type="dxa" w:w="302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8F8F5"/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报告通不过</w:t>
            </w:r>
          </w:p>
        </w:tc>
        <w:tc>
          <w:tcPr>
            <w:tcW w:type="dxa" w:w="302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8F8F5"/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低</w:t>
            </w:r>
          </w:p>
        </w:tc>
        <w:tc>
          <w:tcPr>
            <w:tcW w:type="dxa" w:w="302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8F8F5"/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中期评审 + 客户反馈循环</w:t>
            </w:r>
          </w:p>
        </w:tc>
      </w:tr>
      <w:tr>
        <w:tc>
          <w:tcPr>
            <w:tcW w:type="dxa" w:w="302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IP 与保密</w:t>
            </w:r>
          </w:p>
        </w:tc>
        <w:tc>
          <w:tcPr>
            <w:tcW w:type="dxa" w:w="302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中</w:t>
            </w:r>
          </w:p>
        </w:tc>
        <w:tc>
          <w:tcPr>
            <w:tcW w:type="dxa" w:w="302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签 NDA + 数据本地化</w:t>
            </w:r>
          </w:p>
        </w:tc>
      </w:tr>
    </w:tbl>
    <w:p/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