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  <w:jc w:val="center"/>
      </w:pPr>
      <w:r>
        <w:rPr>
          <w:rFonts w:ascii="微软雅黑" w:hAnsi="微软雅黑" w:eastAsia="微软雅黑"/>
          <w:b/>
          <w:color w:val="1E3A5F"/>
          <w:sz w:val="56"/>
        </w:rPr>
        <w:t>与郑州数智科技集团联合产品研发合作方案</w:t>
      </w:r>
    </w:p>
    <w:p>
      <w:pPr>
        <w:spacing w:before="400"/>
        <w:jc w:val="center"/>
      </w:pPr>
      <w:r>
        <w:rPr>
          <w:rFonts w:ascii="微软雅黑" w:hAnsi="微软雅黑" w:eastAsia="微软雅黑"/>
          <w:color w:val="718096"/>
          <w:sz w:val="28"/>
        </w:rPr>
        <w:t>Joint Product Development Proposal with Zhengzhou Smart Data Group</w:t>
      </w:r>
    </w:p>
    <w:p>
      <w:pPr>
        <w:spacing w:before="2400"/>
        <w:jc w:val="center"/>
      </w:pPr>
      <w:r>
        <w:rPr>
          <w:rFonts w:ascii="微软雅黑" w:hAnsi="微软雅黑" w:eastAsia="微软雅黑"/>
          <w:color w:val="718096"/>
          <w:sz w:val="22"/>
        </w:rPr>
        <w:t>—— 机密 · CONFIDENTIAL ——</w:t>
      </w:r>
    </w:p>
    <w:p>
      <w:pPr>
        <w:spacing w:before="160"/>
        <w:jc w:val="center"/>
      </w:pPr>
      <w:r>
        <w:rPr>
          <w:rFonts w:ascii="微软雅黑" w:hAnsi="微软雅黑" w:eastAsia="微软雅黑"/>
          <w:color w:val="1E3A5F"/>
          <w:sz w:val="24"/>
        </w:rPr>
        <w:t>报送：郑州数智科技集团领导</w:t>
      </w:r>
    </w:p>
    <w:p>
      <w:pPr>
        <w:spacing w:before="160"/>
        <w:jc w:val="center"/>
      </w:pPr>
      <w:r>
        <w:rPr>
          <w:rFonts w:ascii="微软雅黑" w:hAnsi="微软雅黑" w:eastAsia="微软雅黑"/>
          <w:color w:val="1E3A5F"/>
          <w:sz w:val="24"/>
        </w:rPr>
        <w:t>方案版本：v1.0</w:t>
      </w:r>
    </w:p>
    <w:p>
      <w:pPr>
        <w:spacing w:before="160"/>
        <w:jc w:val="center"/>
      </w:pPr>
      <w:r>
        <w:rPr>
          <w:rFonts w:ascii="微软雅黑" w:hAnsi="微软雅黑" w:eastAsia="微软雅黑"/>
          <w:color w:val="1E3A5F"/>
          <w:sz w:val="24"/>
        </w:rPr>
        <w:t>2026 年 6 月</w:t>
      </w:r>
    </w:p>
    <w:p>
      <w:r>
        <w:br w:type="page"/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01  </w:t>
      </w:r>
      <w:r>
        <w:rPr>
          <w:rFonts w:ascii="微软雅黑" w:hAnsi="微软雅黑" w:eastAsia="微软雅黑"/>
          <w:b/>
          <w:color w:val="1E3A5F"/>
          <w:sz w:val="36"/>
        </w:rPr>
        <w:t>合作背景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郑州数智集团作为「郑好办」「郑好拍」「AI 小郑」运营方，已积累 1,097 万用户、3,042 项服务、706.9 万件事件处置案例，被「2024 世界智慧城市治理奖」官方认证为治理科技标杆。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我方「高效能治理交互模拟系统」基于 MIT En-ROADS + 史文中 ISUI + 习近平人民城市理论，已建成可推演的政策沙盘原型，并在 v8/v9/v10 版本中深度对标郑州模式。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双方优势互补，建议联合研发「中国地方治理智能决策辅助平台 2.0」，争取 2027 年获国家「中国智慧城市」TOP 10 案例认证。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02  </w:t>
      </w:r>
      <w:r>
        <w:rPr>
          <w:rFonts w:ascii="微软雅黑" w:hAnsi="微软雅黑" w:eastAsia="微软雅黑"/>
          <w:b/>
          <w:color w:val="1E3A5F"/>
          <w:sz w:val="36"/>
        </w:rPr>
        <w:t>双方优势互补矩阵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郑州数智集团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互补点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产品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郑好办 6.0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治理沙盘 v9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面向公众 + 面向决策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1,189 万办件案例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18 杠杆理论体系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实战 + 理论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技术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郑州城市大脑 + AI 小郑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ISUI 6 维 + 政策对位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执行 + 决策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关系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郑州市政府 + 河南省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史文中 PolyU + 学术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本土 + 国际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品牌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2024 世界治理奖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治理科学方法论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落地 + 学术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03  </w:t>
      </w:r>
      <w:r>
        <w:rPr>
          <w:rFonts w:ascii="微软雅黑" w:hAnsi="微软雅黑" w:eastAsia="微软雅黑"/>
          <w:b/>
          <w:color w:val="1E3A5F"/>
          <w:sz w:val="36"/>
        </w:rPr>
        <w:t>联合产品规划：「治理沙盘 2.0」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3.1 核心模块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郑州贡献</w:t>
            </w:r>
          </w:p>
        </w:tc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我方贡献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数据层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1,189 万件历史案例 + 实时数据流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ISUI 评分模型 + 6 目标计算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引擎层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AI 小郑社会治理模型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En-ROADS 系统动力学引擎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展示层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郑好办用户端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决策端 + 学术端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对标层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国内城市对标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国际 4 城对标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B8232F"/>
          <w:sz w:val="28"/>
        </w:rPr>
        <w:t>3.2 三个核心场景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场景一：决策辅助 —— 市长办公室、各局办决策时使用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场景二：干部培训 —— 市委党校、行政学院的工作坊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场景三：政绩评估 —— 年度治理水平评估、对标全国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04  </w:t>
      </w:r>
      <w:r>
        <w:rPr>
          <w:rFonts w:ascii="微软雅黑" w:hAnsi="微软雅黑" w:eastAsia="微软雅黑"/>
          <w:b/>
          <w:color w:val="1E3A5F"/>
          <w:sz w:val="36"/>
        </w:rPr>
        <w:t>商业模式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产品形态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目标客户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定价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双方分成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SaaS 订阅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县市政府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县 8 万/年 · 市 50 万/年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郑州 60% · 我方 40%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项目咨询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省级智库 · 党校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100-300 万/项目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郑州 50% · 我方 50%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 API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其他咨询公司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 万/年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郑州 40% · 我方 60%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定制开发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央企智库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50-200 万/单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按工作量分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05  </w:t>
      </w:r>
      <w:r>
        <w:rPr>
          <w:rFonts w:ascii="微软雅黑" w:hAnsi="微软雅黑" w:eastAsia="微软雅黑"/>
          <w:b/>
          <w:color w:val="1E3A5F"/>
          <w:sz w:val="36"/>
        </w:rPr>
        <w:t>知识产权安排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IP 类型</w:t>
            </w:r>
          </w:p>
        </w:tc>
        <w:tc>
          <w:tcPr>
            <w:tcW w:type="dxa" w:w="4535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归属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「治理沙盘 2.0」品牌商标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双方联合持有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底层引擎代码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我方持有 + 郑州永久免费使用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郑州数据资产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郑州持有 + 我方仅可脱敏使用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学术论文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联合署名 · 互不限制单独发表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专利申请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联合申请 · 共同持有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06  </w:t>
      </w:r>
      <w:r>
        <w:rPr>
          <w:rFonts w:ascii="微软雅黑" w:hAnsi="微软雅黑" w:eastAsia="微软雅黑"/>
          <w:b/>
          <w:color w:val="1E3A5F"/>
          <w:sz w:val="36"/>
        </w:rPr>
        <w:t>治理结构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建议成立「联合产品委员会」，双方各派 3 位代表，每季度召开 1 次产品评审会议。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郑州派</w:t>
            </w:r>
          </w:p>
        </w:tc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我方派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联合产品总监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 人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 人（联席）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技术总监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 人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 人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业务拓展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 人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 人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07  </w:t>
      </w:r>
      <w:r>
        <w:rPr>
          <w:rFonts w:ascii="微软雅黑" w:hAnsi="微软雅黑" w:eastAsia="微软雅黑"/>
          <w:b/>
          <w:color w:val="1E3A5F"/>
          <w:sz w:val="36"/>
        </w:rPr>
        <w:t>实施路径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核心动作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阶段一·签约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2026 Q3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签战略协议 + 成立联委会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正式启动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阶段二·研发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2026 Q3-2027 Q1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联合开发 6 个月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Beta 版上线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阶段三·试点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2027 Q2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选 3 县市试用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完成试点报告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阶段四·推广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2027 Q3-Q4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全省推广 + 申报国家级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纳入十五五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08  </w:t>
      </w:r>
      <w:r>
        <w:rPr>
          <w:rFonts w:ascii="微软雅黑" w:hAnsi="微软雅黑" w:eastAsia="微软雅黑"/>
          <w:b/>
          <w:color w:val="1E3A5F"/>
          <w:sz w:val="36"/>
        </w:rPr>
        <w:t>预期收益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收益类型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2027 年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2028 年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2029 年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SaaS 收入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800 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2,500 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6,000 万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项目咨询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500 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2,000 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5,000 万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合计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1,300 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4,500 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11,000 万</w:t>
            </w:r>
          </w:p>
        </w:tc>
      </w:tr>
    </w:tbl>
    <w:p/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