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  <w:jc w:val="center"/>
      </w:pPr>
      <w:r>
        <w:rPr>
          <w:rFonts w:ascii="微软雅黑" w:hAnsi="微软雅黑" w:eastAsia="微软雅黑"/>
          <w:b/>
          <w:color w:val="1E3A5F"/>
          <w:sz w:val="56"/>
        </w:rPr>
        <w:t>XX 市数字治理评估报告（模板）</w:t>
      </w:r>
    </w:p>
    <w:p>
      <w:pPr>
        <w:spacing w:before="400"/>
        <w:jc w:val="center"/>
      </w:pPr>
      <w:r>
        <w:rPr>
          <w:rFonts w:ascii="微软雅黑" w:hAnsi="微软雅黑" w:eastAsia="微软雅黑"/>
          <w:color w:val="718096"/>
          <w:sz w:val="28"/>
        </w:rPr>
        <w:t>Digital Governance Assessment Report Template</w:t>
      </w:r>
    </w:p>
    <w:p>
      <w:pPr>
        <w:spacing w:before="2400"/>
        <w:jc w:val="center"/>
      </w:pPr>
      <w:r>
        <w:rPr>
          <w:rFonts w:ascii="微软雅黑" w:hAnsi="微软雅黑" w:eastAsia="微软雅黑"/>
          <w:color w:val="718096"/>
          <w:sz w:val="22"/>
        </w:rPr>
        <w:t>—— 机密 · CONFIDENTIAL ——</w:t>
      </w:r>
    </w:p>
    <w:p>
      <w:pPr>
        <w:spacing w:before="160"/>
        <w:jc w:val="center"/>
      </w:pPr>
      <w:r>
        <w:rPr>
          <w:rFonts w:ascii="微软雅黑" w:hAnsi="微软雅黑" w:eastAsia="微软雅黑"/>
          <w:color w:val="1E3A5F"/>
          <w:sz w:val="24"/>
        </w:rPr>
        <w:t>报送：XX 市委市政府</w:t>
      </w:r>
    </w:p>
    <w:p>
      <w:pPr>
        <w:spacing w:before="160"/>
        <w:jc w:val="center"/>
      </w:pPr>
      <w:r>
        <w:rPr>
          <w:rFonts w:ascii="微软雅黑" w:hAnsi="微软雅黑" w:eastAsia="微软雅黑"/>
          <w:color w:val="1E3A5F"/>
          <w:sz w:val="24"/>
        </w:rPr>
        <w:t>评估期间：202X 年 X 月-X 月</w:t>
      </w:r>
    </w:p>
    <w:p>
      <w:pPr>
        <w:spacing w:before="160"/>
        <w:jc w:val="center"/>
      </w:pPr>
      <w:r>
        <w:rPr>
          <w:rFonts w:ascii="微软雅黑" w:hAnsi="微软雅黑" w:eastAsia="微软雅黑"/>
          <w:color w:val="1E3A5F"/>
          <w:sz w:val="24"/>
        </w:rPr>
        <w:t>评估方：HENAN-ROADS 团队</w:t>
      </w:r>
    </w:p>
    <w:p>
      <w:r>
        <w:br w:type="page"/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  </w:t>
      </w:r>
      <w:r>
        <w:rPr>
          <w:rFonts w:ascii="微软雅黑" w:hAnsi="微软雅黑" w:eastAsia="微软雅黑"/>
          <w:b/>
          <w:color w:val="1E3A5F"/>
          <w:sz w:val="36"/>
        </w:rPr>
        <w:t>摘要 · Executive Summary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本报告基于「高效能治理交互模拟系统」+ ISUI 智慧城市指数 + 现代化人民城市 6 目标三维评估框架，对 XX 市治理水平进行全面体检。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核心指标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本市评分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全国对标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综合 ISUI 智慧城市指数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杭州 88.2 · 上海 88.2 · 北京 83.3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人民满意度（5 维加权）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全国均值 65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现代化人民城市 6 目标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治理效率（一网通办率）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杭州 95% · 深圳 100%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</w:tr>
    </w:tbl>
    <w:p/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3 大突破口：（1）[杠杆 A] —— [现状描述]；（2）[杠杆 B] —— [现状描述]；（3）[杠杆 C] —— [现状描述]。</w:t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01  </w:t>
      </w:r>
      <w:r>
        <w:rPr>
          <w:rFonts w:ascii="微软雅黑" w:hAnsi="微软雅黑" w:eastAsia="微软雅黑"/>
          <w:b/>
          <w:color w:val="1E3A5F"/>
          <w:sz w:val="36"/>
        </w:rPr>
        <w:t>评估方法论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评估采用三维框架：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**政治维度**：习近平人民城市理念 + 中央城市工作会议 6 目标 5 转变 7 任务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**学术维度**：MIT En-ROADS 系统动力学 + 香港理工 ISUI 智慧城市指数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**实证维度**：18 杠杆调研打分 + 满意度问卷（≥2000 份样本）</w:t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02  </w:t>
      </w:r>
      <w:r>
        <w:rPr>
          <w:rFonts w:ascii="微软雅黑" w:hAnsi="微软雅黑" w:eastAsia="微软雅黑"/>
          <w:b/>
          <w:color w:val="1E3A5F"/>
          <w:sz w:val="36"/>
        </w:rPr>
        <w:t>18 杠杆诊断结果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[18 杠杆评分逐项填充，6 大类别分组]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512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杠杆</w:t>
            </w:r>
          </w:p>
        </w:tc>
        <w:tc>
          <w:tcPr>
            <w:tcW w:type="dxa" w:w="1512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本市得分</w:t>
            </w:r>
          </w:p>
        </w:tc>
        <w:tc>
          <w:tcPr>
            <w:tcW w:type="dxa" w:w="1512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全国均值</w:t>
            </w:r>
          </w:p>
        </w:tc>
        <w:tc>
          <w:tcPr>
            <w:tcW w:type="dxa" w:w="1512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差距</w:t>
            </w:r>
          </w:p>
        </w:tc>
        <w:tc>
          <w:tcPr>
            <w:tcW w:type="dxa" w:w="1512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总书记原话依据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党建引领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组织覆盖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「健全党组织领导的城乡基层治理体系」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党建引领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先锋模范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55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「基层党组织是战斗堡垒」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党建引领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党建+网格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「自治法治德治相结合」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网格管理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网格密度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「纵向到底横向到边」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网格管理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专职配备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「绣花精细化」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网格管理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专属网格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40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「风险防控嵌入」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城市大脑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数字基建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55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「从数字化到智慧化」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城市大脑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数据共享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45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「数据多跑路群众少跑腿」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城市大脑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AI 决策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40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「智慧化决策」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协商共治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政社协同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「共建共治共享」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协商共治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政企协同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45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「营商环境」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协商共治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群众参与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「聚焦人民群众需求」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能力建设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财政下沉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「资源向基层下沉」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能力建设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人才下沉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45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「人才支撑」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能力建设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干部培训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55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「能力建设」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场景服务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民生智慧化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「人民有更多获得感」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场景服务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一网通办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「一网通办」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场景服务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个性化推送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35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「政策找人」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03  </w:t>
      </w:r>
      <w:r>
        <w:rPr>
          <w:rFonts w:ascii="微软雅黑" w:hAnsi="微软雅黑" w:eastAsia="微软雅黑"/>
          <w:b/>
          <w:color w:val="1E3A5F"/>
          <w:sz w:val="36"/>
        </w:rPr>
        <w:t>ISUI 6 维评分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ISUI 维度</w:t>
            </w:r>
          </w:p>
        </w:tc>
        <w:tc>
          <w:tcPr>
            <w:tcW w:type="dxa" w:w="1512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本市</w:t>
            </w:r>
          </w:p>
        </w:tc>
        <w:tc>
          <w:tcPr>
            <w:tcW w:type="dxa" w:w="1512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杭州</w:t>
            </w:r>
          </w:p>
        </w:tc>
        <w:tc>
          <w:tcPr>
            <w:tcW w:type="dxa" w:w="1512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北京</w:t>
            </w:r>
          </w:p>
        </w:tc>
        <w:tc>
          <w:tcPr>
            <w:tcW w:type="dxa" w:w="1512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香港</w:t>
            </w:r>
          </w:p>
        </w:tc>
        <w:tc>
          <w:tcPr>
            <w:tcW w:type="dxa" w:w="1512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差距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I1 智慧基础设施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88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85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92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I2 智慧治理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92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90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88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I3 智慧经济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90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87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85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I4 智慧人民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83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78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82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I5 智慧环境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87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76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80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I6 智慧机动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89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84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95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</w:tr>
      <w:tr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综合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88.2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83.3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87.0</w:t>
            </w:r>
          </w:p>
        </w:tc>
        <w:tc>
          <w:tcPr>
            <w:tcW w:type="dxa" w:w="15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04  </w:t>
      </w:r>
      <w:r>
        <w:rPr>
          <w:rFonts w:ascii="微软雅黑" w:hAnsi="微软雅黑" w:eastAsia="微软雅黑"/>
          <w:b/>
          <w:color w:val="1E3A5F"/>
          <w:sz w:val="36"/>
        </w:rPr>
        <w:t>现代化人民城市 6 目标评分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对应中央城市工作会议 2025.07 提出的目标体系：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本市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对标杭州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对标上海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政策依据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创新城市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88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90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创新驱动 + 动能转换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宜居城市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86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85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以人民为中心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美丽城市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90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84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绿色低碳转型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韧性城市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83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86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风险防控嵌入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文明城市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84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90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文化软实力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智慧城市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[填]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92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88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一网通办+统管+共治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05  </w:t>
      </w:r>
      <w:r>
        <w:rPr>
          <w:rFonts w:ascii="微软雅黑" w:hAnsi="微软雅黑" w:eastAsia="微软雅黑"/>
          <w:b/>
          <w:color w:val="1E3A5F"/>
          <w:sz w:val="36"/>
        </w:rPr>
        <w:t>短板分析与突破路径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[基于 18 杠杆评分，列出 3 大突破口]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**突破口一**：[杠杆名称] 现状 [X] 分（全国均值 [Y]）→ 提升空间 [Z] 分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突破路径：[具体行动 1] → [具体行动 2] → [具体行动 3]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投入产出：约 [N] 万元，可换算为 [M] 分提升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**突破口二**：[杠杆名称] ……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**突破口三**：[杠杆名称] ……</w:t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06  </w:t>
      </w:r>
      <w:r>
        <w:rPr>
          <w:rFonts w:ascii="微软雅黑" w:hAnsi="微软雅黑" w:eastAsia="微软雅黑"/>
          <w:b/>
          <w:color w:val="1E3A5F"/>
          <w:sz w:val="36"/>
        </w:rPr>
        <w:t>5 年提升路径图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重点行动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 ISUI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预期人民满意度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2026 Y0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诊断完成 · 立项启动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[基线]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[基线]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2027 Y1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突破口 1+2 启动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+3-5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+3-5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2028 Y2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突破口 3 启动 · 中期评估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+5-8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+5-8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2029 Y3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全面推进 · 深化改革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+8-12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+8-12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2030 Y4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对标杭州/上海 · 标杆建设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+10-15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+10-15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07  </w:t>
      </w:r>
      <w:r>
        <w:rPr>
          <w:rFonts w:ascii="微软雅黑" w:hAnsi="微软雅黑" w:eastAsia="微软雅黑"/>
          <w:b/>
          <w:color w:val="1E3A5F"/>
          <w:sz w:val="36"/>
        </w:rPr>
        <w:t>结论与建议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[综合结论与对市委市政府的具体建议]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建议一：成立「治理科技专班」由市委办公厅牵头，统筹推进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建议二：选定 3 个示范乡镇/街道率先突破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建议三：与高校/智库建立长期合作关系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建议四：编制「市级数字治理白皮书」年度发布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建议五：申报 2027 年「中国智慧城市」TOP 10 / 国家级数字政府试点</w:t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附录  </w:t>
      </w:r>
      <w:r>
        <w:rPr>
          <w:rFonts w:ascii="微软雅黑" w:hAnsi="微软雅黑" w:eastAsia="微软雅黑"/>
          <w:b/>
          <w:color w:val="1E3A5F"/>
          <w:sz w:val="36"/>
        </w:rPr>
        <w:t>数据集与方法说明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本评估使用的全部原始数据、问卷模板、计算公式等均归档于配套数据集，可供后续研究或更新使用。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