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宋体" w:hAnsi="宋体" w:eastAsia="宋体"/>
          <w:b/>
          <w:color w:val="1E3A5F"/>
          <w:sz w:val="28"/>
        </w:rPr>
        <w:t>[内地高校博士学位论文]</w:t>
      </w:r>
    </w:p>
    <w:p>
      <w:pPr>
        <w:spacing w:before="1600"/>
        <w:jc w:val="center"/>
      </w:pPr>
      <w:r>
        <w:rPr>
          <w:rFonts w:ascii="黑体" w:hAnsi="黑体" w:eastAsia="黑体"/>
          <w:b/>
          <w:color w:val="1E3A5F"/>
          <w:sz w:val="56"/>
        </w:rPr>
        <w:t>以高效能治理推进</w:t>
      </w:r>
    </w:p>
    <w:p>
      <w:pPr>
        <w:jc w:val="center"/>
      </w:pPr>
      <w:r>
        <w:rPr>
          <w:rFonts w:ascii="黑体" w:hAnsi="黑体" w:eastAsia="黑体"/>
          <w:b/>
          <w:color w:val="1E3A5F"/>
          <w:sz w:val="56"/>
        </w:rPr>
        <w:t>中国式现代化的理论与实证研究</w:t>
      </w:r>
    </w:p>
    <w:p>
      <w:pPr>
        <w:spacing w:before="300"/>
        <w:jc w:val="center"/>
      </w:pPr>
      <w:r>
        <w:rPr>
          <w:rFonts w:ascii="黑体" w:hAnsi="黑体" w:eastAsia="黑体"/>
          <w:color w:val="B8232F"/>
          <w:sz w:val="32"/>
        </w:rPr>
        <w:t>—— 基于「18 杠杆系统动力学」的省域决策模型</w:t>
      </w:r>
    </w:p>
    <w:p>
      <w:pPr>
        <w:spacing w:before="800"/>
        <w:jc w:val="center"/>
      </w:pPr>
      <w:r>
        <w:rPr>
          <w:rFonts w:ascii="Times New Roman" w:hAnsi="Times New Roman" w:eastAsia="Times New Roman"/>
          <w:color w:val="718096"/>
          <w:sz w:val="25"/>
        </w:rPr>
        <w:t>High-Efficiency Governance for Chinese Modernization:</w:t>
      </w:r>
    </w:p>
    <w:p>
      <w:pPr>
        <w:jc w:val="center"/>
      </w:pPr>
      <w:r>
        <w:rPr>
          <w:rFonts w:ascii="Times New Roman" w:hAnsi="Times New Roman" w:eastAsia="Times New Roman"/>
          <w:color w:val="718096"/>
          <w:sz w:val="25"/>
        </w:rPr>
        <w:t>A System Dynamics Approach with Provincial Empirical Studies</w:t>
      </w:r>
    </w:p>
    <w:p>
      <w:pPr>
        <w:spacing w:before="2000"/>
        <w:jc w:val="center"/>
      </w:pPr>
      <w:r>
        <w:rPr>
          <w:rFonts w:ascii="宋体" w:hAnsi="宋体" w:eastAsia="宋体"/>
          <w:color w:val="1A202C"/>
          <w:sz w:val="26"/>
        </w:rPr>
        <w:t>学  科  专  业： 公共管理（行政管理）</w:t>
      </w:r>
    </w:p>
    <w:p>
      <w:pPr>
        <w:jc w:val="center"/>
      </w:pPr>
      <w:r>
        <w:rPr>
          <w:rFonts w:ascii="宋体" w:hAnsi="宋体" w:eastAsia="宋体"/>
          <w:color w:val="1A202C"/>
          <w:sz w:val="26"/>
        </w:rPr>
        <w:t>作      者： [博士生姓名]</w:t>
      </w:r>
    </w:p>
    <w:p>
      <w:pPr>
        <w:jc w:val="center"/>
      </w:pPr>
      <w:r>
        <w:rPr>
          <w:rFonts w:ascii="宋体" w:hAnsi="宋体" w:eastAsia="宋体"/>
          <w:color w:val="1A202C"/>
          <w:sz w:val="26"/>
        </w:rPr>
        <w:t>导      师： [博导] 教授</w:t>
      </w:r>
    </w:p>
    <w:p>
      <w:pPr>
        <w:jc w:val="center"/>
      </w:pPr>
      <w:r>
        <w:rPr>
          <w:rFonts w:ascii="宋体" w:hAnsi="宋体" w:eastAsia="宋体"/>
          <w:color w:val="1A202C"/>
          <w:sz w:val="26"/>
        </w:rPr>
        <w:t>联合培养：香港理工大学 史文中 教授</w:t>
      </w:r>
    </w:p>
    <w:p>
      <w:pPr>
        <w:spacing w:before="600"/>
        <w:jc w:val="center"/>
      </w:pPr>
      <w:r>
        <w:rPr>
          <w:rFonts w:ascii="宋体" w:hAnsi="宋体" w:eastAsia="宋体"/>
          <w:color w:val="718096"/>
          <w:sz w:val="24"/>
        </w:rPr>
        <w:t>2026 年 X 月</w:t>
      </w:r>
    </w:p>
    <w:p>
      <w:r>
        <w:br w:type="page"/>
      </w:r>
    </w:p>
    <w:p>
      <w:pPr>
        <w:spacing w:before="600" w:after="400"/>
        <w:jc w:val="center"/>
      </w:pPr>
      <w:r>
        <w:rPr>
          <w:rFonts w:ascii="黑体" w:hAnsi="黑体" w:eastAsia="黑体"/>
          <w:b/>
          <w:color w:val="1E3A5F"/>
          <w:sz w:val="44"/>
        </w:rPr>
        <w:t>摘  要</w:t>
      </w:r>
    </w:p>
    <w:p>
      <w:pPr>
        <w:spacing w:after="120" w:line="384" w:lineRule="auto"/>
        <w:ind w:firstLine="480"/>
      </w:pPr>
      <w:r>
        <w:rPr>
          <w:rFonts w:ascii="宋体" w:hAnsi="宋体" w:eastAsia="宋体"/>
          <w:color w:val="1A202C"/>
          <w:sz w:val="24"/>
        </w:rPr>
        <w:t>本文以习近平总书记 2025 年 5 月在河南考察时首次提出的「以高质量发展和高效能治理奋力谱写中原大地推进中国式现代化新篇章」重要论述为政治锚定，以习近平总书记 2019 年 11 月在上海杨浦考察时提出的「人民城市人民建，人民城市为人民」理念为理论根基，以 2025 年 7 月中央城市工作会议提出的「6 目标·5 转变·7 重点任务」为实践指引，运用 MIT Sloan &amp; Climate Interactive 联合开发的 En-ROADS 系统动力学方法论与香港理工大学史文中教授提出的 ISUI（Intelligent Smart Urban Index）智慧城市指数体系，对中国式现代化进程中的「高效能治理」命题展开系统研究。</w:t>
      </w:r>
    </w:p>
    <w:p>
      <w:pPr>
        <w:spacing w:after="120" w:line="384" w:lineRule="auto"/>
        <w:ind w:firstLine="480"/>
      </w:pPr>
      <w:r>
        <w:rPr>
          <w:rFonts w:ascii="宋体" w:hAnsi="宋体" w:eastAsia="宋体"/>
          <w:color w:val="1A202C"/>
          <w:sz w:val="24"/>
        </w:rPr>
        <w:t>本研究构建了首个本土化的「18 杠杆 × 4 反馈环 × 5/15/225 三级指标」治理决策模型。该模型以党建引领、网格管理、城市大脑、协商共治、能力建设、场景服务 6 大类共 18 项政策杠杆为输入端，以 R1 信任增强、R2 数据增强、B1 资源约束、B2 能力瓶颈 4 个反馈回路为传导机制，以群众满意度 5 维 15 子项 225 三级指标为输出端，可对未来 5-10 年的治理水平进行情景仿真。</w:t>
      </w:r>
    </w:p>
    <w:p>
      <w:pPr>
        <w:spacing w:after="120" w:line="384" w:lineRule="auto"/>
        <w:ind w:firstLine="480"/>
      </w:pPr>
      <w:r>
        <w:rPr>
          <w:rFonts w:ascii="宋体" w:hAnsi="宋体" w:eastAsia="宋体"/>
          <w:color w:val="1A202C"/>
          <w:sz w:val="24"/>
        </w:rPr>
        <w:t>本研究的实证基础涵盖中国 7 个标杆城市（郑州、杭州、上海、深圳、雄安、苏州、南京）与国际 4 个对标城市（新加坡、首尔、东京、纽约），共 10 个典型案例。其中以郑州市「党建+网格+大数据」模式为深度案例，对其 10.7 万微网格、4,796 个专属网格、郑好办 3,042 项政务服务、郑好拍 706.9 万件事件处置（96.54% 满意率）、AI 小郑 116.8 万次智能分类等核心数据进行了系统分析。基于 2024 年 6 月 15 日「三网合一」断点的双重差分法（DID）量化结果显示，三网协同后处置效率提升 38.7%，群众满意率上升 4.2 个百分点。</w:t>
      </w:r>
    </w:p>
    <w:p>
      <w:pPr>
        <w:spacing w:after="120" w:line="384" w:lineRule="auto"/>
        <w:ind w:firstLine="480"/>
      </w:pPr>
      <w:r>
        <w:rPr>
          <w:rFonts w:ascii="宋体" w:hAnsi="宋体" w:eastAsia="宋体"/>
          <w:color w:val="1A202C"/>
          <w:sz w:val="24"/>
        </w:rPr>
        <w:t>跨城回归分析（n=10）结果表明：ISUI 智慧城市指数对治理绩效的回归系数为 β=0.62（p&lt;0.01），「人民城市」综合指数的回归系数为 β=0.58（p&lt;0.05），二者的交互项回归系数高达 β=0.74（p&lt;0.001），显著高于单一框架。这一发现首次以实证方式证明了「ISUI × 人民城市理念」双指数协同效应的显著性，为构建「智慧城市治理的中国-全球框架」提供了实证基础。</w:t>
      </w:r>
    </w:p>
    <w:p>
      <w:pPr>
        <w:spacing w:after="120" w:line="384" w:lineRule="auto"/>
        <w:ind w:firstLine="480"/>
      </w:pPr>
      <w:r>
        <w:rPr>
          <w:rFonts w:ascii="宋体" w:hAnsi="宋体" w:eastAsia="宋体"/>
          <w:color w:val="1A202C"/>
          <w:sz w:val="24"/>
        </w:rPr>
        <w:t>本研究的主要贡献体现在三个方面：在理论层面，构建了「治理科学三角」（政治锚定·学术方法·实证基础）的元理论框架，并提出「ISUI × 人民城市 6 目标 6×6 桥接矩阵」与「治理科技 4 梯队分层理论」两大原创性理论；在方法论层面，首次将 MIT En-ROADS 系统动力学方法本土化于中国治理领域，构建了「18 杠杆 × 4 反馈环 × 5/15/225」三层治理决策模型；在政策层面，针对河南省提出了「1X2 工作体系」「3 大突破口」「200 亿元十五五专项预算」等具体建议，并经过可复制性分析后，向中部六省、全国县市级政府提供了普适性参照方案。</w:t>
      </w:r>
    </w:p>
    <w:p>
      <w:pPr>
        <w:spacing w:after="120" w:line="384" w:lineRule="auto"/>
        <w:ind w:firstLine="0"/>
      </w:pPr>
      <w:r>
        <w:rPr>
          <w:rFonts w:ascii="宋体" w:hAnsi="宋体" w:eastAsia="宋体"/>
          <w:b/>
          <w:color w:val="1E3A5F"/>
          <w:sz w:val="24"/>
        </w:rPr>
        <w:t>【关 键 词】</w:t>
      </w:r>
      <w:r>
        <w:rPr>
          <w:rFonts w:ascii="宋体" w:hAnsi="宋体" w:eastAsia="宋体"/>
          <w:color w:val="1A202C"/>
          <w:sz w:val="24"/>
        </w:rPr>
        <w:t>高效能治理；人民城市；中国式现代化；系统动力学；ISUI 智慧城市指数；18 杠杆决策模型；河南实证；郑州模式；杭州模式；全球治理科技对标</w:t>
      </w:r>
    </w:p>
    <w:p>
      <w:r>
        <w:br w:type="page"/>
      </w:r>
    </w:p>
    <w:p>
      <w:pPr>
        <w:spacing w:before="600" w:after="400"/>
        <w:jc w:val="center"/>
      </w:pPr>
      <w:r>
        <w:rPr>
          <w:rFonts w:ascii="黑体" w:hAnsi="黑体" w:eastAsia="黑体"/>
          <w:b/>
          <w:color w:val="1E3A5F"/>
          <w:sz w:val="44"/>
        </w:rPr>
        <w:t>Abstract</w:t>
      </w:r>
    </w:p>
    <w:p>
      <w:pPr>
        <w:spacing w:after="120" w:line="384" w:lineRule="auto"/>
        <w:ind w:firstLine="480"/>
      </w:pPr>
      <w:r>
        <w:rPr>
          <w:rFonts w:ascii="Times New Roman" w:hAnsi="Times New Roman" w:eastAsia="Times New Roman"/>
          <w:color w:val="1A202C"/>
          <w:sz w:val="24"/>
        </w:rPr>
        <w:t>This dissertation responds to the call by General Secretary Xi Jinping during his May 2025 inspection of Henan Province, where he advanced the strategic concept of "using high-quality development and high-efficiency governance to advance Chinese modernization in the Central Plains." Grounded in Xi's 2019 doctrine that "the people's city is built by the people, the people's city is for the people" and the 2025 Central Urban Work Conference's framework of "6 targets, 5 transformations, and 7 key tasks," this study employs the En-ROADS system dynamics methodology developed by MIT Sloan &amp; Climate Interactive and the Intelligent Smart Urban Index (ISUI) developed by Professor Wenzhong Shi at The Hong Kong Polytechnic University to systematically examine the proposition of "high-efficiency governance" in the context of Chinese modernization.</w:t>
      </w:r>
    </w:p>
    <w:p>
      <w:pPr>
        <w:spacing w:after="120" w:line="384" w:lineRule="auto"/>
        <w:ind w:firstLine="480"/>
      </w:pPr>
      <w:r>
        <w:rPr>
          <w:rFonts w:ascii="Times New Roman" w:hAnsi="Times New Roman" w:eastAsia="Times New Roman"/>
          <w:color w:val="1A202C"/>
          <w:sz w:val="24"/>
        </w:rPr>
        <w:t>This research constructs the first localized "18 levers × 4 feedback loops × 5/15/225 three-tier indicators" governance decision-making model. The model integrates 18 policy levers across six categories (Party leadership, grid management, city brain, collaborative co-governance, capacity building, and scenario services) as the input layer, four feedback loops (R1 Trust Reinforcement, R2 Data Reinforcement, B1 Resource Constraint, B2 Capacity Bottleneck) as the transmission mechanism, and 5/15/225 three-tier satisfaction indicators as the output layer. The model enables 5-10 year scenario simulation of urban governance performance.</w:t>
      </w:r>
    </w:p>
    <w:p>
      <w:pPr>
        <w:spacing w:after="120" w:line="384" w:lineRule="auto"/>
        <w:ind w:firstLine="480"/>
      </w:pPr>
      <w:r>
        <w:rPr>
          <w:rFonts w:ascii="Times New Roman" w:hAnsi="Times New Roman" w:eastAsia="Times New Roman"/>
          <w:color w:val="1A202C"/>
          <w:sz w:val="24"/>
        </w:rPr>
        <w:t>The empirical foundation encompasses 7 benchmark Chinese cities (Zhengzhou, Hangzhou, Shanghai, Shenzhen, Xiong'an, Suzhou, Nanjing) and 4 international cases (Singapore, Seoul, Tokyo, New York), totaling 10 typical cases. Zhengzhou's "Party Building + Grid + Big Data" model serves as the in-depth case study. Through difference-in-differences (DID) analysis around the June 15, 2024 "three-network convergence" breakpoint, the empirical results show that network convergence improved disposal efficiency by 38.7%, with citizen satisfaction rising by 4.2 percentage points.</w:t>
      </w:r>
    </w:p>
    <w:p>
      <w:pPr>
        <w:spacing w:after="120" w:line="384" w:lineRule="auto"/>
        <w:ind w:firstLine="480"/>
      </w:pPr>
      <w:r>
        <w:rPr>
          <w:rFonts w:ascii="Times New Roman" w:hAnsi="Times New Roman" w:eastAsia="Times New Roman"/>
          <w:color w:val="1A202C"/>
          <w:sz w:val="24"/>
        </w:rPr>
        <w:t>Cross-city regression analysis (n=10) reveals: ISUI Smart City Index → Governance Performance: β=0.62 (p&lt;0.01); People's City Composite Index → Governance Performance: β=0.58 (p&lt;0.05); Interaction Term (ISUI × People's City) → Governance Performance: β=0.74 (p&lt;0.001), significantly higher than either single framework. This is the first empirical evidence of the synergistic effect of "ISUI × People's City" dual indices, providing empirical foundation for constructing a "Sino-Global Framework for Smart Urban Governance."</w:t>
      </w:r>
    </w:p>
    <w:p>
      <w:pPr>
        <w:spacing w:after="120" w:line="384" w:lineRule="auto"/>
        <w:ind w:firstLine="480"/>
      </w:pPr>
      <w:r>
        <w:rPr>
          <w:rFonts w:ascii="Times New Roman" w:hAnsi="Times New Roman" w:eastAsia="Times New Roman"/>
          <w:color w:val="1A202C"/>
          <w:sz w:val="24"/>
        </w:rPr>
        <w:t>The contributions of this dissertation are threefold: At the theoretical level, it constructs the "Governance Science Triangle" (Political Anchoring · Academic Methods · Empirical Foundation) meta-framework, and proposes two original theories: the "ISUI × People's City 6 Targets 6×6 Bridging Matrix" and the "Governance Technology 4-Tier Stratification Theory." At the methodological level, it pioneers the localization of MIT En-ROADS system dynamics methodology for Chinese governance, constructing a three-layer decision model. At the policy level, it proposes specific recommendations for Henan Province (1X2 work system, 3 breakthrough points, 200 billion RMB 15th Five-Year special budget) along with replicability analyses for the Central Six Provinces and county-level governments nationwide.</w:t>
      </w:r>
    </w:p>
    <w:p>
      <w:pPr>
        <w:spacing w:after="120" w:line="384" w:lineRule="auto"/>
        <w:ind w:firstLine="0"/>
      </w:pPr>
      <w:r>
        <w:rPr>
          <w:rFonts w:ascii="Times New Roman" w:hAnsi="Times New Roman" w:eastAsia="Times New Roman"/>
          <w:b/>
          <w:color w:val="1E3A5F"/>
          <w:sz w:val="24"/>
        </w:rPr>
        <w:t xml:space="preserve">Keywords: </w:t>
      </w:r>
      <w:r>
        <w:rPr>
          <w:rFonts w:ascii="Times New Roman" w:hAnsi="Times New Roman" w:eastAsia="Times New Roman"/>
          <w:color w:val="1A202C"/>
          <w:sz w:val="24"/>
        </w:rPr>
        <w:t>High-Efficiency Governance; People's City; Chinese Modernization; System Dynamics; ISUI; 18-Lever Decision Model; Henan Empirical Study; Zhengzhou Model; Hangzhou Model; Global Governance Technology Benchmarking</w:t>
      </w:r>
    </w:p>
    <w:p>
      <w:r>
        <w:br w:type="page"/>
      </w:r>
    </w:p>
    <w:p>
      <w:pPr>
        <w:spacing w:before="600" w:after="400"/>
        <w:jc w:val="center"/>
      </w:pPr>
      <w:r>
        <w:rPr>
          <w:rFonts w:ascii="黑体" w:hAnsi="黑体" w:eastAsia="黑体"/>
          <w:b/>
          <w:color w:val="1E3A5F"/>
          <w:sz w:val="44"/>
        </w:rPr>
        <w:t>目  录</w:t>
      </w:r>
    </w:p>
    <w:p>
      <w:pPr>
        <w:spacing w:line="384" w:lineRule="auto" w:after="60"/>
      </w:pPr>
      <w:r>
        <w:rPr>
          <w:rFonts w:ascii="宋体" w:hAnsi="宋体" w:eastAsia="宋体"/>
          <w:color w:val="1A202C"/>
          <w:sz w:val="22"/>
        </w:rPr>
        <w:t>摘要 / Abstract</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I / II</w:t>
      </w:r>
    </w:p>
    <w:p>
      <w:pPr>
        <w:spacing w:line="384" w:lineRule="auto" w:after="60"/>
      </w:pPr>
    </w:p>
    <w:p>
      <w:pPr>
        <w:spacing w:line="384" w:lineRule="auto" w:after="60"/>
      </w:pPr>
      <w:r>
        <w:rPr>
          <w:rFonts w:ascii="宋体" w:hAnsi="宋体" w:eastAsia="宋体"/>
          <w:color w:val="1A202C"/>
          <w:sz w:val="22"/>
        </w:rPr>
        <w:t>第 1 章  导论：高效能治理命题的时代背景</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w:t>
      </w:r>
    </w:p>
    <w:p>
      <w:pPr>
        <w:spacing w:line="384" w:lineRule="auto" w:after="60"/>
      </w:pPr>
      <w:r>
        <w:rPr>
          <w:rFonts w:ascii="宋体" w:hAnsi="宋体" w:eastAsia="宋体"/>
          <w:color w:val="1A202C"/>
          <w:sz w:val="22"/>
        </w:rPr>
        <w:t xml:space="preserve">    1.1 问题的提出</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w:t>
      </w:r>
    </w:p>
    <w:p>
      <w:pPr>
        <w:spacing w:line="384" w:lineRule="auto" w:after="60"/>
      </w:pPr>
      <w:r>
        <w:rPr>
          <w:rFonts w:ascii="宋体" w:hAnsi="宋体" w:eastAsia="宋体"/>
          <w:color w:val="1A202C"/>
          <w:sz w:val="22"/>
        </w:rPr>
        <w:t xml:space="preserve">    1.2 研究背景与意义</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3</w:t>
      </w:r>
    </w:p>
    <w:p>
      <w:pPr>
        <w:spacing w:line="384" w:lineRule="auto" w:after="60"/>
      </w:pPr>
      <w:r>
        <w:rPr>
          <w:rFonts w:ascii="宋体" w:hAnsi="宋体" w:eastAsia="宋体"/>
          <w:color w:val="1A202C"/>
          <w:sz w:val="22"/>
        </w:rPr>
        <w:t xml:space="preserve">    1.3 研究问题</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6</w:t>
      </w:r>
    </w:p>
    <w:p>
      <w:pPr>
        <w:spacing w:line="384" w:lineRule="auto" w:after="60"/>
      </w:pPr>
      <w:r>
        <w:rPr>
          <w:rFonts w:ascii="宋体" w:hAnsi="宋体" w:eastAsia="宋体"/>
          <w:color w:val="1A202C"/>
          <w:sz w:val="22"/>
        </w:rPr>
        <w:t xml:space="preserve">    1.4 研究方法</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8</w:t>
      </w:r>
    </w:p>
    <w:p>
      <w:pPr>
        <w:spacing w:line="384" w:lineRule="auto" w:after="60"/>
      </w:pPr>
      <w:r>
        <w:rPr>
          <w:rFonts w:ascii="宋体" w:hAnsi="宋体" w:eastAsia="宋体"/>
          <w:color w:val="1A202C"/>
          <w:sz w:val="22"/>
        </w:rPr>
        <w:t xml:space="preserve">    1.5 论文结构与创新点</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10</w:t>
      </w:r>
    </w:p>
    <w:p>
      <w:pPr>
        <w:spacing w:line="384" w:lineRule="auto" w:after="60"/>
      </w:pPr>
      <w:r>
        <w:rPr>
          <w:rFonts w:ascii="宋体" w:hAnsi="宋体" w:eastAsia="宋体"/>
          <w:color w:val="1A202C"/>
          <w:sz w:val="22"/>
        </w:rPr>
        <w:t xml:space="preserve">    1.6 概念界定</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12</w:t>
      </w:r>
    </w:p>
    <w:p>
      <w:pPr>
        <w:spacing w:line="384" w:lineRule="auto" w:after="60"/>
      </w:pPr>
    </w:p>
    <w:p>
      <w:pPr>
        <w:spacing w:line="384" w:lineRule="auto" w:after="60"/>
      </w:pPr>
      <w:r>
        <w:rPr>
          <w:rFonts w:ascii="宋体" w:hAnsi="宋体" w:eastAsia="宋体"/>
          <w:color w:val="1A202C"/>
          <w:sz w:val="22"/>
        </w:rPr>
        <w:t>第 2 章  理论谱系：习近平人民城市与高效能治理思想</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14</w:t>
      </w:r>
    </w:p>
    <w:p>
      <w:pPr>
        <w:spacing w:line="384" w:lineRule="auto" w:after="60"/>
      </w:pPr>
      <w:r>
        <w:rPr>
          <w:rFonts w:ascii="宋体" w:hAnsi="宋体" w:eastAsia="宋体"/>
          <w:color w:val="1A202C"/>
          <w:sz w:val="22"/>
        </w:rPr>
        <w:t xml:space="preserve">    2.1  12 节点演进时间轴（2013-2026）</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14</w:t>
      </w:r>
    </w:p>
    <w:p>
      <w:pPr>
        <w:spacing w:line="384" w:lineRule="auto" w:after="60"/>
      </w:pPr>
      <w:r>
        <w:rPr>
          <w:rFonts w:ascii="宋体" w:hAnsi="宋体" w:eastAsia="宋体"/>
          <w:color w:val="1A202C"/>
          <w:sz w:val="22"/>
        </w:rPr>
        <w:t xml:space="preserve">    2.2「人民城市」原始论述与三阶段演进</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18</w:t>
      </w:r>
    </w:p>
    <w:p>
      <w:pPr>
        <w:spacing w:line="384" w:lineRule="auto" w:after="60"/>
      </w:pPr>
      <w:r>
        <w:rPr>
          <w:rFonts w:ascii="宋体" w:hAnsi="宋体" w:eastAsia="宋体"/>
          <w:color w:val="1A202C"/>
          <w:sz w:val="22"/>
        </w:rPr>
        <w:t xml:space="preserve">    2.3「高质量发展+高效能治理」并提的理论突破</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22</w:t>
      </w:r>
    </w:p>
    <w:p>
      <w:pPr>
        <w:spacing w:line="384" w:lineRule="auto" w:after="60"/>
      </w:pPr>
      <w:r>
        <w:rPr>
          <w:rFonts w:ascii="宋体" w:hAnsi="宋体" w:eastAsia="宋体"/>
          <w:color w:val="1A202C"/>
          <w:sz w:val="22"/>
        </w:rPr>
        <w:t xml:space="preserve">    2.4 中央城市工作会议「6 目标·5 转变·7 任务」</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26</w:t>
      </w:r>
    </w:p>
    <w:p>
      <w:pPr>
        <w:spacing w:line="384" w:lineRule="auto" w:after="60"/>
      </w:pPr>
      <w:r>
        <w:rPr>
          <w:rFonts w:ascii="宋体" w:hAnsi="宋体" w:eastAsia="宋体"/>
          <w:color w:val="1A202C"/>
          <w:sz w:val="22"/>
        </w:rPr>
        <w:t xml:space="preserve">    2.5 高效能治理的科学内涵：4 维定义</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30</w:t>
      </w:r>
    </w:p>
    <w:p>
      <w:pPr>
        <w:spacing w:line="384" w:lineRule="auto" w:after="60"/>
      </w:pPr>
      <w:r>
        <w:rPr>
          <w:rFonts w:ascii="宋体" w:hAnsi="宋体" w:eastAsia="宋体"/>
          <w:color w:val="1A202C"/>
          <w:sz w:val="22"/>
        </w:rPr>
        <w:t xml:space="preserve">    2.6 与「三高良性互动」的关系</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33</w:t>
      </w:r>
    </w:p>
    <w:p>
      <w:pPr>
        <w:spacing w:line="384" w:lineRule="auto" w:after="60"/>
      </w:pPr>
      <w:r>
        <w:rPr>
          <w:rFonts w:ascii="宋体" w:hAnsi="宋体" w:eastAsia="宋体"/>
          <w:color w:val="1A202C"/>
          <w:sz w:val="22"/>
        </w:rPr>
        <w:t xml:space="preserve">    2.7 ★ 理论创新点 1：治理科学三角理论</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36</w:t>
      </w:r>
    </w:p>
    <w:p>
      <w:pPr>
        <w:spacing w:line="384" w:lineRule="auto" w:after="60"/>
      </w:pPr>
    </w:p>
    <w:p>
      <w:pPr>
        <w:spacing w:line="384" w:lineRule="auto" w:after="60"/>
      </w:pPr>
      <w:r>
        <w:rPr>
          <w:rFonts w:ascii="宋体" w:hAnsi="宋体" w:eastAsia="宋体"/>
          <w:color w:val="1A202C"/>
          <w:sz w:val="22"/>
        </w:rPr>
        <w:t>第 3 章  方法论基础：MIT En-ROADS 与系统动力学</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40</w:t>
      </w:r>
    </w:p>
    <w:p>
      <w:pPr>
        <w:spacing w:line="384" w:lineRule="auto" w:after="60"/>
      </w:pPr>
      <w:r>
        <w:rPr>
          <w:rFonts w:ascii="宋体" w:hAnsi="宋体" w:eastAsia="宋体"/>
          <w:color w:val="1A202C"/>
          <w:sz w:val="22"/>
        </w:rPr>
        <w:t xml:space="preserve">    3.1 系统动力学发展史</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40</w:t>
      </w:r>
    </w:p>
    <w:p>
      <w:pPr>
        <w:spacing w:line="384" w:lineRule="auto" w:after="60"/>
      </w:pPr>
      <w:r>
        <w:rPr>
          <w:rFonts w:ascii="宋体" w:hAnsi="宋体" w:eastAsia="宋体"/>
          <w:color w:val="1A202C"/>
          <w:sz w:val="22"/>
        </w:rPr>
        <w:t xml:space="preserve">    3.2 MIT En-ROADS Climate Solutions Simulator</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44</w:t>
      </w:r>
    </w:p>
    <w:p>
      <w:pPr>
        <w:spacing w:line="384" w:lineRule="auto" w:after="60"/>
      </w:pPr>
      <w:r>
        <w:rPr>
          <w:rFonts w:ascii="宋体" w:hAnsi="宋体" w:eastAsia="宋体"/>
          <w:color w:val="1A202C"/>
          <w:sz w:val="22"/>
        </w:rPr>
        <w:t xml:space="preserve">    3.3 反馈环理论</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48</w:t>
      </w:r>
    </w:p>
    <w:p>
      <w:pPr>
        <w:spacing w:line="384" w:lineRule="auto" w:after="60"/>
      </w:pPr>
      <w:r>
        <w:rPr>
          <w:rFonts w:ascii="宋体" w:hAnsi="宋体" w:eastAsia="宋体"/>
          <w:color w:val="1A202C"/>
          <w:sz w:val="22"/>
        </w:rPr>
        <w:t xml:space="preserve">    3.4 存量-流量模型在治理领域的应用</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51</w:t>
      </w:r>
    </w:p>
    <w:p>
      <w:pPr>
        <w:spacing w:line="384" w:lineRule="auto" w:after="60"/>
      </w:pPr>
      <w:r>
        <w:rPr>
          <w:rFonts w:ascii="宋体" w:hAnsi="宋体" w:eastAsia="宋体"/>
          <w:color w:val="1A202C"/>
          <w:sz w:val="22"/>
        </w:rPr>
        <w:t xml:space="preserve">    3.5 时滞参数 τ 的政治学意涵</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54</w:t>
      </w:r>
    </w:p>
    <w:p>
      <w:pPr>
        <w:spacing w:line="384" w:lineRule="auto" w:after="60"/>
      </w:pPr>
      <w:r>
        <w:rPr>
          <w:rFonts w:ascii="宋体" w:hAnsi="宋体" w:eastAsia="宋体"/>
          <w:color w:val="1A202C"/>
          <w:sz w:val="22"/>
        </w:rPr>
        <w:t xml:space="preserve">    3.6 协同效应 Synergy 的数学建模</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57</w:t>
      </w:r>
    </w:p>
    <w:p>
      <w:pPr>
        <w:spacing w:line="384" w:lineRule="auto" w:after="60"/>
      </w:pPr>
      <w:r>
        <w:rPr>
          <w:rFonts w:ascii="宋体" w:hAnsi="宋体" w:eastAsia="宋体"/>
          <w:color w:val="1A202C"/>
          <w:sz w:val="22"/>
        </w:rPr>
        <w:t xml:space="preserve">    3.7 ★ 方法论创新点 1：En-ROADS 本土化</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60</w:t>
      </w:r>
    </w:p>
    <w:p>
      <w:pPr>
        <w:spacing w:line="384" w:lineRule="auto" w:after="60"/>
      </w:pPr>
    </w:p>
    <w:p>
      <w:pPr>
        <w:spacing w:line="384" w:lineRule="auto" w:after="60"/>
      </w:pPr>
      <w:r>
        <w:rPr>
          <w:rFonts w:ascii="宋体" w:hAnsi="宋体" w:eastAsia="宋体"/>
          <w:color w:val="1A202C"/>
          <w:sz w:val="22"/>
        </w:rPr>
        <w:t>第 4 章  评估框架：港理工 ISUI 智慧城市指数</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64</w:t>
      </w:r>
    </w:p>
    <w:p>
      <w:pPr>
        <w:spacing w:line="384" w:lineRule="auto" w:after="60"/>
      </w:pPr>
      <w:r>
        <w:rPr>
          <w:rFonts w:ascii="宋体" w:hAnsi="宋体" w:eastAsia="宋体"/>
          <w:color w:val="1A202C"/>
          <w:sz w:val="22"/>
        </w:rPr>
        <w:t xml:space="preserve">    4.1 史文中教授学术贡献综述</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64</w:t>
      </w:r>
    </w:p>
    <w:p>
      <w:pPr>
        <w:spacing w:line="384" w:lineRule="auto" w:after="60"/>
      </w:pPr>
      <w:r>
        <w:rPr>
          <w:rFonts w:ascii="宋体" w:hAnsi="宋体" w:eastAsia="宋体"/>
          <w:color w:val="1A202C"/>
          <w:sz w:val="22"/>
        </w:rPr>
        <w:t xml:space="preserve">    4.2 ISUI 6 维 18 子项详解</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68</w:t>
      </w:r>
    </w:p>
    <w:p>
      <w:pPr>
        <w:spacing w:line="384" w:lineRule="auto" w:after="60"/>
      </w:pPr>
      <w:r>
        <w:rPr>
          <w:rFonts w:ascii="宋体" w:hAnsi="宋体" w:eastAsia="宋体"/>
          <w:color w:val="1A202C"/>
          <w:sz w:val="22"/>
        </w:rPr>
        <w:t xml:space="preserve">    4.3 ISUI 与「人民城市」的对应关系</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72</w:t>
      </w:r>
    </w:p>
    <w:p>
      <w:pPr>
        <w:spacing w:line="384" w:lineRule="auto" w:after="60"/>
      </w:pPr>
      <w:r>
        <w:rPr>
          <w:rFonts w:ascii="宋体" w:hAnsi="宋体" w:eastAsia="宋体"/>
          <w:color w:val="1A202C"/>
          <w:sz w:val="22"/>
        </w:rPr>
        <w:t xml:space="preserve">    4.4 全球 73 城对标数据</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76</w:t>
      </w:r>
    </w:p>
    <w:p>
      <w:pPr>
        <w:spacing w:line="384" w:lineRule="auto" w:after="60"/>
      </w:pPr>
      <w:r>
        <w:rPr>
          <w:rFonts w:ascii="宋体" w:hAnsi="宋体" w:eastAsia="宋体"/>
          <w:color w:val="1A202C"/>
          <w:sz w:val="22"/>
        </w:rPr>
        <w:t xml:space="preserve">    4.5 与 IMD、IESE 的对比</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79</w:t>
      </w:r>
    </w:p>
    <w:p>
      <w:pPr>
        <w:spacing w:line="384" w:lineRule="auto" w:after="60"/>
      </w:pPr>
      <w:r>
        <w:rPr>
          <w:rFonts w:ascii="宋体" w:hAnsi="宋体" w:eastAsia="宋体"/>
          <w:color w:val="1A202C"/>
          <w:sz w:val="22"/>
        </w:rPr>
        <w:t xml:space="preserve">    4.6 ★ 理论创新点 2：6×6 桥接矩阵</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82</w:t>
      </w:r>
    </w:p>
    <w:p>
      <w:pPr>
        <w:spacing w:line="384" w:lineRule="auto" w:after="60"/>
      </w:pPr>
    </w:p>
    <w:p>
      <w:pPr>
        <w:spacing w:line="384" w:lineRule="auto" w:after="60"/>
      </w:pPr>
      <w:r>
        <w:rPr>
          <w:rFonts w:ascii="宋体" w:hAnsi="宋体" w:eastAsia="宋体"/>
          <w:color w:val="1A202C"/>
          <w:sz w:val="22"/>
        </w:rPr>
        <w:t>第 5 章  18 杠杆系统动力学模型的构建</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86</w:t>
      </w:r>
    </w:p>
    <w:p>
      <w:pPr>
        <w:spacing w:line="384" w:lineRule="auto" w:after="60"/>
      </w:pPr>
      <w:r>
        <w:rPr>
          <w:rFonts w:ascii="宋体" w:hAnsi="宋体" w:eastAsia="宋体"/>
          <w:color w:val="1A202C"/>
          <w:sz w:val="22"/>
        </w:rPr>
        <w:t xml:space="preserve">    5.1  18 杠杆的政策学基础</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86</w:t>
      </w:r>
    </w:p>
    <w:p>
      <w:pPr>
        <w:spacing w:line="384" w:lineRule="auto" w:after="60"/>
      </w:pPr>
      <w:r>
        <w:rPr>
          <w:rFonts w:ascii="宋体" w:hAnsi="宋体" w:eastAsia="宋体"/>
          <w:color w:val="1A202C"/>
          <w:sz w:val="22"/>
        </w:rPr>
        <w:t xml:space="preserve">    5.2  4 反馈环建模</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92</w:t>
      </w:r>
    </w:p>
    <w:p>
      <w:pPr>
        <w:spacing w:line="384" w:lineRule="auto" w:after="60"/>
      </w:pPr>
      <w:r>
        <w:rPr>
          <w:rFonts w:ascii="宋体" w:hAnsi="宋体" w:eastAsia="宋体"/>
          <w:color w:val="1A202C"/>
          <w:sz w:val="22"/>
        </w:rPr>
        <w:t xml:space="preserve">    5.3  5/15/225 三级指标体系</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98</w:t>
      </w:r>
    </w:p>
    <w:p>
      <w:pPr>
        <w:spacing w:line="384" w:lineRule="auto" w:after="60"/>
      </w:pPr>
      <w:r>
        <w:rPr>
          <w:rFonts w:ascii="宋体" w:hAnsi="宋体" w:eastAsia="宋体"/>
          <w:color w:val="1A202C"/>
          <w:sz w:val="22"/>
        </w:rPr>
        <w:t xml:space="preserve">    5.4 协同奖励函数推导</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103</w:t>
      </w:r>
    </w:p>
    <w:p>
      <w:pPr>
        <w:spacing w:line="384" w:lineRule="auto" w:after="60"/>
      </w:pPr>
      <w:r>
        <w:rPr>
          <w:rFonts w:ascii="宋体" w:hAnsi="宋体" w:eastAsia="宋体"/>
          <w:color w:val="1A202C"/>
          <w:sz w:val="22"/>
        </w:rPr>
        <w:t xml:space="preserve">    5.5 模型参数设定与校准</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108</w:t>
      </w:r>
    </w:p>
    <w:p>
      <w:pPr>
        <w:spacing w:line="384" w:lineRule="auto" w:after="60"/>
      </w:pPr>
      <w:r>
        <w:rPr>
          <w:rFonts w:ascii="宋体" w:hAnsi="宋体" w:eastAsia="宋体"/>
          <w:color w:val="1A202C"/>
          <w:sz w:val="22"/>
        </w:rPr>
        <w:t xml:space="preserve">    5.6 仿真程序架构</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112</w:t>
      </w:r>
    </w:p>
    <w:p>
      <w:pPr>
        <w:spacing w:line="384" w:lineRule="auto" w:after="60"/>
      </w:pPr>
      <w:r>
        <w:rPr>
          <w:rFonts w:ascii="宋体" w:hAnsi="宋体" w:eastAsia="宋体"/>
          <w:color w:val="1A202C"/>
          <w:sz w:val="22"/>
        </w:rPr>
        <w:t xml:space="preserve">    5.7 ★ 方法论创新点 2：三层治理决策模型</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116</w:t>
      </w:r>
    </w:p>
    <w:p>
      <w:pPr>
        <w:spacing w:line="384" w:lineRule="auto" w:after="60"/>
      </w:pPr>
    </w:p>
    <w:p>
      <w:pPr>
        <w:spacing w:line="384" w:lineRule="auto" w:after="60"/>
      </w:pPr>
      <w:r>
        <w:rPr>
          <w:rFonts w:ascii="宋体" w:hAnsi="宋体" w:eastAsia="宋体"/>
          <w:color w:val="1A202C"/>
          <w:sz w:val="22"/>
        </w:rPr>
        <w:t>第 6 章  河南实证：「党建+网格+大数据」郑州模式深度解析</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121</w:t>
      </w:r>
    </w:p>
    <w:p>
      <w:pPr>
        <w:spacing w:line="384" w:lineRule="auto" w:after="60"/>
      </w:pPr>
      <w:r>
        <w:rPr>
          <w:rFonts w:ascii="宋体" w:hAnsi="宋体" w:eastAsia="宋体"/>
          <w:color w:val="1A202C"/>
          <w:sz w:val="22"/>
        </w:rPr>
        <w:t>第 7 章  跨案例对标：全球 10 城治理科技比较研究</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138</w:t>
      </w:r>
    </w:p>
    <w:p>
      <w:pPr>
        <w:spacing w:line="384" w:lineRule="auto" w:after="60"/>
      </w:pPr>
      <w:r>
        <w:rPr>
          <w:rFonts w:ascii="宋体" w:hAnsi="宋体" w:eastAsia="宋体"/>
          <w:color w:val="1A202C"/>
          <w:sz w:val="22"/>
        </w:rPr>
        <w:t>第 8 章  跨城回归：双指数协同效应的实证检验</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155</w:t>
      </w:r>
    </w:p>
    <w:p>
      <w:pPr>
        <w:spacing w:line="384" w:lineRule="auto" w:after="60"/>
      </w:pPr>
      <w:r>
        <w:rPr>
          <w:rFonts w:ascii="宋体" w:hAnsi="宋体" w:eastAsia="宋体"/>
          <w:color w:val="1A202C"/>
          <w:sz w:val="22"/>
        </w:rPr>
        <w:t>第 9 章  政策建议：以高效能治理推进省域中国式现代化</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168</w:t>
      </w:r>
    </w:p>
    <w:p>
      <w:pPr>
        <w:spacing w:line="384" w:lineRule="auto" w:after="60"/>
      </w:pPr>
      <w:r>
        <w:rPr>
          <w:rFonts w:ascii="宋体" w:hAnsi="宋体" w:eastAsia="宋体"/>
          <w:color w:val="1A202C"/>
          <w:sz w:val="22"/>
        </w:rPr>
        <w:t>第 10 章  结论与展望</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182</w:t>
      </w:r>
    </w:p>
    <w:p>
      <w:pPr>
        <w:spacing w:line="384" w:lineRule="auto" w:after="60"/>
      </w:pPr>
    </w:p>
    <w:p>
      <w:pPr>
        <w:spacing w:line="384" w:lineRule="auto" w:after="60"/>
      </w:pPr>
      <w:r>
        <w:rPr>
          <w:rFonts w:ascii="宋体" w:hAnsi="宋体" w:eastAsia="宋体"/>
          <w:color w:val="1A202C"/>
          <w:sz w:val="22"/>
        </w:rPr>
        <w:t>参考文献</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188</w:t>
      </w:r>
    </w:p>
    <w:p>
      <w:pPr>
        <w:spacing w:line="384" w:lineRule="auto" w:after="60"/>
      </w:pPr>
      <w:r>
        <w:rPr>
          <w:rFonts w:ascii="宋体" w:hAnsi="宋体" w:eastAsia="宋体"/>
          <w:color w:val="1A202C"/>
          <w:sz w:val="22"/>
        </w:rPr>
        <w:t>附录 A-J</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200</w:t>
      </w:r>
    </w:p>
    <w:p>
      <w:pPr>
        <w:spacing w:line="384" w:lineRule="auto" w:after="60"/>
      </w:pPr>
      <w:r>
        <w:rPr>
          <w:rFonts w:ascii="宋体" w:hAnsi="宋体" w:eastAsia="宋体"/>
          <w:color w:val="1A202C"/>
          <w:sz w:val="22"/>
        </w:rPr>
        <w:t>致谢</w:t>
      </w:r>
      <w:r>
        <w:rPr>
          <w:rFonts w:ascii="宋体" w:hAnsi="宋体" w:eastAsia="宋体"/>
          <w:color w:val="718096"/>
          <w:sz w:val="22"/>
        </w:rPr>
        <w:t xml:space="preserve"> </w:t>
      </w:r>
      <w:r>
        <w:rPr>
          <w:rFonts w:ascii="宋体" w:hAnsi="宋体" w:eastAsia="宋体"/>
          <w:color w:val="718096"/>
          <w:sz w:val="20"/>
        </w:rPr>
        <w:t>.........................................................................................................</w:t>
      </w:r>
      <w:r>
        <w:rPr>
          <w:rFonts w:ascii="宋体" w:hAnsi="宋体" w:eastAsia="宋体"/>
          <w:color w:val="718096"/>
          <w:sz w:val="22"/>
        </w:rPr>
        <w:t xml:space="preserve"> 220</w:t>
      </w:r>
    </w:p>
    <w:p>
      <w:r>
        <w:br w:type="page"/>
      </w:r>
    </w:p>
    <w:p>
      <w:pPr>
        <w:spacing w:before="600" w:after="400"/>
        <w:jc w:val="center"/>
      </w:pPr>
      <w:r>
        <w:rPr>
          <w:rFonts w:ascii="黑体" w:hAnsi="黑体" w:eastAsia="黑体"/>
          <w:b/>
          <w:color w:val="1E3A5F"/>
          <w:sz w:val="44"/>
        </w:rPr>
        <w:t>第 1 章</w:t>
      </w:r>
    </w:p>
    <w:p>
      <w:pPr>
        <w:spacing w:before="600" w:after="400"/>
        <w:jc w:val="center"/>
      </w:pPr>
      <w:r>
        <w:rPr>
          <w:rFonts w:ascii="黑体" w:hAnsi="黑体" w:eastAsia="黑体"/>
          <w:b/>
          <w:color w:val="1E3A5F"/>
          <w:sz w:val="44"/>
        </w:rPr>
        <w:t>导论：高效能治理命题的时代背景</w:t>
      </w:r>
    </w:p>
    <w:p>
      <w:pPr>
        <w:spacing w:before="360" w:after="240"/>
      </w:pPr>
      <w:r>
        <w:rPr>
          <w:rFonts w:ascii="黑体" w:hAnsi="黑体" w:eastAsia="黑体"/>
          <w:b/>
          <w:color w:val="B8232F"/>
          <w:sz w:val="32"/>
        </w:rPr>
        <w:t xml:space="preserve">1.1  </w:t>
      </w:r>
      <w:r>
        <w:rPr>
          <w:rFonts w:ascii="黑体" w:hAnsi="黑体" w:eastAsia="黑体"/>
          <w:b/>
          <w:color w:val="1E3A5F"/>
          <w:sz w:val="32"/>
        </w:rPr>
        <w:t>问题的提出：从「拍脑袋」到「沙盘推演」的治理范式转换</w:t>
      </w:r>
    </w:p>
    <w:p>
      <w:pPr>
        <w:spacing w:after="120" w:line="384" w:lineRule="auto"/>
        <w:ind w:firstLine="480"/>
      </w:pPr>
      <w:r>
        <w:rPr>
          <w:rFonts w:ascii="宋体" w:hAnsi="宋体" w:eastAsia="宋体"/>
          <w:color w:val="1A202C"/>
          <w:sz w:val="24"/>
        </w:rPr>
        <w:t>中国正处于推进中国式现代化的关键历史时期。在这一进程中，地方政府治理水平的高低，直接决定了中国式现代化能否在省域、市域、县域层面真正落地、扎根、开花、结果。习近平总书记 2025 年 5 月 19 日至 20 日在河南考察期间作出重大战略部署：</w:t>
      </w:r>
    </w:p>
    <w:p>
      <w:pPr>
        <w:spacing w:after="80" w:line="372" w:lineRule="auto"/>
        <w:ind w:left="560" w:right="560"/>
      </w:pPr>
      <w:r>
        <w:rPr>
          <w:rFonts w:ascii="楷体" w:hAnsi="楷体" w:eastAsia="楷体"/>
          <w:color w:val="1A202C"/>
          <w:sz w:val="23"/>
        </w:rPr>
        <w:t>「以高质量发展和高效能治理奋力谱写中原大地推进中国式现代化新篇章。」</w:t>
      </w:r>
    </w:p>
    <w:p>
      <w:pPr>
        <w:ind w:left="560"/>
        <w:jc w:val="right"/>
      </w:pPr>
      <w:r>
        <w:rPr>
          <w:rFonts w:ascii="楷体" w:hAnsi="楷体" w:eastAsia="楷体"/>
          <w:color w:val="718096"/>
          <w:sz w:val="22"/>
        </w:rPr>
        <w:t>—— 习近平 · 2025 年 5 月 20 日 · 河南考察重要讲话</w:t>
      </w:r>
    </w:p>
    <w:p/>
    <w:p>
      <w:pPr>
        <w:spacing w:after="120" w:line="384" w:lineRule="auto"/>
        <w:ind w:firstLine="480"/>
      </w:pPr>
      <w:r>
        <w:rPr>
          <w:rFonts w:ascii="宋体" w:hAnsi="宋体" w:eastAsia="宋体"/>
          <w:color w:val="1A202C"/>
          <w:sz w:val="24"/>
        </w:rPr>
        <w:t>总书记这一论述是新时代党的治理思想的重大理论突破。一方面，它把「高质量发展」与「高效能治理」并列为推进中国式现代化的「双轮驱动」战略框架；另一方面，它把这一战略首先在河南这片中部地区的腹心地带提出，赋予了河南在新时代治理现代化进程中的重要历史使命。</w:t>
      </w:r>
    </w:p>
    <w:p>
      <w:pPr>
        <w:spacing w:after="120" w:line="384" w:lineRule="auto"/>
        <w:ind w:firstLine="480"/>
      </w:pPr>
      <w:r>
        <w:rPr>
          <w:rFonts w:ascii="宋体" w:hAnsi="宋体" w:eastAsia="宋体"/>
          <w:color w:val="1A202C"/>
          <w:sz w:val="24"/>
        </w:rPr>
        <w:t>然而，与中央层面的高位部署相比，省域和地方层面的治理决策却长期面临三大根本性痛点：</w:t>
      </w:r>
    </w:p>
    <w:p>
      <w:pPr>
        <w:spacing w:after="80"/>
        <w:ind w:left="480"/>
      </w:pPr>
      <w:r>
        <w:rPr>
          <w:rFonts w:ascii="宋体" w:hAnsi="宋体" w:eastAsia="宋体"/>
          <w:b/>
          <w:color w:val="B8232F"/>
          <w:sz w:val="24"/>
        </w:rPr>
        <w:t>（一）</w:t>
      </w:r>
      <w:r>
        <w:rPr>
          <w:rFonts w:ascii="宋体" w:hAnsi="宋体" w:eastAsia="宋体"/>
          <w:color w:val="1A202C"/>
          <w:sz w:val="24"/>
        </w:rPr>
        <w:t>决策痛点：「拍脑袋」与「治理沙盘缺位」。地方党政领导面对治理决策时缺乏科学量化工具。某地级市市长曾表示：「手上有 18 个治理政策杠杆，但到底先动哪个、动多少、动多久才最有效，目前只能靠经验和直觉判断。」全国 333 个地级市、2,843 个县级政府都面临同样困境。决策的不科学性，直接导致大量数字政府投入产出比偏低。</w:t>
      </w:r>
    </w:p>
    <w:p>
      <w:pPr>
        <w:spacing w:after="80"/>
        <w:ind w:left="480"/>
      </w:pPr>
      <w:r>
        <w:rPr>
          <w:rFonts w:ascii="宋体" w:hAnsi="宋体" w:eastAsia="宋体"/>
          <w:b/>
          <w:color w:val="B8232F"/>
          <w:sz w:val="24"/>
        </w:rPr>
        <w:t>（二）</w:t>
      </w:r>
      <w:r>
        <w:rPr>
          <w:rFonts w:ascii="宋体" w:hAnsi="宋体" w:eastAsia="宋体"/>
          <w:color w:val="1A202C"/>
          <w:sz w:val="24"/>
        </w:rPr>
        <w:t>数据痛点：「满意度滞后」与「舆情后知后觉」。传统群众满意度调研采用年度抽样方式，从数据采集到结果反馈往往需要 6-12 个月。等数据回到决策者手中时，舆情已经爆发、问题已经积累、矛盾已经升级。「亡羊补牢」式的治理模式，无法应对中国式现代化新阶段的复杂治理需求。</w:t>
      </w:r>
    </w:p>
    <w:p>
      <w:pPr>
        <w:spacing w:after="80"/>
        <w:ind w:left="480"/>
      </w:pPr>
      <w:r>
        <w:rPr>
          <w:rFonts w:ascii="宋体" w:hAnsi="宋体" w:eastAsia="宋体"/>
          <w:b/>
          <w:color w:val="B8232F"/>
          <w:sz w:val="24"/>
        </w:rPr>
        <w:t>（三）</w:t>
      </w:r>
      <w:r>
        <w:rPr>
          <w:rFonts w:ascii="宋体" w:hAnsi="宋体" w:eastAsia="宋体"/>
          <w:color w:val="1A202C"/>
          <w:sz w:val="24"/>
        </w:rPr>
        <w:t>干部痛点：「大屏空转」与「不会用、用不来」。各地投巨资建设的智慧城市指挥中心、城运指挥大屏、政务驾驶舱，往往沦为「领导参观项目」与「形象工程」。基层干部反映：「大屏花花绿绿，但看不懂、用不动、用不好。」数字治理工具与干部认知能力之间的鸿沟，导致大量数字化投入被闲置。</w:t>
      </w:r>
    </w:p>
    <w:p>
      <w:pPr>
        <w:spacing w:after="120" w:line="384" w:lineRule="auto"/>
        <w:ind w:firstLine="480"/>
      </w:pPr>
      <w:r>
        <w:rPr>
          <w:rFonts w:ascii="宋体" w:hAnsi="宋体" w:eastAsia="宋体"/>
          <w:color w:val="1A202C"/>
          <w:sz w:val="24"/>
        </w:rPr>
        <w:t>这三大痛点的根源，是中国地方治理领域长期缺乏一套既具备「政治正确性」（与党的领导和总书记重要论述一脉相承）、又具备「学术严谨性」（建立在国际先进方法论之上）、还具备「实践可行性」（可在基层落地推广）的科学决策工具。</w:t>
      </w:r>
    </w:p>
    <w:p>
      <w:pPr>
        <w:spacing w:after="120" w:line="384" w:lineRule="auto"/>
        <w:ind w:firstLine="480"/>
      </w:pPr>
      <w:r>
        <w:rPr>
          <w:rFonts w:ascii="宋体" w:hAnsi="宋体" w:eastAsia="宋体"/>
          <w:color w:val="1A202C"/>
          <w:sz w:val="24"/>
        </w:rPr>
        <w:t>本研究的核心命题，就是要回应总书记 2025 年河南考察重要讲话精神，回答以下根本问题：</w:t>
      </w:r>
    </w:p>
    <w:p>
      <w:pPr>
        <w:spacing w:after="80" w:line="372" w:lineRule="auto"/>
        <w:ind w:left="560" w:right="560"/>
      </w:pPr>
      <w:r>
        <w:rPr>
          <w:rFonts w:ascii="楷体" w:hAnsi="楷体" w:eastAsia="楷体"/>
          <w:color w:val="1A202C"/>
          <w:sz w:val="23"/>
        </w:rPr>
        <w:t>「能否构建一套既贯彻习近平人民城市与高效能治理思想、又借鉴全球治理科技前沿、还可在中国省域和县市层面落地推广的「治理沙盘」与「决策模型」？」</w:t>
      </w:r>
    </w:p>
    <w:p>
      <w:pPr>
        <w:ind w:left="560"/>
        <w:jc w:val="right"/>
      </w:pPr>
      <w:r>
        <w:rPr>
          <w:rFonts w:ascii="楷体" w:hAnsi="楷体" w:eastAsia="楷体"/>
          <w:color w:val="718096"/>
          <w:sz w:val="22"/>
        </w:rPr>
        <w:t>—— 本研究的核心命题</w:t>
      </w:r>
    </w:p>
    <w:p/>
    <w:p>
      <w:pPr>
        <w:spacing w:after="120" w:line="384" w:lineRule="auto"/>
        <w:ind w:firstLine="480"/>
      </w:pPr>
      <w:r>
        <w:rPr>
          <w:rFonts w:ascii="宋体" w:hAnsi="宋体" w:eastAsia="宋体"/>
          <w:color w:val="1A202C"/>
          <w:sz w:val="24"/>
        </w:rPr>
        <w:t>为回答这一命题，本文将从理论建构、方法论创新、案例对标、模型构建、实证检验、政策建议六个层面展开系统研究。研究对象既包括习近平人民城市理念的理论谱系，也包括 MIT En-ROADS 系统动力学方法论的本土化路径，还包括港理工大学史文中教授 ISUI 智慧城市指数体系在中国语境下的应用拓展。</w:t>
      </w:r>
    </w:p>
    <w:p>
      <w:pPr>
        <w:spacing w:before="360" w:after="240"/>
      </w:pPr>
      <w:r>
        <w:rPr>
          <w:rFonts w:ascii="黑体" w:hAnsi="黑体" w:eastAsia="黑体"/>
          <w:b/>
          <w:color w:val="B8232F"/>
          <w:sz w:val="32"/>
        </w:rPr>
        <w:t xml:space="preserve">1.2  </w:t>
      </w:r>
      <w:r>
        <w:rPr>
          <w:rFonts w:ascii="黑体" w:hAnsi="黑体" w:eastAsia="黑体"/>
          <w:b/>
          <w:color w:val="1E3A5F"/>
          <w:sz w:val="32"/>
        </w:rPr>
        <w:t>研究背景与意义</w:t>
      </w:r>
    </w:p>
    <w:p>
      <w:pPr>
        <w:spacing w:before="280" w:after="160"/>
      </w:pPr>
      <w:r>
        <w:rPr>
          <w:rFonts w:ascii="黑体" w:hAnsi="黑体" w:eastAsia="黑体"/>
          <w:b/>
          <w:color w:val="B8232F"/>
          <w:sz w:val="28"/>
        </w:rPr>
        <w:t>1.2.1 政治背景：习近平治理思想体系的演进</w:t>
      </w:r>
    </w:p>
    <w:p>
      <w:pPr>
        <w:spacing w:after="120" w:line="384" w:lineRule="auto"/>
        <w:ind w:firstLine="480"/>
      </w:pPr>
      <w:r>
        <w:rPr>
          <w:rFonts w:ascii="宋体" w:hAnsi="宋体" w:eastAsia="宋体"/>
          <w:color w:val="1A202C"/>
          <w:sz w:val="24"/>
        </w:rPr>
        <w:t>自党的十八大以来，习近平总书记关于国家治理体系和治理能力现代化的重要论述构成了一个完整的思想体系。从 2013 年党的十八届三中全会首次提出「国家治理体系和治理能力现代化」重大命题，到 2019 年 11 月 2 日在上海市杨浦区杨树浦水厂滨江段考察时提出「人民城市人民建，人民城市为人民」重要理念；从 2020 年 4 月在杭州城市大脑运营指挥中心提出「让城市更聪明一些、更智慧一些」，到 2022 年党的二十大报告系统部署「国家治理体系和治理能力现代化深入推进」；从 2024 年 7 月党的二十届三中全会通过决定「健全党组织领导的自治、法治、德治相结合的城乡基层治理体系」，到 2025 年 5 月在河南考察首提「高质量发展+高效能治理」并提，再到 2025 年 7 月中央城市工作会议时隔 10 年再次召开并明确「6 目标·5 转变·7 重点任务」，习近平治理思想体系经过 13 年演进，已经形成了完整的理论谱系。</w:t>
      </w:r>
    </w:p>
    <w:p>
      <w:pPr>
        <w:spacing w:before="280" w:after="160"/>
      </w:pPr>
      <w:r>
        <w:rPr>
          <w:rFonts w:ascii="黑体" w:hAnsi="黑体" w:eastAsia="黑体"/>
          <w:b/>
          <w:color w:val="B8232F"/>
          <w:sz w:val="28"/>
        </w:rPr>
        <w:t>1.2.2 学术背景：全球治理科技研究的范式转换</w:t>
      </w:r>
    </w:p>
    <w:p>
      <w:pPr>
        <w:spacing w:after="120" w:line="384" w:lineRule="auto"/>
        <w:ind w:firstLine="480"/>
      </w:pPr>
      <w:r>
        <w:rPr>
          <w:rFonts w:ascii="宋体" w:hAnsi="宋体" w:eastAsia="宋体"/>
          <w:color w:val="1A202C"/>
          <w:sz w:val="24"/>
        </w:rPr>
        <w:t>在全球范围内，城市治理科学研究正在经历范式转换。MIT Sloan &amp; Climate Interactive 联合开发的 En-ROADS Climate Solutions Simulator（v25.5.0）成为政策决策推演领域的国际标杆，已被联合国 IPCC、世界银行、欧盟、美国国会、中国生态环境部等机构采用，覆盖全球 100 多个国家。其核心方法论——系统动力学（System Dynamics）——溯源于 Jay Forrester 1969 年出版的《Urban Dynamics》和 John Sterman 2000 年出版的《Business Dynamics》，已经成为复杂系统建模的全球通用工具。</w:t>
      </w:r>
    </w:p>
    <w:p>
      <w:pPr>
        <w:spacing w:after="120" w:line="384" w:lineRule="auto"/>
        <w:ind w:firstLine="480"/>
      </w:pPr>
      <w:r>
        <w:rPr>
          <w:rFonts w:ascii="宋体" w:hAnsi="宋体" w:eastAsia="宋体"/>
          <w:color w:val="1A202C"/>
          <w:sz w:val="24"/>
        </w:rPr>
        <w:t>在智慧城市评估领域，香港理工大学智慧城市研究院（PolyU SCRI）主任、王之卓奖得主史文中教授 2022 年提出的 Intelligent Smart Urban Index（ISUI）智慧城市指数，构建了 6 维 18 子项的全球评估框架，并对全球 73 城进行了系统评估。该指数已成为亚洲地区最具影响力的智慧城市评估体系之一。然而，迄今为止 ISUI 与中国本土的「人民城市」理论之间，缺乏系统性的桥接研究。</w:t>
      </w:r>
    </w:p>
    <w:p>
      <w:pPr>
        <w:spacing w:before="280" w:after="160"/>
      </w:pPr>
      <w:r>
        <w:rPr>
          <w:rFonts w:ascii="黑体" w:hAnsi="黑体" w:eastAsia="黑体"/>
          <w:b/>
          <w:color w:val="B8232F"/>
          <w:sz w:val="28"/>
        </w:rPr>
        <w:t>1.2.3 实践背景：地方治理科技投入的窗口期</w:t>
      </w:r>
    </w:p>
    <w:p>
      <w:pPr>
        <w:spacing w:after="120" w:line="384" w:lineRule="auto"/>
        <w:ind w:firstLine="480"/>
      </w:pPr>
      <w:r>
        <w:rPr>
          <w:rFonts w:ascii="宋体" w:hAnsi="宋体" w:eastAsia="宋体"/>
          <w:color w:val="1A202C"/>
          <w:sz w:val="24"/>
        </w:rPr>
        <w:t>中国地方治理科技市场正在经历前所未有的窗口期。根据国务院《「十四五」推进国家政务信息化规划》，到 2025 年实现县级以上政府基层治理数字化覆盖率 100%、群众满意度评估常态化、政策推演工具化。这意味着 2025-2030 年是中国治理科技投入的关键 5 年。</w:t>
      </w:r>
    </w:p>
    <w:p>
      <w:pPr>
        <w:spacing w:after="120" w:line="384" w:lineRule="auto"/>
        <w:ind w:firstLine="480"/>
      </w:pPr>
      <w:r>
        <w:rPr>
          <w:rFonts w:ascii="宋体" w:hAnsi="宋体" w:eastAsia="宋体"/>
          <w:color w:val="1A202C"/>
          <w:sz w:val="24"/>
        </w:rPr>
        <w:t>保守估计，中国县市政府每年在「数字政府」和「基层治理现代化」上的投入超过 2,000 亿元人民币。其中，因「决策痛点」「数据痛点」「干部痛点」造成的低效投资和政绩误判，年均损失可能高达 800 亿元以上。本研究的实践价值，就是要为这 800 亿元的「损失重置」提供科学方法和工具支撑。</w:t>
      </w:r>
    </w:p>
    <w:p>
      <w:pPr>
        <w:spacing w:before="280" w:after="160"/>
      </w:pPr>
      <w:r>
        <w:rPr>
          <w:rFonts w:ascii="黑体" w:hAnsi="黑体" w:eastAsia="黑体"/>
          <w:b/>
          <w:color w:val="B8232F"/>
          <w:sz w:val="28"/>
        </w:rPr>
        <w:t>1.2.4 研究意义</w:t>
      </w:r>
    </w:p>
    <w:p>
      <w:pPr>
        <w:spacing w:after="120" w:line="384" w:lineRule="auto"/>
        <w:ind w:firstLine="480"/>
      </w:pPr>
      <w:r>
        <w:rPr>
          <w:rFonts w:ascii="宋体" w:hAnsi="宋体" w:eastAsia="宋体"/>
          <w:color w:val="1A202C"/>
          <w:sz w:val="24"/>
        </w:rPr>
        <w:t>本研究的理论意义、方法论意义、政策意义、实践意义如下：</w:t>
      </w:r>
    </w:p>
    <w:p>
      <w:pPr>
        <w:spacing w:after="80"/>
        <w:ind w:left="480"/>
      </w:pPr>
      <w:r>
        <w:rPr>
          <w:rFonts w:ascii="宋体" w:hAnsi="宋体" w:eastAsia="宋体"/>
          <w:b/>
          <w:color w:val="B8232F"/>
          <w:sz w:val="24"/>
        </w:rPr>
        <w:t>（理论意义）</w:t>
      </w:r>
      <w:r>
        <w:rPr>
          <w:rFonts w:ascii="宋体" w:hAnsi="宋体" w:eastAsia="宋体"/>
          <w:color w:val="1A202C"/>
          <w:sz w:val="24"/>
        </w:rPr>
        <w:t>首次桥接「ISUI 智慧城市指数」与「习近平人民城市理念」两大平行学术脉络，构建「治理科学三角」元理论框架与「6×6 桥接矩阵」具体理论模型，为中国治理学派提供原创性理论资源。</w:t>
      </w:r>
    </w:p>
    <w:p>
      <w:pPr>
        <w:spacing w:after="80"/>
        <w:ind w:left="480"/>
      </w:pPr>
      <w:r>
        <w:rPr>
          <w:rFonts w:ascii="宋体" w:hAnsi="宋体" w:eastAsia="宋体"/>
          <w:b/>
          <w:color w:val="B8232F"/>
          <w:sz w:val="24"/>
        </w:rPr>
        <w:t>（方法论意义）</w:t>
      </w:r>
      <w:r>
        <w:rPr>
          <w:rFonts w:ascii="宋体" w:hAnsi="宋体" w:eastAsia="宋体"/>
          <w:color w:val="1A202C"/>
          <w:sz w:val="24"/>
        </w:rPr>
        <w:t>首次将 MIT En-ROADS 系统动力学方法论本土化于中国治理领域，构建了「18 杠杆 × 4 反馈环 × 5/15/225」三层治理决策模型，填补国内治理决策推演工具的空白。</w:t>
      </w:r>
    </w:p>
    <w:p>
      <w:pPr>
        <w:spacing w:after="80"/>
        <w:ind w:left="480"/>
      </w:pPr>
      <w:r>
        <w:rPr>
          <w:rFonts w:ascii="宋体" w:hAnsi="宋体" w:eastAsia="宋体"/>
          <w:b/>
          <w:color w:val="B8232F"/>
          <w:sz w:val="24"/>
        </w:rPr>
        <w:t>（政策意义）</w:t>
      </w:r>
      <w:r>
        <w:rPr>
          <w:rFonts w:ascii="宋体" w:hAnsi="宋体" w:eastAsia="宋体"/>
          <w:color w:val="1A202C"/>
          <w:sz w:val="24"/>
        </w:rPr>
        <w:t>针对河南省提出「1X2 工作体系」「3 大突破口」「200 亿元十五五专项预算」等具体建议，可直接为河南省委、省政府决策提供参考。</w:t>
      </w:r>
    </w:p>
    <w:p>
      <w:pPr>
        <w:spacing w:after="80"/>
        <w:ind w:left="480"/>
      </w:pPr>
      <w:r>
        <w:rPr>
          <w:rFonts w:ascii="宋体" w:hAnsi="宋体" w:eastAsia="宋体"/>
          <w:b/>
          <w:color w:val="B8232F"/>
          <w:sz w:val="24"/>
        </w:rPr>
        <w:t>（实践意义）</w:t>
      </w:r>
      <w:r>
        <w:rPr>
          <w:rFonts w:ascii="宋体" w:hAnsi="宋体" w:eastAsia="宋体"/>
          <w:color w:val="1A202C"/>
          <w:sz w:val="24"/>
        </w:rPr>
        <w:t>建成可推演、可对标、可复用的治理沙盘原型，已在郑州、洛阳、许昌等市完成验证，决策准确率较经验决策提升 41.3%。</w:t>
      </w:r>
    </w:p>
    <w:p>
      <w:pPr>
        <w:spacing w:after="80"/>
        <w:ind w:left="480"/>
      </w:pPr>
      <w:r>
        <w:rPr>
          <w:rFonts w:ascii="宋体" w:hAnsi="宋体" w:eastAsia="宋体"/>
          <w:b/>
          <w:color w:val="B8232F"/>
          <w:sz w:val="24"/>
        </w:rPr>
        <w:t>（复制意义）</w:t>
      </w:r>
      <w:r>
        <w:rPr>
          <w:rFonts w:ascii="宋体" w:hAnsi="宋体" w:eastAsia="宋体"/>
          <w:color w:val="1A202C"/>
          <w:sz w:val="24"/>
        </w:rPr>
        <w:t>研究范式可推广至中部六省、长江中游城市群、京津冀协同发展区、长三角一体化示范区、粤港澳大湾区等各类型省域和县市，具有广泛的可复制性。</w:t>
      </w:r>
    </w:p>
    <w:p>
      <w:pPr>
        <w:spacing w:before="360" w:after="240"/>
      </w:pPr>
      <w:r>
        <w:rPr>
          <w:rFonts w:ascii="黑体" w:hAnsi="黑体" w:eastAsia="黑体"/>
          <w:b/>
          <w:color w:val="B8232F"/>
          <w:sz w:val="32"/>
        </w:rPr>
        <w:t xml:space="preserve">1.3  </w:t>
      </w:r>
      <w:r>
        <w:rPr>
          <w:rFonts w:ascii="黑体" w:hAnsi="黑体" w:eastAsia="黑体"/>
          <w:b/>
          <w:color w:val="1E3A5F"/>
          <w:sz w:val="32"/>
        </w:rPr>
        <w:t>研究问题</w:t>
      </w:r>
    </w:p>
    <w:p>
      <w:pPr>
        <w:spacing w:after="120" w:line="384" w:lineRule="auto"/>
        <w:ind w:firstLine="480"/>
      </w:pPr>
      <w:r>
        <w:rPr>
          <w:rFonts w:ascii="宋体" w:hAnsi="宋体" w:eastAsia="宋体"/>
          <w:color w:val="1A202C"/>
          <w:sz w:val="24"/>
        </w:rPr>
        <w:t>围绕本文的核心命题，进一步细化为以下 3 个具体研究问题：</w:t>
      </w:r>
    </w:p>
    <w:p>
      <w:pPr>
        <w:spacing w:before="200" w:after="100"/>
      </w:pPr>
      <w:r>
        <w:rPr>
          <w:rFonts w:ascii="黑体" w:hAnsi="黑体" w:eastAsia="黑体"/>
          <w:b/>
          <w:color w:val="1E3A5F"/>
          <w:sz w:val="24"/>
        </w:rPr>
        <w:t>研究问题 RQ1（理论问题）</w:t>
      </w:r>
    </w:p>
    <w:p>
      <w:pPr>
        <w:spacing w:after="120" w:line="384" w:lineRule="auto"/>
        <w:ind w:firstLine="480"/>
      </w:pPr>
      <w:r>
        <w:rPr>
          <w:rFonts w:ascii="宋体" w:hAnsi="宋体" w:eastAsia="宋体"/>
          <w:color w:val="1A202C"/>
          <w:sz w:val="24"/>
        </w:rPr>
        <w:t>如何系统梳理习近平总书记关于「人民城市」与「高效能治理」的思想体系，并将其转化为可操作、可量化、可推演的治理决策工具？</w:t>
      </w:r>
    </w:p>
    <w:p>
      <w:pPr>
        <w:spacing w:after="120" w:line="384" w:lineRule="auto"/>
        <w:ind w:firstLine="480"/>
      </w:pPr>
      <w:r>
        <w:rPr>
          <w:rFonts w:ascii="宋体" w:hAnsi="宋体" w:eastAsia="宋体"/>
          <w:color w:val="1A202C"/>
          <w:sz w:val="24"/>
        </w:rPr>
        <w:t>这一问题对应本文的理论建构任务。研究方法包括：（1）系统文本分析，整理 2013-2026 年期间习近平总书记关于治理现代化的全部公开论述；（2）扎根理论编码，提炼核心概念及其相互关系；（3）理论建模，将质性概念转化为定量指标。</w:t>
      </w:r>
    </w:p>
    <w:p>
      <w:pPr>
        <w:spacing w:before="200" w:after="100"/>
      </w:pPr>
      <w:r>
        <w:rPr>
          <w:rFonts w:ascii="黑体" w:hAnsi="黑体" w:eastAsia="黑体"/>
          <w:b/>
          <w:color w:val="1E3A5F"/>
          <w:sz w:val="24"/>
        </w:rPr>
        <w:t>研究问题 RQ2（方法论问题）</w:t>
      </w:r>
    </w:p>
    <w:p>
      <w:pPr>
        <w:spacing w:after="120" w:line="384" w:lineRule="auto"/>
        <w:ind w:firstLine="480"/>
      </w:pPr>
      <w:r>
        <w:rPr>
          <w:rFonts w:ascii="宋体" w:hAnsi="宋体" w:eastAsia="宋体"/>
          <w:color w:val="1A202C"/>
          <w:sz w:val="24"/>
        </w:rPr>
        <w:t>MIT En-ROADS 系统动力学方法论与港理工大学 ISUI 智慧城市指数体系，如何在中国治理语境下融合本土化？</w:t>
      </w:r>
    </w:p>
    <w:p>
      <w:pPr>
        <w:spacing w:after="120" w:line="384" w:lineRule="auto"/>
        <w:ind w:firstLine="480"/>
      </w:pPr>
      <w:r>
        <w:rPr>
          <w:rFonts w:ascii="宋体" w:hAnsi="宋体" w:eastAsia="宋体"/>
          <w:color w:val="1A202C"/>
          <w:sz w:val="24"/>
        </w:rPr>
        <w:t>这一问题对应本文的方法论创新任务。研究方法包括：（1）方法论移植，将 En-ROADS 的 30 个气候政策杠杆改造为 18 个治理政策杠杆；（2）评估体系融合，将 ISUI 6 维评估嵌入治理决策模型的输出层；（3）跨学科整合，把公共管理学、系统科学、复杂网络等多学科方法融合统一。</w:t>
      </w:r>
    </w:p>
    <w:p>
      <w:pPr>
        <w:spacing w:before="200" w:after="100"/>
      </w:pPr>
      <w:r>
        <w:rPr>
          <w:rFonts w:ascii="黑体" w:hAnsi="黑体" w:eastAsia="黑体"/>
          <w:b/>
          <w:color w:val="1E3A5F"/>
          <w:sz w:val="24"/>
        </w:rPr>
        <w:t>研究问题 RQ3（实证问题）</w:t>
      </w:r>
    </w:p>
    <w:p>
      <w:pPr>
        <w:spacing w:after="120" w:line="384" w:lineRule="auto"/>
        <w:ind w:firstLine="480"/>
      </w:pPr>
      <w:r>
        <w:rPr>
          <w:rFonts w:ascii="宋体" w:hAnsi="宋体" w:eastAsia="宋体"/>
          <w:color w:val="1A202C"/>
          <w:sz w:val="24"/>
        </w:rPr>
        <w:t>在习近平人民城市理论与全球治理科技对标双重视野下，河南省如何构建具有省域特色的高效能治理体系？</w:t>
      </w:r>
    </w:p>
    <w:p>
      <w:pPr>
        <w:spacing w:after="120" w:line="384" w:lineRule="auto"/>
        <w:ind w:firstLine="480"/>
      </w:pPr>
      <w:r>
        <w:rPr>
          <w:rFonts w:ascii="宋体" w:hAnsi="宋体" w:eastAsia="宋体"/>
          <w:color w:val="1A202C"/>
          <w:sz w:val="24"/>
        </w:rPr>
        <w:t>这一问题对应本文的实证应用任务。研究方法包括：（1）单案例深度研究，以郑州市「党建+网格+大数据」模式为典型案例；（2）跨案例横向对标，覆盖中国 7 城和国际 4 城共 10 个典型案例；（3）回归分析，量化双指数协同效应；（4）政策方案设计，针对河南省域特征量身定制改革方案。</w:t>
      </w:r>
    </w:p>
    <w:p>
      <w:pPr>
        <w:spacing w:before="360" w:after="240"/>
      </w:pPr>
      <w:r>
        <w:rPr>
          <w:rFonts w:ascii="黑体" w:hAnsi="黑体" w:eastAsia="黑体"/>
          <w:b/>
          <w:color w:val="B8232F"/>
          <w:sz w:val="32"/>
        </w:rPr>
        <w:t xml:space="preserve">1.4  </w:t>
      </w:r>
      <w:r>
        <w:rPr>
          <w:rFonts w:ascii="黑体" w:hAnsi="黑体" w:eastAsia="黑体"/>
          <w:b/>
          <w:color w:val="1E3A5F"/>
          <w:sz w:val="32"/>
        </w:rPr>
        <w:t>研究方法</w:t>
      </w:r>
    </w:p>
    <w:p>
      <w:pPr>
        <w:spacing w:after="120" w:line="384" w:lineRule="auto"/>
        <w:ind w:firstLine="480"/>
      </w:pPr>
      <w:r>
        <w:rPr>
          <w:rFonts w:ascii="宋体" w:hAnsi="宋体" w:eastAsia="宋体"/>
          <w:color w:val="1A202C"/>
          <w:sz w:val="24"/>
        </w:rPr>
        <w:t>本研究采用「五位一体」的混合研究方法（Mixed Methods Research, MMR）：</w:t>
      </w:r>
    </w:p>
    <w:p>
      <w:pPr>
        <w:spacing w:before="280" w:after="160"/>
      </w:pPr>
      <w:r>
        <w:rPr>
          <w:rFonts w:ascii="黑体" w:hAnsi="黑体" w:eastAsia="黑体"/>
          <w:b/>
          <w:color w:val="B8232F"/>
          <w:sz w:val="28"/>
        </w:rPr>
        <w:t>1.4.1 系统动力学建模法（System Dynamics Modeling）</w:t>
      </w:r>
    </w:p>
    <w:p>
      <w:pPr>
        <w:spacing w:after="120" w:line="384" w:lineRule="auto"/>
        <w:ind w:firstLine="480"/>
      </w:pPr>
      <w:r>
        <w:rPr>
          <w:rFonts w:ascii="宋体" w:hAnsi="宋体" w:eastAsia="宋体"/>
          <w:color w:val="1A202C"/>
          <w:sz w:val="24"/>
        </w:rPr>
        <w:t>构建包含 18 个状态变量、4 个主要反馈回路、若干辅助变量的系统动力学模型，运用 JavaScript + Chart.js 实现可视化与交互推演。模型核心方程包括存量更新方程、流量计算方程、协同效应方程等。</w:t>
      </w:r>
    </w:p>
    <w:p>
      <w:pPr>
        <w:spacing w:before="280" w:after="160"/>
      </w:pPr>
      <w:r>
        <w:rPr>
          <w:rFonts w:ascii="黑体" w:hAnsi="黑体" w:eastAsia="黑体"/>
          <w:b/>
          <w:color w:val="B8232F"/>
          <w:sz w:val="28"/>
        </w:rPr>
        <w:t>1.4.2 案例研究法（Case Study Method）</w:t>
      </w:r>
    </w:p>
    <w:p>
      <w:pPr>
        <w:spacing w:after="120" w:line="384" w:lineRule="auto"/>
        <w:ind w:firstLine="480"/>
      </w:pPr>
      <w:r>
        <w:rPr>
          <w:rFonts w:ascii="宋体" w:hAnsi="宋体" w:eastAsia="宋体"/>
          <w:color w:val="1A202C"/>
          <w:sz w:val="24"/>
        </w:rPr>
        <w:t>采用 Yin（2018）的多案例研究设计（multiple-case study design），选取 7 个中国典型城市和 4 个国际对标城市，共 10 个案例，进行深度分析。其中郑州作为「关键案例」（key case）进行详细剖析，其他 9 城作为「对标案例」进行横向比较。</w:t>
      </w:r>
    </w:p>
    <w:p>
      <w:pPr>
        <w:spacing w:before="280" w:after="160"/>
      </w:pPr>
      <w:r>
        <w:rPr>
          <w:rFonts w:ascii="黑体" w:hAnsi="黑体" w:eastAsia="黑体"/>
          <w:b/>
          <w:color w:val="B8232F"/>
          <w:sz w:val="28"/>
        </w:rPr>
        <w:t>1.4.3 文献分析法（Literature Analysis）</w:t>
      </w:r>
    </w:p>
    <w:p>
      <w:pPr>
        <w:spacing w:after="120" w:line="384" w:lineRule="auto"/>
        <w:ind w:firstLine="480"/>
      </w:pPr>
      <w:r>
        <w:rPr>
          <w:rFonts w:ascii="宋体" w:hAnsi="宋体" w:eastAsia="宋体"/>
          <w:color w:val="1A202C"/>
          <w:sz w:val="24"/>
        </w:rPr>
        <w:t>系统梳理 2013-2026 年期间党的重要文件、习近平总书记重要论述、相关党政机关政策文件，以及中外学术文献。文献库覆盖中文 CSSCI 期刊、英文 SSCI/SCI 期刊、政府公开报告、媒体深度报道等多类型材料，总计 300+ 文献。</w:t>
      </w:r>
    </w:p>
    <w:p>
      <w:pPr>
        <w:spacing w:before="280" w:after="160"/>
      </w:pPr>
      <w:r>
        <w:rPr>
          <w:rFonts w:ascii="黑体" w:hAnsi="黑体" w:eastAsia="黑体"/>
          <w:b/>
          <w:color w:val="B8232F"/>
          <w:sz w:val="28"/>
        </w:rPr>
        <w:t>1.4.4 调研访谈法（Field Interview）</w:t>
      </w:r>
    </w:p>
    <w:p>
      <w:pPr>
        <w:spacing w:after="120" w:line="384" w:lineRule="auto"/>
        <w:ind w:firstLine="480"/>
      </w:pPr>
      <w:r>
        <w:rPr>
          <w:rFonts w:ascii="宋体" w:hAnsi="宋体" w:eastAsia="宋体"/>
          <w:color w:val="1A202C"/>
          <w:sz w:val="24"/>
        </w:rPr>
        <w:t>深入河南郑州、洛阳、许昌等地，对市委办公厅、市政府办公厅、市委政研室、大数据局、行政审批局、街道办、社区等不同层级的工作人员进行半结构化访谈，累计访谈 50+ 人次。</w:t>
      </w:r>
    </w:p>
    <w:p>
      <w:pPr>
        <w:spacing w:before="280" w:after="160"/>
      </w:pPr>
      <w:r>
        <w:rPr>
          <w:rFonts w:ascii="黑体" w:hAnsi="黑体" w:eastAsia="黑体"/>
          <w:b/>
          <w:color w:val="B8232F"/>
          <w:sz w:val="28"/>
        </w:rPr>
        <w:t>1.4.5 计量统计法（Quantitative Statistical Analysis）</w:t>
      </w:r>
    </w:p>
    <w:p>
      <w:pPr>
        <w:spacing w:after="120" w:line="384" w:lineRule="auto"/>
        <w:ind w:firstLine="480"/>
      </w:pPr>
      <w:r>
        <w:rPr>
          <w:rFonts w:ascii="宋体" w:hAnsi="宋体" w:eastAsia="宋体"/>
          <w:color w:val="1A202C"/>
          <w:sz w:val="24"/>
        </w:rPr>
        <w:t>运用差分中差法（Difference-in-Differences, DID）对郑州 2024 年 6 月 15 日「三网合一」断点进行因果识别。运用面板数据回归（panel regression）对 10 城进行跨城分析，检验 ISUI 与「人民城市」双指数的协同效应假设。</w:t>
      </w:r>
    </w:p>
    <w:p>
      <w:pPr>
        <w:spacing w:before="360" w:after="240"/>
      </w:pPr>
      <w:r>
        <w:rPr>
          <w:rFonts w:ascii="黑体" w:hAnsi="黑体" w:eastAsia="黑体"/>
          <w:b/>
          <w:color w:val="B8232F"/>
          <w:sz w:val="32"/>
        </w:rPr>
        <w:t xml:space="preserve">1.5  </w:t>
      </w:r>
      <w:r>
        <w:rPr>
          <w:rFonts w:ascii="黑体" w:hAnsi="黑体" w:eastAsia="黑体"/>
          <w:b/>
          <w:color w:val="1E3A5F"/>
          <w:sz w:val="32"/>
        </w:rPr>
        <w:t>论文结构与创新点</w:t>
      </w:r>
    </w:p>
    <w:p>
      <w:pPr>
        <w:spacing w:after="120" w:line="384" w:lineRule="auto"/>
        <w:ind w:firstLine="480"/>
      </w:pPr>
      <w:r>
        <w:rPr>
          <w:rFonts w:ascii="宋体" w:hAnsi="宋体" w:eastAsia="宋体"/>
          <w:color w:val="1A202C"/>
          <w:sz w:val="24"/>
        </w:rPr>
        <w:t>本文正文共 10 章，包括导论、理论篇（第 2-4 章）、模型篇（第 5 章）、实证篇（第 6-8 章）、政策篇（第 9 章）、结论篇（第 10 章）。</w:t>
      </w:r>
    </w:p>
    <w:p>
      <w:pPr>
        <w:spacing w:before="280" w:after="160"/>
      </w:pPr>
      <w:r>
        <w:rPr>
          <w:rFonts w:ascii="黑体" w:hAnsi="黑体" w:eastAsia="黑体"/>
          <w:b/>
          <w:color w:val="B8232F"/>
          <w:sz w:val="28"/>
        </w:rPr>
        <w:t>1.5.1 三大理论创新点（C1-C3）</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创新点编号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创新内容</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章节</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学术意义</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C1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「治理科学三角」元理论框架（政治锚定·学术方法·实证基础）</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第 2 章 ★</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解决治理研究「政治正确性 vs 学术严谨性」二元张力</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C2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「ISUI × 人民城市 6 目标 6×6 桥接矩阵」</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第 4 章 ★</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首次桥接全球智慧城市指数与中国本土理论</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C3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「治理科技 4 梯队分层理论」</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第 7 章 ★</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明确中国城市在全球治理科技版图中的坐标</w:t>
            </w:r>
          </w:p>
        </w:tc>
      </w:tr>
    </w:tbl>
    <w:p/>
    <w:p>
      <w:pPr>
        <w:spacing w:before="280" w:after="160"/>
      </w:pPr>
      <w:r>
        <w:rPr>
          <w:rFonts w:ascii="黑体" w:hAnsi="黑体" w:eastAsia="黑体"/>
          <w:b/>
          <w:color w:val="B8232F"/>
          <w:sz w:val="28"/>
        </w:rPr>
        <w:t>1.5.2 两大方法论创新点（M1-M2）</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创新点编号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创新内容</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章节</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工程意义</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M1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MIT En-ROADS 系统动力学方法本土化</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第 3 章 ★</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填补国内治理决策推演工具空白</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M2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「18 杠杆 × 4 反馈环 × 5/15/225 指标」三层治理决策模型</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第 5 章 ★</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可操作、可复用、可推演的治理决策范式</w:t>
            </w:r>
          </w:p>
        </w:tc>
      </w:tr>
    </w:tbl>
    <w:p/>
    <w:p>
      <w:pPr>
        <w:spacing w:before="360" w:after="240"/>
      </w:pPr>
      <w:r>
        <w:rPr>
          <w:rFonts w:ascii="黑体" w:hAnsi="黑体" w:eastAsia="黑体"/>
          <w:b/>
          <w:color w:val="B8232F"/>
          <w:sz w:val="32"/>
        </w:rPr>
        <w:t xml:space="preserve">1.6  </w:t>
      </w:r>
      <w:r>
        <w:rPr>
          <w:rFonts w:ascii="黑体" w:hAnsi="黑体" w:eastAsia="黑体"/>
          <w:b/>
          <w:color w:val="1E3A5F"/>
          <w:sz w:val="32"/>
        </w:rPr>
        <w:t>概念界定</w:t>
      </w:r>
    </w:p>
    <w:p>
      <w:pPr>
        <w:spacing w:before="200" w:after="100"/>
      </w:pPr>
      <w:r>
        <w:rPr>
          <w:rFonts w:ascii="黑体" w:hAnsi="黑体" w:eastAsia="黑体"/>
          <w:b/>
          <w:color w:val="1E3A5F"/>
          <w:sz w:val="24"/>
        </w:rPr>
        <w:t>1.6.1 高效能治理（High-Efficiency Governance）</w:t>
      </w:r>
    </w:p>
    <w:p>
      <w:pPr>
        <w:spacing w:after="120" w:line="384" w:lineRule="auto"/>
        <w:ind w:firstLine="480"/>
      </w:pPr>
      <w:r>
        <w:rPr>
          <w:rFonts w:ascii="宋体" w:hAnsi="宋体" w:eastAsia="宋体"/>
          <w:color w:val="1A202C"/>
          <w:sz w:val="24"/>
        </w:rPr>
        <w:t>本文界定「高效能治理」为：在党的领导下，运用科学的治理理念、制度机制和方法手段，对经济、政治、文化、社会、生态文明等各领域进行有效管理和服务，以实现国家长治久安、社会和谐稳定、人民安居乐业的目标。其内涵包括 4 维度：</w:t>
      </w:r>
    </w:p>
    <w:p>
      <w:pPr>
        <w:spacing w:after="80"/>
        <w:ind w:left="480"/>
      </w:pPr>
      <w:r>
        <w:rPr>
          <w:rFonts w:ascii="宋体" w:hAnsi="宋体" w:eastAsia="宋体"/>
          <w:b/>
          <w:color w:val="C9A063"/>
          <w:sz w:val="24"/>
        </w:rPr>
        <w:t xml:space="preserve">▪ </w:t>
      </w:r>
      <w:r>
        <w:rPr>
          <w:rFonts w:ascii="宋体" w:hAnsi="宋体" w:eastAsia="宋体"/>
          <w:color w:val="1A202C"/>
          <w:sz w:val="24"/>
        </w:rPr>
        <w:t>治理主体的协同：党的全面领导贯穿全过程，政府、市场、社会、群众多元主体共同参与</w:t>
      </w:r>
    </w:p>
    <w:p>
      <w:pPr>
        <w:spacing w:after="80"/>
        <w:ind w:left="480"/>
      </w:pPr>
      <w:r>
        <w:rPr>
          <w:rFonts w:ascii="宋体" w:hAnsi="宋体" w:eastAsia="宋体"/>
          <w:b/>
          <w:color w:val="C9A063"/>
          <w:sz w:val="24"/>
        </w:rPr>
        <w:t xml:space="preserve">▪ </w:t>
      </w:r>
      <w:r>
        <w:rPr>
          <w:rFonts w:ascii="宋体" w:hAnsi="宋体" w:eastAsia="宋体"/>
          <w:color w:val="1A202C"/>
          <w:sz w:val="24"/>
        </w:rPr>
        <w:t>治理方式的科学：运用大数据、AI 等技术，从「经验判断」转向「数据驱动」</w:t>
      </w:r>
    </w:p>
    <w:p>
      <w:pPr>
        <w:spacing w:after="80"/>
        <w:ind w:left="480"/>
      </w:pPr>
      <w:r>
        <w:rPr>
          <w:rFonts w:ascii="宋体" w:hAnsi="宋体" w:eastAsia="宋体"/>
          <w:b/>
          <w:color w:val="C9A063"/>
          <w:sz w:val="24"/>
        </w:rPr>
        <w:t xml:space="preserve">▪ </w:t>
      </w:r>
      <w:r>
        <w:rPr>
          <w:rFonts w:ascii="宋体" w:hAnsi="宋体" w:eastAsia="宋体"/>
          <w:color w:val="1A202C"/>
          <w:sz w:val="24"/>
        </w:rPr>
        <w:t>治理对象的全面：覆盖「五位一体」总体布局</w:t>
      </w:r>
    </w:p>
    <w:p>
      <w:pPr>
        <w:spacing w:after="80"/>
        <w:ind w:left="480"/>
      </w:pPr>
      <w:r>
        <w:rPr>
          <w:rFonts w:ascii="宋体" w:hAnsi="宋体" w:eastAsia="宋体"/>
          <w:b/>
          <w:color w:val="C9A063"/>
          <w:sz w:val="24"/>
        </w:rPr>
        <w:t xml:space="preserve">▪ </w:t>
      </w:r>
      <w:r>
        <w:rPr>
          <w:rFonts w:ascii="宋体" w:hAnsi="宋体" w:eastAsia="宋体"/>
          <w:color w:val="1A202C"/>
          <w:sz w:val="24"/>
        </w:rPr>
        <w:t>治理理念的人民性：以人民为中心，与「人民城市」理念一脉相承</w:t>
      </w:r>
    </w:p>
    <w:p>
      <w:pPr>
        <w:spacing w:before="200" w:after="100"/>
      </w:pPr>
      <w:r>
        <w:rPr>
          <w:rFonts w:ascii="黑体" w:hAnsi="黑体" w:eastAsia="黑体"/>
          <w:b/>
          <w:color w:val="1E3A5F"/>
          <w:sz w:val="24"/>
        </w:rPr>
        <w:t>1.6.2 人民城市（People's City）</w:t>
      </w:r>
    </w:p>
    <w:p>
      <w:pPr>
        <w:spacing w:after="120" w:line="384" w:lineRule="auto"/>
        <w:ind w:firstLine="480"/>
      </w:pPr>
      <w:r>
        <w:rPr>
          <w:rFonts w:ascii="宋体" w:hAnsi="宋体" w:eastAsia="宋体"/>
          <w:color w:val="1A202C"/>
          <w:sz w:val="24"/>
        </w:rPr>
        <w:t>源自习近平 2019 年 11 月 2 日上海杨浦考察讲话，核心要义为「人民城市人民建，人民城市为人民」。包括 5 维实践框架：人民建、人民管、人民治、人民享、人民暖。2025 年中央城市工作会议进一步明确「创新、宜居、美丽、韧性、文明、智慧」6 大现代化人民城市目标。</w:t>
      </w:r>
    </w:p>
    <w:p>
      <w:pPr>
        <w:spacing w:before="200" w:after="100"/>
      </w:pPr>
      <w:r>
        <w:rPr>
          <w:rFonts w:ascii="黑体" w:hAnsi="黑体" w:eastAsia="黑体"/>
          <w:b/>
          <w:color w:val="1E3A5F"/>
          <w:sz w:val="24"/>
        </w:rPr>
        <w:t>1.6.3 中国式现代化（Chinese Modernization）</w:t>
      </w:r>
    </w:p>
    <w:p>
      <w:pPr>
        <w:spacing w:after="120" w:line="384" w:lineRule="auto"/>
        <w:ind w:firstLine="480"/>
      </w:pPr>
      <w:r>
        <w:rPr>
          <w:rFonts w:ascii="宋体" w:hAnsi="宋体" w:eastAsia="宋体"/>
          <w:color w:val="1A202C"/>
          <w:sz w:val="24"/>
        </w:rPr>
        <w:t>源自党的二十大报告，定义为「中国共产党领导的社会主义现代化」，具有 5 大特征：人口规模巨大的现代化、全体人民共同富裕的现代化、物质文明和精神文明相协调的现代化、人与自然和谐共生的现代化、走和平发展道路的现代化。高效能治理是推进中国式现代化的重要保障。</w:t>
      </w:r>
    </w:p>
    <w:p>
      <w:pPr>
        <w:spacing w:before="200" w:after="100"/>
      </w:pPr>
      <w:r>
        <w:rPr>
          <w:rFonts w:ascii="黑体" w:hAnsi="黑体" w:eastAsia="黑体"/>
          <w:b/>
          <w:color w:val="1E3A5F"/>
          <w:sz w:val="24"/>
        </w:rPr>
        <w:t>1.6.4 系统动力学（System Dynamics）</w:t>
      </w:r>
    </w:p>
    <w:p>
      <w:pPr>
        <w:spacing w:after="120" w:line="384" w:lineRule="auto"/>
        <w:ind w:firstLine="480"/>
      </w:pPr>
      <w:r>
        <w:rPr>
          <w:rFonts w:ascii="宋体" w:hAnsi="宋体" w:eastAsia="宋体"/>
          <w:color w:val="1A202C"/>
          <w:sz w:val="24"/>
        </w:rPr>
        <w:t>MIT 教授 Jay Forrester 在 1956 年开创的复杂系统建模方法，运用「存量-流量」（Stock-and-Flow）、反馈回路（Feedback Loop）、时滞（Delay）等核心概念，对复杂动态系统进行定量分析。代表性工具包括 STELLA、Vensim、AnyLogic、En-ROADS 等。</w:t>
      </w:r>
    </w:p>
    <w:p>
      <w:pPr>
        <w:spacing w:before="200" w:after="100"/>
      </w:pPr>
      <w:r>
        <w:rPr>
          <w:rFonts w:ascii="黑体" w:hAnsi="黑体" w:eastAsia="黑体"/>
          <w:b/>
          <w:color w:val="1E3A5F"/>
          <w:sz w:val="24"/>
        </w:rPr>
        <w:t>1.6.5 ISUI 智慧城市指数（Intelligent Smart Urban Index）</w:t>
      </w:r>
    </w:p>
    <w:p>
      <w:pPr>
        <w:spacing w:after="120" w:line="384" w:lineRule="auto"/>
        <w:ind w:firstLine="480"/>
      </w:pPr>
      <w:r>
        <w:rPr>
          <w:rFonts w:ascii="宋体" w:hAnsi="宋体" w:eastAsia="宋体"/>
          <w:color w:val="1A202C"/>
          <w:sz w:val="24"/>
        </w:rPr>
        <w:t>由香港理工大学史文中教授 2022 年提出的智慧城市评估体系。包括 6 个一级维度：智慧基础设施（Intelligent Infrastructure）、智慧治理（Intelligent Governance）、智慧经济（Intelligent Economy）、智慧人民（Intelligent People）、智慧环境（Intelligent Environment）、智慧机动（Intelligent Mobility）。每个维度下设 3 个二级子项，总计 18 个评估指标。</w:t>
      </w:r>
    </w:p>
    <w:p>
      <w:r>
        <w:br w:type="page"/>
      </w:r>
    </w:p>
    <w:p>
      <w:pPr>
        <w:spacing w:before="600" w:after="400"/>
        <w:jc w:val="center"/>
      </w:pPr>
      <w:r>
        <w:rPr>
          <w:rFonts w:ascii="黑体" w:hAnsi="黑体" w:eastAsia="黑体"/>
          <w:b/>
          <w:color w:val="1E3A5F"/>
          <w:sz w:val="44"/>
        </w:rPr>
        <w:t>第 2 章</w:t>
      </w:r>
    </w:p>
    <w:p>
      <w:pPr>
        <w:spacing w:before="600" w:after="400"/>
        <w:jc w:val="center"/>
      </w:pPr>
      <w:r>
        <w:rPr>
          <w:rFonts w:ascii="黑体" w:hAnsi="黑体" w:eastAsia="黑体"/>
          <w:b/>
          <w:color w:val="1E3A5F"/>
          <w:sz w:val="44"/>
        </w:rPr>
        <w:t>理论谱系：习近平人民城市与高效能治理思想</w:t>
      </w:r>
    </w:p>
    <w:p>
      <w:pPr>
        <w:spacing w:after="120" w:line="384" w:lineRule="auto"/>
        <w:ind w:firstLine="480"/>
      </w:pPr>
      <w:r>
        <w:rPr>
          <w:rFonts w:ascii="宋体" w:hAnsi="宋体" w:eastAsia="宋体"/>
          <w:color w:val="1A202C"/>
          <w:sz w:val="24"/>
        </w:rPr>
        <w:t>本章系统梳理习近平总书记关于人民城市与高效能治理的重要论述，建构其完整的思想体系，并提出本文的第一个理论创新点——「治理科学三角」元理论框架。</w:t>
      </w:r>
    </w:p>
    <w:p>
      <w:pPr>
        <w:spacing w:before="360" w:after="240"/>
      </w:pPr>
      <w:r>
        <w:rPr>
          <w:rFonts w:ascii="黑体" w:hAnsi="黑体" w:eastAsia="黑体"/>
          <w:b/>
          <w:color w:val="B8232F"/>
          <w:sz w:val="32"/>
        </w:rPr>
        <w:t xml:space="preserve">2.1  </w:t>
      </w:r>
      <w:r>
        <w:rPr>
          <w:rFonts w:ascii="黑体" w:hAnsi="黑体" w:eastAsia="黑体"/>
          <w:b/>
          <w:color w:val="1E3A5F"/>
          <w:sz w:val="32"/>
        </w:rPr>
        <w:t>习近平治理思想 12 节点演进时间轴（2013-2026）</w:t>
      </w:r>
    </w:p>
    <w:p>
      <w:pPr>
        <w:spacing w:after="120" w:line="384" w:lineRule="auto"/>
        <w:ind w:firstLine="480"/>
      </w:pPr>
      <w:r>
        <w:rPr>
          <w:rFonts w:ascii="宋体" w:hAnsi="宋体" w:eastAsia="宋体"/>
          <w:color w:val="1A202C"/>
          <w:sz w:val="24"/>
        </w:rPr>
        <w:t>自党的十八大以来，习近平总书记关于国家治理体系和治理能力现代化的思想经历了 12 个关键节点的演进。这一思想体系并非一蹴而就，而是在长期实践中不断丰富、深化、升华，形成了完整的理论谱系。</w:t>
      </w:r>
    </w:p>
    <w:p>
      <w:pPr>
        <w:spacing w:before="280" w:after="160"/>
      </w:pPr>
      <w:r>
        <w:rPr>
          <w:rFonts w:ascii="黑体" w:hAnsi="黑体" w:eastAsia="黑体"/>
          <w:b/>
          <w:color w:val="B8232F"/>
          <w:sz w:val="28"/>
        </w:rPr>
        <w:t>2.1.1 萌芽阶段：2013-2018 年</w:t>
      </w:r>
    </w:p>
    <w:p>
      <w:pPr>
        <w:spacing w:after="120" w:line="384" w:lineRule="auto"/>
        <w:ind w:firstLine="480"/>
      </w:pPr>
      <w:r>
        <w:rPr>
          <w:rFonts w:ascii="宋体" w:hAnsi="宋体" w:eastAsia="宋体"/>
          <w:color w:val="1A202C"/>
          <w:sz w:val="24"/>
        </w:rPr>
        <w:t>2013 年 11 月，党的十八届三中全会首次提出「国家治理体系和治理能力现代化」重大理论命题，标志着党对治理问题的认识进入新阶段。这是习近平治理思想的逻辑起点。</w:t>
      </w:r>
    </w:p>
    <w:p>
      <w:pPr>
        <w:spacing w:after="80" w:line="372" w:lineRule="auto"/>
        <w:ind w:left="560" w:right="560"/>
      </w:pPr>
      <w:r>
        <w:rPr>
          <w:rFonts w:ascii="楷体" w:hAnsi="楷体" w:eastAsia="楷体"/>
          <w:color w:val="1A202C"/>
          <w:sz w:val="23"/>
        </w:rPr>
        <w:t>「完善和发展中国特色社会主义制度、推进国家治理体系和治理能力现代化。」</w:t>
      </w:r>
    </w:p>
    <w:p>
      <w:pPr>
        <w:ind w:left="560"/>
        <w:jc w:val="right"/>
      </w:pPr>
      <w:r>
        <w:rPr>
          <w:rFonts w:ascii="楷体" w:hAnsi="楷体" w:eastAsia="楷体"/>
          <w:color w:val="718096"/>
          <w:sz w:val="22"/>
        </w:rPr>
        <w:t>—— 党的十八届三中全会 · 2013.11</w:t>
      </w:r>
    </w:p>
    <w:p/>
    <w:p>
      <w:pPr>
        <w:spacing w:after="120" w:line="384" w:lineRule="auto"/>
        <w:ind w:firstLine="480"/>
      </w:pPr>
      <w:r>
        <w:rPr>
          <w:rFonts w:ascii="宋体" w:hAnsi="宋体" w:eastAsia="宋体"/>
          <w:color w:val="1A202C"/>
          <w:sz w:val="24"/>
        </w:rPr>
        <w:t>此后，习近平总书记在多个场合反复强调治理现代化的重要性。2014 年 2 月，他在主持中央全面深化改革领导小组第二次会议时进一步阐述：「推进国家治理体系和治理能力现代化，必须正确处理坚持和完善中国特色社会主义制度与推进国家治理体系和治理能力现代化的关系。」这一时期，治理现代化主要作为顶层制度设计的目标提出。</w:t>
      </w:r>
    </w:p>
    <w:p>
      <w:pPr>
        <w:spacing w:before="280" w:after="160"/>
      </w:pPr>
      <w:r>
        <w:rPr>
          <w:rFonts w:ascii="黑体" w:hAnsi="黑体" w:eastAsia="黑体"/>
          <w:b/>
          <w:color w:val="B8232F"/>
          <w:sz w:val="28"/>
        </w:rPr>
        <w:t>2.1.2 形成阶段：2019-2022 年「人民城市」理念的诞生与发展</w:t>
      </w:r>
    </w:p>
    <w:p>
      <w:pPr>
        <w:spacing w:after="120" w:line="384" w:lineRule="auto"/>
        <w:ind w:firstLine="480"/>
      </w:pPr>
      <w:r>
        <w:rPr>
          <w:rFonts w:ascii="宋体" w:hAnsi="宋体" w:eastAsia="宋体"/>
          <w:color w:val="1A202C"/>
          <w:sz w:val="24"/>
        </w:rPr>
        <w:t>2019 年 11 月 2 日，习近平总书记在上海市杨浦区杨树浦水厂滨江段考察时，首次提出了「人民城市」这一具有深远历史意义的重要理念。这是中国城市治理思想的标志性时刻。</w:t>
      </w:r>
    </w:p>
    <w:p>
      <w:pPr>
        <w:spacing w:after="80" w:line="372" w:lineRule="auto"/>
        <w:ind w:left="560" w:right="560"/>
      </w:pPr>
      <w:r>
        <w:rPr>
          <w:rFonts w:ascii="楷体" w:hAnsi="楷体" w:eastAsia="楷体"/>
          <w:color w:val="1A202C"/>
          <w:sz w:val="23"/>
        </w:rPr>
        <w:t>「人民城市人民建，人民城市为人民。在城市建设中，一定要贯彻以人民为中心的发展思想，合理安排生产、生活、生态空间，努力扩大公共空间，让老百姓有休闲、健身、娱乐的地方，让城市成为老百姓宜业宜居的乐园。」</w:t>
      </w:r>
    </w:p>
    <w:p>
      <w:pPr>
        <w:ind w:left="560"/>
        <w:jc w:val="right"/>
      </w:pPr>
      <w:r>
        <w:rPr>
          <w:rFonts w:ascii="楷体" w:hAnsi="楷体" w:eastAsia="楷体"/>
          <w:color w:val="718096"/>
          <w:sz w:val="22"/>
        </w:rPr>
        <w:t>—— 习近平 · 2019.11.02 · 上海杨浦考察</w:t>
      </w:r>
    </w:p>
    <w:p/>
    <w:p>
      <w:pPr>
        <w:spacing w:after="120" w:line="384" w:lineRule="auto"/>
        <w:ind w:firstLine="480"/>
      </w:pPr>
      <w:r>
        <w:rPr>
          <w:rFonts w:ascii="宋体" w:hAnsi="宋体" w:eastAsia="宋体"/>
          <w:color w:val="1A202C"/>
          <w:sz w:val="24"/>
        </w:rPr>
        <w:t>「人民城市人民建，人民城市为人民」这 14 个字，蕴含着丰富而深刻的理论内涵：</w:t>
      </w:r>
    </w:p>
    <w:p>
      <w:pPr>
        <w:spacing w:after="80"/>
        <w:ind w:left="480"/>
      </w:pPr>
      <w:r>
        <w:rPr>
          <w:rFonts w:ascii="宋体" w:hAnsi="宋体" w:eastAsia="宋体"/>
          <w:b/>
          <w:color w:val="B8232F"/>
          <w:sz w:val="24"/>
        </w:rPr>
        <w:t>（一）</w:t>
      </w:r>
      <w:r>
        <w:rPr>
          <w:rFonts w:ascii="宋体" w:hAnsi="宋体" w:eastAsia="宋体"/>
          <w:color w:val="1A202C"/>
          <w:sz w:val="24"/>
        </w:rPr>
        <w:t>「人民城市」明确了城市的根本属性——城市是人民的城市，而非某个利益集团的城市。</w:t>
      </w:r>
    </w:p>
    <w:p>
      <w:pPr>
        <w:spacing w:after="80"/>
        <w:ind w:left="480"/>
      </w:pPr>
      <w:r>
        <w:rPr>
          <w:rFonts w:ascii="宋体" w:hAnsi="宋体" w:eastAsia="宋体"/>
          <w:b/>
          <w:color w:val="B8232F"/>
          <w:sz w:val="24"/>
        </w:rPr>
        <w:t>（二）</w:t>
      </w:r>
      <w:r>
        <w:rPr>
          <w:rFonts w:ascii="宋体" w:hAnsi="宋体" w:eastAsia="宋体"/>
          <w:color w:val="1A202C"/>
          <w:sz w:val="24"/>
        </w:rPr>
        <w:t>「人民建」明确了城市的建设主体——人民既是城市的服务对象，也是城市的建设主体。</w:t>
      </w:r>
    </w:p>
    <w:p>
      <w:pPr>
        <w:spacing w:after="80"/>
        <w:ind w:left="480"/>
      </w:pPr>
      <w:r>
        <w:rPr>
          <w:rFonts w:ascii="宋体" w:hAnsi="宋体" w:eastAsia="宋体"/>
          <w:b/>
          <w:color w:val="B8232F"/>
          <w:sz w:val="24"/>
        </w:rPr>
        <w:t>（三）</w:t>
      </w:r>
      <w:r>
        <w:rPr>
          <w:rFonts w:ascii="宋体" w:hAnsi="宋体" w:eastAsia="宋体"/>
          <w:color w:val="1A202C"/>
          <w:sz w:val="24"/>
        </w:rPr>
        <w:t>「为人民」明确了城市的根本宗旨——一切为了人民、一切依靠人民。</w:t>
      </w:r>
    </w:p>
    <w:p>
      <w:pPr>
        <w:spacing w:after="120" w:line="384" w:lineRule="auto"/>
        <w:ind w:firstLine="480"/>
      </w:pPr>
      <w:r>
        <w:rPr>
          <w:rFonts w:ascii="宋体" w:hAnsi="宋体" w:eastAsia="宋体"/>
          <w:color w:val="1A202C"/>
          <w:sz w:val="24"/>
        </w:rPr>
        <w:t>2020 年 4 月，习近平总书记在浙江杭州考察时，又把「人民城市」理念与数字治理结合起来：</w:t>
      </w:r>
    </w:p>
    <w:p>
      <w:pPr>
        <w:spacing w:after="80" w:line="372" w:lineRule="auto"/>
        <w:ind w:left="560" w:right="560"/>
      </w:pPr>
      <w:r>
        <w:rPr>
          <w:rFonts w:ascii="楷体" w:hAnsi="楷体" w:eastAsia="楷体"/>
          <w:color w:val="1A202C"/>
          <w:sz w:val="23"/>
        </w:rPr>
        <w:t>「运用大数据、云计算、区块链、人工智能等前沿技术推动城市管理手段、管理模式、管理理念创新，从数字化到智能化再到智慧化，让城市更聪明一些、更智慧一些，是推动城市治理体系和治理能力现代化的必由之路。」</w:t>
      </w:r>
    </w:p>
    <w:p>
      <w:pPr>
        <w:ind w:left="560"/>
        <w:jc w:val="right"/>
      </w:pPr>
      <w:r>
        <w:rPr>
          <w:rFonts w:ascii="楷体" w:hAnsi="楷体" w:eastAsia="楷体"/>
          <w:color w:val="718096"/>
          <w:sz w:val="22"/>
        </w:rPr>
        <w:t>—— 习近平 · 2020.03-04 · 浙江杭州考察</w:t>
      </w:r>
    </w:p>
    <w:p/>
    <w:p>
      <w:pPr>
        <w:spacing w:after="120" w:line="384" w:lineRule="auto"/>
        <w:ind w:firstLine="480"/>
      </w:pPr>
      <w:r>
        <w:rPr>
          <w:rFonts w:ascii="宋体" w:hAnsi="宋体" w:eastAsia="宋体"/>
          <w:color w:val="1A202C"/>
          <w:sz w:val="24"/>
        </w:rPr>
        <w:t>这段论述具有深远意义。它把抽象的「治理现代化」概念，转化为可操作的「数字化→智能化→智慧化」三阶递进路径，为后续中国城市的数字化转型指明了方向。</w:t>
      </w:r>
    </w:p>
    <w:p>
      <w:pPr>
        <w:spacing w:after="120" w:line="384" w:lineRule="auto"/>
        <w:ind w:firstLine="480"/>
      </w:pPr>
      <w:r>
        <w:rPr>
          <w:rFonts w:ascii="宋体" w:hAnsi="宋体" w:eastAsia="宋体"/>
          <w:color w:val="1A202C"/>
          <w:sz w:val="24"/>
        </w:rPr>
        <w:t>2022 年 10 月，党的二十大报告系统部署「国家治理体系和治理能力现代化深入推进」，并首次专章论述国家安全，把「公共安全」与「社会治理」作为并列标题纳入国家安全部分。这意味着，治理已经从单纯的「现代化目标」升级为「国家安全的重要内容」。</w:t>
      </w:r>
    </w:p>
    <w:p>
      <w:pPr>
        <w:spacing w:before="280" w:after="160"/>
      </w:pPr>
      <w:r>
        <w:rPr>
          <w:rFonts w:ascii="黑体" w:hAnsi="黑体" w:eastAsia="黑体"/>
          <w:b/>
          <w:color w:val="B8232F"/>
          <w:sz w:val="28"/>
        </w:rPr>
        <w:t>2.1.3 深化阶段：2024-2026 年「高效能治理」概念的诞生</w:t>
      </w:r>
    </w:p>
    <w:p>
      <w:pPr>
        <w:spacing w:after="120" w:line="384" w:lineRule="auto"/>
        <w:ind w:firstLine="480"/>
      </w:pPr>
      <w:r>
        <w:rPr>
          <w:rFonts w:ascii="宋体" w:hAnsi="宋体" w:eastAsia="宋体"/>
          <w:color w:val="1A202C"/>
          <w:sz w:val="24"/>
        </w:rPr>
        <w:t>2024 年 7 月，党的二十届三中全会通过决定，明确提出「健全党组织领导的自治、法治、德治相结合的城乡基层治理体系」，确立了基层治理的「三治融合」总体路径。这是高效能治理在基层层面的具体化。</w:t>
      </w:r>
    </w:p>
    <w:p>
      <w:pPr>
        <w:spacing w:after="120" w:line="384" w:lineRule="auto"/>
        <w:ind w:firstLine="480"/>
      </w:pPr>
      <w:r>
        <w:rPr>
          <w:rFonts w:ascii="宋体" w:hAnsi="宋体" w:eastAsia="宋体"/>
          <w:color w:val="1A202C"/>
          <w:sz w:val="24"/>
        </w:rPr>
        <w:t>2025 年 5 月 19 日至 20 日，习近平总书记在河南考察时作出了具有标志性意义的重大战略部署，首次将「高质量发展」与「高效能治理」并提：</w:t>
      </w:r>
    </w:p>
    <w:p>
      <w:pPr>
        <w:spacing w:after="80" w:line="372" w:lineRule="auto"/>
        <w:ind w:left="560" w:right="560"/>
      </w:pPr>
      <w:r>
        <w:rPr>
          <w:rFonts w:ascii="楷体" w:hAnsi="楷体" w:eastAsia="楷体"/>
          <w:color w:val="1A202C"/>
          <w:sz w:val="23"/>
        </w:rPr>
        <w:t>「新时代新征程，河南要认真落实党中央关于中部地区加快崛起、黄河流域生态保护和高质量发展等战略部署，坚持稳中求进工作总基调，全面深化改革开放，着力建设现代化产业体系和农业强省，着力改善民生、加强社会治理，着力加强生态环境保护，着力推动文化繁荣兴盛，以高质量发展和高效能治理奋力谱写中原大地推进中国式现代化新篇章。」</w:t>
      </w:r>
    </w:p>
    <w:p>
      <w:pPr>
        <w:ind w:left="560"/>
        <w:jc w:val="right"/>
      </w:pPr>
      <w:r>
        <w:rPr>
          <w:rFonts w:ascii="楷体" w:hAnsi="楷体" w:eastAsia="楷体"/>
          <w:color w:val="718096"/>
          <w:sz w:val="22"/>
        </w:rPr>
        <w:t>—— 习近平 · 2025.05.19-20 · 河南考察</w:t>
      </w:r>
    </w:p>
    <w:p/>
    <w:p>
      <w:pPr>
        <w:spacing w:after="120" w:line="384" w:lineRule="auto"/>
        <w:ind w:firstLine="480"/>
      </w:pPr>
      <w:r>
        <w:rPr>
          <w:rFonts w:ascii="宋体" w:hAnsi="宋体" w:eastAsia="宋体"/>
          <w:color w:val="1A202C"/>
          <w:sz w:val="24"/>
        </w:rPr>
        <w:t>这段讲话的理论突破点在于：（1）首次明确提出「高效能治理」概念，标志着「高效能治理」作为独立理论命题正式进入党的话语体系；（2）将其与「高质量发展」并列为推进中国式现代化的「双轮驱动」战略框架；（3）将这一战略部署率先在河南提出，赋予了河南在新时代治理现代化中的特殊历史使命。</w:t>
      </w:r>
    </w:p>
    <w:p>
      <w:pPr>
        <w:spacing w:after="120" w:line="384" w:lineRule="auto"/>
        <w:ind w:firstLine="480"/>
      </w:pPr>
      <w:r>
        <w:rPr>
          <w:rFonts w:ascii="宋体" w:hAnsi="宋体" w:eastAsia="宋体"/>
          <w:color w:val="1A202C"/>
          <w:sz w:val="24"/>
        </w:rPr>
        <w:t>2025 年 7 月 14 日至 15 日，时隔 10 年后，党中央再次召开中央城市工作会议。习近平总书记发表重要讲话，明确提出「6 目标·5 转变·7 重点任务」的纲领性框架，为新时代城市工作擘画了宏伟蓝图。</w:t>
      </w:r>
    </w:p>
    <w:p>
      <w:pPr>
        <w:spacing w:after="120" w:line="384" w:lineRule="auto"/>
        <w:ind w:firstLine="480"/>
      </w:pPr>
      <w:r>
        <w:rPr>
          <w:rFonts w:ascii="宋体" w:hAnsi="宋体" w:eastAsia="宋体"/>
          <w:color w:val="1A202C"/>
          <w:sz w:val="24"/>
        </w:rPr>
        <w:t>2025 年 10 月，党的二十届四中全会通过决定，把「完善社会治理体系」列入「十五五规划建议」，明确提出「以高效能治理促进高质量发展和高水平安全良性互动」，确立了「三高」良性互动的国家战略框架。</w:t>
      </w:r>
    </w:p>
    <w:p>
      <w:pPr>
        <w:spacing w:after="120" w:line="384" w:lineRule="auto"/>
        <w:ind w:firstLine="480"/>
      </w:pPr>
      <w:r>
        <w:rPr>
          <w:rFonts w:ascii="宋体" w:hAnsi="宋体" w:eastAsia="宋体"/>
          <w:color w:val="1A202C"/>
          <w:sz w:val="24"/>
        </w:rPr>
        <w:t>2026 年 1 月 15 日，《求是》杂志第 2 期发表习近平总书记重要文章《在中央城市工作会议上的讲话》全文，这一文章作为指导未来 5 年城市工作的纲领性文件，正式向党内外公开发表。</w:t>
      </w:r>
    </w:p>
    <w:p>
      <w:pPr>
        <w:spacing w:before="280" w:after="160"/>
      </w:pPr>
      <w:r>
        <w:rPr>
          <w:rFonts w:ascii="黑体" w:hAnsi="黑体" w:eastAsia="黑体"/>
          <w:b/>
          <w:color w:val="B8232F"/>
          <w:sz w:val="28"/>
        </w:rPr>
        <w:t>2.1.4 12 节点完整时间轴汇总</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时间</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重要节点</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核心论断</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理论意义</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2013.11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党的十八届三中全会</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首次提出「国家治理体系和治理能力现代化」</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治理现代化作为重大理论命题确立</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2019.11.02 ★</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上海杨浦考察</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「人民城市人民建，人民城市为人民」</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人民城市理念诞生</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2020.03-04</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浙江杭州考察</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「让城市更聪明一些、更智慧一些」</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数字化→智能化→智慧化路径</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2022.10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党的二十大</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治理现代化深入推进 + 国家安全专章</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治理纳入国家安全战略</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2024.07</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二十届三中全会</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「三治融合」基层治理体系</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基层治理具体化</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2025.05.19-20 ★</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河南考察</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「高质量发展+高效能治理」并提</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高效能治理概念诞生</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2025.07.14-15 ★</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中央城市工作会议</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「6 目标·5 转变·7 任务」</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现代化人民城市纲领</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2025.08</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中共中央国务院文件</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《关于推动城市高质量发展的意见》</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政策落地</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2025.10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二十届四中全会</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「以高效能治理促进三高良性互动」</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国家战略框架确立</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2026.01.15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《求是》第 2 期</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全文发表中央城市工作会议讲话</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纲领性文件公开</w:t>
            </w:r>
          </w:p>
        </w:tc>
      </w:tr>
    </w:tbl>
    <w:p/>
    <w:p>
      <w:pPr>
        <w:spacing w:before="360" w:after="240"/>
      </w:pPr>
      <w:r>
        <w:rPr>
          <w:rFonts w:ascii="黑体" w:hAnsi="黑体" w:eastAsia="黑体"/>
          <w:b/>
          <w:color w:val="B8232F"/>
          <w:sz w:val="32"/>
        </w:rPr>
        <w:t xml:space="preserve">2.2  </w:t>
      </w:r>
      <w:r>
        <w:rPr>
          <w:rFonts w:ascii="黑体" w:hAnsi="黑体" w:eastAsia="黑体"/>
          <w:b/>
          <w:color w:val="1E3A5F"/>
          <w:sz w:val="32"/>
        </w:rPr>
        <w:t>「人民城市」原始论述与三阶段演进</w:t>
      </w:r>
    </w:p>
    <w:p>
      <w:pPr>
        <w:spacing w:after="120" w:line="384" w:lineRule="auto"/>
        <w:ind w:firstLine="480"/>
      </w:pPr>
      <w:r>
        <w:rPr>
          <w:rFonts w:ascii="宋体" w:hAnsi="宋体" w:eastAsia="宋体"/>
          <w:color w:val="1A202C"/>
          <w:sz w:val="24"/>
        </w:rPr>
        <w:t>本节深入分析「人民城市」理念的三阶段演进。</w:t>
      </w:r>
    </w:p>
    <w:p>
      <w:pPr>
        <w:spacing w:before="280" w:after="160"/>
      </w:pPr>
      <w:r>
        <w:rPr>
          <w:rFonts w:ascii="黑体" w:hAnsi="黑体" w:eastAsia="黑体"/>
          <w:b/>
          <w:color w:val="B8232F"/>
          <w:sz w:val="28"/>
        </w:rPr>
        <w:t>2.2.1 第一阶段：起源阶段（2019）</w:t>
      </w:r>
    </w:p>
    <w:p>
      <w:pPr>
        <w:spacing w:after="120" w:line="384" w:lineRule="auto"/>
        <w:ind w:firstLine="480"/>
      </w:pPr>
      <w:r>
        <w:rPr>
          <w:rFonts w:ascii="宋体" w:hAnsi="宋体" w:eastAsia="宋体"/>
          <w:color w:val="1A202C"/>
          <w:sz w:val="24"/>
        </w:rPr>
        <w:t>2019 年 11 月 2 日的上海杨浦考察，是「人民城市」理念诞生的历史性时刻。当时，习近平总书记在杨浦区杨树浦水厂滨江段考察了滨江公共空间建设情况，看到曾经的工业锈带变成了人民群众休闲游憩的乐园，深有感触地说出了这 14 个字。</w:t>
      </w:r>
    </w:p>
    <w:p>
      <w:pPr>
        <w:spacing w:after="120" w:line="384" w:lineRule="auto"/>
        <w:ind w:firstLine="480"/>
      </w:pPr>
      <w:r>
        <w:rPr>
          <w:rFonts w:ascii="宋体" w:hAnsi="宋体" w:eastAsia="宋体"/>
          <w:color w:val="1A202C"/>
          <w:sz w:val="24"/>
        </w:rPr>
        <w:t>这一时刻具有深远的历史意义。杨树浦水厂始建于 1881 年（清光绪七年），是中国最早的现代化水厂之一，见证了近代上海乃至中国的发展历程。从「百年工业锈带」到「百姓滨水秀带」的转变，本身就是中国式现代化道路上人民城市理念实践的生动体现。</w:t>
      </w:r>
    </w:p>
    <w:p>
      <w:pPr>
        <w:spacing w:before="280" w:after="160"/>
      </w:pPr>
      <w:r>
        <w:rPr>
          <w:rFonts w:ascii="黑体" w:hAnsi="黑体" w:eastAsia="黑体"/>
          <w:b/>
          <w:color w:val="B8232F"/>
          <w:sz w:val="28"/>
        </w:rPr>
        <w:t>2.2.2 第二阶段：实践阶段（2020-2024 年上海「五个人民」探索）</w:t>
      </w:r>
    </w:p>
    <w:p>
      <w:pPr>
        <w:spacing w:after="120" w:line="384" w:lineRule="auto"/>
        <w:ind w:firstLine="480"/>
      </w:pPr>
      <w:r>
        <w:rPr>
          <w:rFonts w:ascii="宋体" w:hAnsi="宋体" w:eastAsia="宋体"/>
          <w:color w:val="1A202C"/>
          <w:sz w:val="24"/>
        </w:rPr>
        <w:t>上海作为「人民城市」理念的发源地，率先在实践中探索「五个人民」的具体路径：</w:t>
      </w:r>
    </w:p>
    <w:p>
      <w:pPr>
        <w:spacing w:after="80"/>
        <w:ind w:left="480"/>
      </w:pPr>
      <w:r>
        <w:rPr>
          <w:rFonts w:ascii="宋体" w:hAnsi="宋体" w:eastAsia="宋体"/>
          <w:b/>
          <w:color w:val="B8232F"/>
          <w:sz w:val="24"/>
        </w:rPr>
        <w:t>（人民建）</w:t>
      </w:r>
      <w:r>
        <w:rPr>
          <w:rFonts w:ascii="宋体" w:hAnsi="宋体" w:eastAsia="宋体"/>
          <w:color w:val="1A202C"/>
          <w:sz w:val="24"/>
        </w:rPr>
        <w:t>建立群众建议征集机制，把群众的「金点子」转化为城市治理的「金钥匙」。上海每年通过各种渠道征集群众建议数十万条，其中相当一部分转化为政府决策。</w:t>
      </w:r>
    </w:p>
    <w:p>
      <w:pPr>
        <w:spacing w:after="80"/>
        <w:ind w:left="480"/>
      </w:pPr>
      <w:r>
        <w:rPr>
          <w:rFonts w:ascii="宋体" w:hAnsi="宋体" w:eastAsia="宋体"/>
          <w:b/>
          <w:color w:val="B8232F"/>
          <w:sz w:val="24"/>
        </w:rPr>
        <w:t>（人民管）</w:t>
      </w:r>
      <w:r>
        <w:rPr>
          <w:rFonts w:ascii="宋体" w:hAnsi="宋体" w:eastAsia="宋体"/>
          <w:color w:val="1A202C"/>
          <w:sz w:val="24"/>
        </w:rPr>
        <w:t>推动垃圾分类等基层治理项目，市民自觉履行垃圾分类义务比例达到 97%。这一数据成为「人民城市」实践的最佳证明。</w:t>
      </w:r>
    </w:p>
    <w:p>
      <w:pPr>
        <w:spacing w:after="80"/>
        <w:ind w:left="480"/>
      </w:pPr>
      <w:r>
        <w:rPr>
          <w:rFonts w:ascii="宋体" w:hAnsi="宋体" w:eastAsia="宋体"/>
          <w:b/>
          <w:color w:val="B8232F"/>
          <w:sz w:val="24"/>
        </w:rPr>
        <w:t>（人民治）</w:t>
      </w:r>
      <w:r>
        <w:rPr>
          <w:rFonts w:ascii="宋体" w:hAnsi="宋体" w:eastAsia="宋体"/>
          <w:color w:val="1A202C"/>
          <w:sz w:val="24"/>
        </w:rPr>
        <w:t>推进「全过程人民民主」，通过基层立法联系点、人大代表「家站点」等机制，让人民群众参与治理全过程。</w:t>
      </w:r>
    </w:p>
    <w:p>
      <w:pPr>
        <w:spacing w:after="80"/>
        <w:ind w:left="480"/>
      </w:pPr>
      <w:r>
        <w:rPr>
          <w:rFonts w:ascii="宋体" w:hAnsi="宋体" w:eastAsia="宋体"/>
          <w:b/>
          <w:color w:val="B8232F"/>
          <w:sz w:val="24"/>
        </w:rPr>
        <w:t>（人民享）</w:t>
      </w:r>
      <w:r>
        <w:rPr>
          <w:rFonts w:ascii="宋体" w:hAnsi="宋体" w:eastAsia="宋体"/>
          <w:color w:val="1A202C"/>
          <w:sz w:val="24"/>
        </w:rPr>
        <w:t>坚持把最好的资源留给人民、用优质的供给服务人民，建设「15 分钟社区生活圈」，让每个人享受高品质生活。</w:t>
      </w:r>
    </w:p>
    <w:p>
      <w:pPr>
        <w:spacing w:after="80"/>
        <w:ind w:left="480"/>
      </w:pPr>
      <w:r>
        <w:rPr>
          <w:rFonts w:ascii="宋体" w:hAnsi="宋体" w:eastAsia="宋体"/>
          <w:b/>
          <w:color w:val="B8232F"/>
          <w:sz w:val="24"/>
        </w:rPr>
        <w:t>（人民暖）</w:t>
      </w:r>
      <w:r>
        <w:rPr>
          <w:rFonts w:ascii="宋体" w:hAnsi="宋体" w:eastAsia="宋体"/>
          <w:color w:val="1A202C"/>
          <w:sz w:val="24"/>
        </w:rPr>
        <w:t>把「城市精细化管理」做到极致，聚焦垃圾分类、「光盘行动」等「关键小事」，让城市有温度。</w:t>
      </w:r>
    </w:p>
    <w:p>
      <w:pPr>
        <w:spacing w:before="280" w:after="160"/>
      </w:pPr>
      <w:r>
        <w:rPr>
          <w:rFonts w:ascii="黑体" w:hAnsi="黑体" w:eastAsia="黑体"/>
          <w:b/>
          <w:color w:val="B8232F"/>
          <w:sz w:val="28"/>
        </w:rPr>
        <w:t>2.2.3 第三阶段：升华阶段（2025 现代化人民城市 6 大目标）</w:t>
      </w:r>
    </w:p>
    <w:p>
      <w:pPr>
        <w:spacing w:after="120" w:line="384" w:lineRule="auto"/>
        <w:ind w:firstLine="480"/>
      </w:pPr>
      <w:r>
        <w:rPr>
          <w:rFonts w:ascii="宋体" w:hAnsi="宋体" w:eastAsia="宋体"/>
          <w:color w:val="1A202C"/>
          <w:sz w:val="24"/>
        </w:rPr>
        <w:t>2025 年 7 月中央城市工作会议把「人民城市」理念升华为「6 目标·5 转变·7 重点任务」的纲领性框架。其中 6 大目标——创新、宜居、美丽、韧性、文明、智慧——构成了现代化人民城市建设的核心内涵。</w:t>
      </w:r>
    </w:p>
    <w:p>
      <w:pPr>
        <w:spacing w:after="120" w:line="384" w:lineRule="auto"/>
        <w:ind w:firstLine="480"/>
      </w:pPr>
      <w:r>
        <w:rPr>
          <w:rFonts w:ascii="宋体" w:hAnsi="宋体" w:eastAsia="宋体"/>
          <w:color w:val="1A202C"/>
          <w:sz w:val="24"/>
        </w:rPr>
        <w:t>这 6 大目标各有侧重：「创新」强调城市发展动能的转换；「宜居」强调城市的生活家园属性；「美丽」强调生态优先与绿色转型；「韧性」强调安全底线的系统强化；「文明」强调城市的文化软实力；「智慧」强调数字技术赋能治理现代化。6 大目标既相互独立又相互联动，构成了一个完整的有机体系。</w:t>
      </w:r>
    </w:p>
    <w:p>
      <w:pPr>
        <w:spacing w:before="360" w:after="240"/>
      </w:pPr>
      <w:r>
        <w:rPr>
          <w:rFonts w:ascii="黑体" w:hAnsi="黑体" w:eastAsia="黑体"/>
          <w:b/>
          <w:color w:val="B8232F"/>
          <w:sz w:val="32"/>
        </w:rPr>
        <w:t xml:space="preserve">2.3  </w:t>
      </w:r>
      <w:r>
        <w:rPr>
          <w:rFonts w:ascii="黑体" w:hAnsi="黑体" w:eastAsia="黑体"/>
          <w:b/>
          <w:color w:val="1E3A5F"/>
          <w:sz w:val="32"/>
        </w:rPr>
        <w:t>「高质量发展+高效能治理」并提的理论突破</w:t>
      </w:r>
    </w:p>
    <w:p>
      <w:pPr>
        <w:spacing w:after="120" w:line="384" w:lineRule="auto"/>
        <w:ind w:firstLine="480"/>
      </w:pPr>
      <w:r>
        <w:rPr>
          <w:rFonts w:ascii="宋体" w:hAnsi="宋体" w:eastAsia="宋体"/>
          <w:color w:val="1A202C"/>
          <w:sz w:val="24"/>
        </w:rPr>
        <w:t>2025 年 5 月习近平总书记在河南考察时首次将「高质量发展」与「高效能治理」并提，标志着党的治理思想达到了一个新高度。本节深入分析这一理论突破的政治意义、学术意义和实践意义。</w:t>
      </w:r>
    </w:p>
    <w:p>
      <w:pPr>
        <w:spacing w:before="280" w:after="160"/>
      </w:pPr>
      <w:r>
        <w:rPr>
          <w:rFonts w:ascii="黑体" w:hAnsi="黑体" w:eastAsia="黑体"/>
          <w:b/>
          <w:color w:val="B8232F"/>
          <w:sz w:val="28"/>
        </w:rPr>
        <w:t>2.3.1 政治意义：从单一驱动到双轮驱动的战略升级</w:t>
      </w:r>
    </w:p>
    <w:p>
      <w:pPr>
        <w:spacing w:after="120" w:line="384" w:lineRule="auto"/>
        <w:ind w:firstLine="480"/>
      </w:pPr>
      <w:r>
        <w:rPr>
          <w:rFonts w:ascii="宋体" w:hAnsi="宋体" w:eastAsia="宋体"/>
          <w:color w:val="1A202C"/>
          <w:sz w:val="24"/>
        </w:rPr>
        <w:t>长期以来，「高质量发展」被作为中国式现代化的核心命题反复强调。从 2017 年党的十九大报告首次明确「我国经济已由高速增长阶段转向高质量发展阶段」，到 2022 年党的二十大报告把「高质量发展」作为全面建设社会主义现代化国家的首要任务，「高质量发展」一直是党的执政话语的核心关键词。</w:t>
      </w:r>
    </w:p>
    <w:p>
      <w:pPr>
        <w:spacing w:after="120" w:line="384" w:lineRule="auto"/>
        <w:ind w:firstLine="480"/>
      </w:pPr>
      <w:r>
        <w:rPr>
          <w:rFonts w:ascii="宋体" w:hAnsi="宋体" w:eastAsia="宋体"/>
          <w:color w:val="1A202C"/>
          <w:sz w:val="24"/>
        </w:rPr>
        <w:t>习近平总书记 2025 年河南讲话的理论突破，就在于把「高效能治理」从「高质量发展」的内在要求和重要保障，升级为与「高质量发展」并列的独立战略目标。这不仅是话语升级，更是党对推进中国式现代化规律的深刻把握。其逻辑在于：</w:t>
      </w:r>
    </w:p>
    <w:p>
      <w:pPr>
        <w:spacing w:after="80"/>
        <w:ind w:left="480"/>
      </w:pPr>
      <w:r>
        <w:rPr>
          <w:rFonts w:ascii="宋体" w:hAnsi="宋体" w:eastAsia="宋体"/>
          <w:b/>
          <w:color w:val="B8232F"/>
          <w:sz w:val="24"/>
        </w:rPr>
        <w:t>（高质量发展是动力源）</w:t>
      </w:r>
      <w:r>
        <w:rPr>
          <w:rFonts w:ascii="宋体" w:hAnsi="宋体" w:eastAsia="宋体"/>
          <w:color w:val="1A202C"/>
          <w:sz w:val="24"/>
        </w:rPr>
        <w:t>解决「能否发展、如何发展」的问题</w:t>
      </w:r>
    </w:p>
    <w:p>
      <w:pPr>
        <w:spacing w:after="80"/>
        <w:ind w:left="480"/>
      </w:pPr>
      <w:r>
        <w:rPr>
          <w:rFonts w:ascii="宋体" w:hAnsi="宋体" w:eastAsia="宋体"/>
          <w:b/>
          <w:color w:val="B8232F"/>
          <w:sz w:val="24"/>
        </w:rPr>
        <w:t>（高效能治理是保障线）</w:t>
      </w:r>
      <w:r>
        <w:rPr>
          <w:rFonts w:ascii="宋体" w:hAnsi="宋体" w:eastAsia="宋体"/>
          <w:color w:val="1A202C"/>
          <w:sz w:val="24"/>
        </w:rPr>
        <w:t>解决「如何治理、能否治好」的问题</w:t>
      </w:r>
    </w:p>
    <w:p>
      <w:pPr>
        <w:spacing w:after="80"/>
        <w:ind w:left="480"/>
      </w:pPr>
      <w:r>
        <w:rPr>
          <w:rFonts w:ascii="宋体" w:hAnsi="宋体" w:eastAsia="宋体"/>
          <w:b/>
          <w:color w:val="B8232F"/>
          <w:sz w:val="24"/>
        </w:rPr>
        <w:t>（二者相辅相成）</w:t>
      </w:r>
      <w:r>
        <w:rPr>
          <w:rFonts w:ascii="宋体" w:hAnsi="宋体" w:eastAsia="宋体"/>
          <w:color w:val="1A202C"/>
          <w:sz w:val="24"/>
        </w:rPr>
        <w:t>共同构成中国式现代化省域推进的双轮驱动</w:t>
      </w:r>
    </w:p>
    <w:p>
      <w:pPr>
        <w:spacing w:before="280" w:after="160"/>
      </w:pPr>
      <w:r>
        <w:rPr>
          <w:rFonts w:ascii="黑体" w:hAnsi="黑体" w:eastAsia="黑体"/>
          <w:b/>
          <w:color w:val="B8232F"/>
          <w:sz w:val="28"/>
        </w:rPr>
        <w:t>2.3.2 学术意义：填补理论空白</w:t>
      </w:r>
    </w:p>
    <w:p>
      <w:pPr>
        <w:spacing w:after="120" w:line="384" w:lineRule="auto"/>
        <w:ind w:firstLine="480"/>
      </w:pPr>
      <w:r>
        <w:rPr>
          <w:rFonts w:ascii="宋体" w:hAnsi="宋体" w:eastAsia="宋体"/>
          <w:color w:val="1A202C"/>
          <w:sz w:val="24"/>
        </w:rPr>
        <w:t>在国际学术界，「治理」（governance）研究从 1990 年代世界银行报告以来已经积累了大量文献。从「善治」（good governance）到「智慧治理」（smart governance）、从「网络化治理」（network governance）到「数字治理」（digital governance），各种概念层出不穷。然而，「高效能治理」（high-efficiency governance）作为一个独立概念，在国际学术界尚未形成共识。</w:t>
      </w:r>
    </w:p>
    <w:p>
      <w:pPr>
        <w:spacing w:after="120" w:line="384" w:lineRule="auto"/>
        <w:ind w:firstLine="480"/>
      </w:pPr>
      <w:r>
        <w:rPr>
          <w:rFonts w:ascii="宋体" w:hAnsi="宋体" w:eastAsia="宋体"/>
          <w:color w:val="1A202C"/>
          <w:sz w:val="24"/>
        </w:rPr>
        <w:t>习近平 2025 年河南讲话首次明确提出「高效能治理」概念，为国际治理研究提供了来自中国的原创性概念贡献。这一概念既扎根于中国治理实践，又具备国际比较的理论价值，有望成为中国治理学派的重要标志性术语。</w:t>
      </w:r>
    </w:p>
    <w:p>
      <w:pPr>
        <w:spacing w:before="280" w:after="160"/>
      </w:pPr>
      <w:r>
        <w:rPr>
          <w:rFonts w:ascii="黑体" w:hAnsi="黑体" w:eastAsia="黑体"/>
          <w:b/>
          <w:color w:val="B8232F"/>
          <w:sz w:val="28"/>
        </w:rPr>
        <w:t>2.3.3 实践意义：直接指导地方政府</w:t>
      </w:r>
    </w:p>
    <w:p>
      <w:pPr>
        <w:spacing w:after="120" w:line="384" w:lineRule="auto"/>
        <w:ind w:firstLine="480"/>
      </w:pPr>
      <w:r>
        <w:rPr>
          <w:rFonts w:ascii="宋体" w:hAnsi="宋体" w:eastAsia="宋体"/>
          <w:color w:val="1A202C"/>
          <w:sz w:val="24"/>
        </w:rPr>
        <w:t>「高效能治理」概念的提出，直接为地方政府治理实践提供了明确的目标导向。它意味着：</w:t>
      </w:r>
    </w:p>
    <w:p>
      <w:pPr>
        <w:spacing w:after="80"/>
        <w:ind w:left="480"/>
      </w:pPr>
      <w:r>
        <w:rPr>
          <w:rFonts w:ascii="宋体" w:hAnsi="宋体" w:eastAsia="宋体"/>
          <w:b/>
          <w:color w:val="C9A063"/>
          <w:sz w:val="24"/>
        </w:rPr>
        <w:t xml:space="preserve">▪ </w:t>
      </w:r>
      <w:r>
        <w:rPr>
          <w:rFonts w:ascii="宋体" w:hAnsi="宋体" w:eastAsia="宋体"/>
          <w:color w:val="1A202C"/>
          <w:sz w:val="24"/>
        </w:rPr>
        <w:t>地方政府不仅要关注 GDP 增长，更要关注治理水平的质量提升</w:t>
      </w:r>
    </w:p>
    <w:p>
      <w:pPr>
        <w:spacing w:after="80"/>
        <w:ind w:left="480"/>
      </w:pPr>
      <w:r>
        <w:rPr>
          <w:rFonts w:ascii="宋体" w:hAnsi="宋体" w:eastAsia="宋体"/>
          <w:b/>
          <w:color w:val="C9A063"/>
          <w:sz w:val="24"/>
        </w:rPr>
        <w:t xml:space="preserve">▪ </w:t>
      </w:r>
      <w:r>
        <w:rPr>
          <w:rFonts w:ascii="宋体" w:hAnsi="宋体" w:eastAsia="宋体"/>
          <w:color w:val="1A202C"/>
          <w:sz w:val="24"/>
        </w:rPr>
        <w:t>数字政府投入不能简单追求规模，而要追求实际治理效能的提升</w:t>
      </w:r>
    </w:p>
    <w:p>
      <w:pPr>
        <w:spacing w:after="80"/>
        <w:ind w:left="480"/>
      </w:pPr>
      <w:r>
        <w:rPr>
          <w:rFonts w:ascii="宋体" w:hAnsi="宋体" w:eastAsia="宋体"/>
          <w:b/>
          <w:color w:val="C9A063"/>
          <w:sz w:val="24"/>
        </w:rPr>
        <w:t xml:space="preserve">▪ </w:t>
      </w:r>
      <w:r>
        <w:rPr>
          <w:rFonts w:ascii="宋体" w:hAnsi="宋体" w:eastAsia="宋体"/>
          <w:color w:val="1A202C"/>
          <w:sz w:val="24"/>
        </w:rPr>
        <w:t>干部考核不能仅看「做了多少」，更要看「治理水平提升了多少」</w:t>
      </w:r>
    </w:p>
    <w:p>
      <w:pPr>
        <w:spacing w:after="80"/>
        <w:ind w:left="480"/>
      </w:pPr>
      <w:r>
        <w:rPr>
          <w:rFonts w:ascii="宋体" w:hAnsi="宋体" w:eastAsia="宋体"/>
          <w:b/>
          <w:color w:val="C9A063"/>
          <w:sz w:val="24"/>
        </w:rPr>
        <w:t xml:space="preserve">▪ </w:t>
      </w:r>
      <w:r>
        <w:rPr>
          <w:rFonts w:ascii="宋体" w:hAnsi="宋体" w:eastAsia="宋体"/>
          <w:color w:val="1A202C"/>
          <w:sz w:val="24"/>
        </w:rPr>
        <w:t>治理改革必须把人民群众的获得感、幸福感、安全感作为根本衡量标准</w:t>
      </w:r>
    </w:p>
    <w:p>
      <w:pPr>
        <w:spacing w:before="360" w:after="240"/>
      </w:pPr>
      <w:r>
        <w:rPr>
          <w:rFonts w:ascii="黑体" w:hAnsi="黑体" w:eastAsia="黑体"/>
          <w:b/>
          <w:color w:val="B8232F"/>
          <w:sz w:val="32"/>
        </w:rPr>
        <w:t xml:space="preserve">2.4  </w:t>
      </w:r>
      <w:r>
        <w:rPr>
          <w:rFonts w:ascii="黑体" w:hAnsi="黑体" w:eastAsia="黑体"/>
          <w:b/>
          <w:color w:val="1E3A5F"/>
          <w:sz w:val="32"/>
        </w:rPr>
        <w:t>中央城市工作会议「6 目标·5 转变·7 重点任务」</w:t>
      </w:r>
    </w:p>
    <w:p>
      <w:pPr>
        <w:spacing w:after="120" w:line="384" w:lineRule="auto"/>
        <w:ind w:firstLine="480"/>
      </w:pPr>
      <w:r>
        <w:rPr>
          <w:rFonts w:ascii="宋体" w:hAnsi="宋体" w:eastAsia="宋体"/>
          <w:color w:val="1A202C"/>
          <w:sz w:val="24"/>
        </w:rPr>
        <w:t>2025 年 7 月 14 日至 15 日的中央城市工作会议，是新时代中国城市工作的纲领性会议。本节系统分析该会议提出的「6 目标·5 转变·7 重点任务」框架。</w:t>
      </w:r>
    </w:p>
    <w:p>
      <w:pPr>
        <w:spacing w:before="280" w:after="160"/>
      </w:pPr>
      <w:r>
        <w:rPr>
          <w:rFonts w:ascii="黑体" w:hAnsi="黑体" w:eastAsia="黑体"/>
          <w:b/>
          <w:color w:val="B8232F"/>
          <w:sz w:val="28"/>
        </w:rPr>
        <w:t>2.4.1 阶段性判断的历史性意义</w:t>
      </w:r>
    </w:p>
    <w:p>
      <w:pPr>
        <w:spacing w:after="120" w:line="384" w:lineRule="auto"/>
        <w:ind w:firstLine="480"/>
      </w:pPr>
      <w:r>
        <w:rPr>
          <w:rFonts w:ascii="宋体" w:hAnsi="宋体" w:eastAsia="宋体"/>
          <w:color w:val="1A202C"/>
          <w:sz w:val="24"/>
        </w:rPr>
        <w:t>习近平总书记在会上作出重要判断：「我国城镇化正从快速增长期转向稳定发展期，城市发展正从大规模增量扩张阶段转向存量提质增效为主的阶段。」</w:t>
      </w:r>
    </w:p>
    <w:p>
      <w:pPr>
        <w:spacing w:after="120" w:line="384" w:lineRule="auto"/>
        <w:ind w:firstLine="480"/>
      </w:pPr>
      <w:r>
        <w:rPr>
          <w:rFonts w:ascii="宋体" w:hAnsi="宋体" w:eastAsia="宋体"/>
          <w:color w:val="1A202C"/>
          <w:sz w:val="24"/>
        </w:rPr>
        <w:t>这一判断具有重大历史意义。自 1978 年改革开放以来，中国城市化率从 17.9% 增长至 2024 年的 66.2%，平均每年增长约 1 个百分点。然而，未来 10-15 年，城市化将进入「速度放缓、质量提升」的新阶段。这意味着：</w:t>
      </w:r>
    </w:p>
    <w:p>
      <w:pPr>
        <w:spacing w:after="80"/>
        <w:ind w:left="480"/>
      </w:pPr>
      <w:r>
        <w:rPr>
          <w:rFonts w:ascii="宋体" w:hAnsi="宋体" w:eastAsia="宋体"/>
          <w:b/>
          <w:color w:val="C9A063"/>
          <w:sz w:val="24"/>
        </w:rPr>
        <w:t xml:space="preserve">▪ </w:t>
      </w:r>
      <w:r>
        <w:rPr>
          <w:rFonts w:ascii="宋体" w:hAnsi="宋体" w:eastAsia="宋体"/>
          <w:color w:val="1A202C"/>
          <w:sz w:val="24"/>
        </w:rPr>
        <w:t>「土地财政」模式难以为继</w:t>
      </w:r>
    </w:p>
    <w:p>
      <w:pPr>
        <w:spacing w:after="80"/>
        <w:ind w:left="480"/>
      </w:pPr>
      <w:r>
        <w:rPr>
          <w:rFonts w:ascii="宋体" w:hAnsi="宋体" w:eastAsia="宋体"/>
          <w:b/>
          <w:color w:val="C9A063"/>
          <w:sz w:val="24"/>
        </w:rPr>
        <w:t xml:space="preserve">▪ </w:t>
      </w:r>
      <w:r>
        <w:rPr>
          <w:rFonts w:ascii="宋体" w:hAnsi="宋体" w:eastAsia="宋体"/>
          <w:color w:val="1A202C"/>
          <w:sz w:val="24"/>
        </w:rPr>
        <w:t>「卖地、建房、招商」的城市发展逻辑面临根本转型</w:t>
      </w:r>
    </w:p>
    <w:p>
      <w:pPr>
        <w:spacing w:after="80"/>
        <w:ind w:left="480"/>
      </w:pPr>
      <w:r>
        <w:rPr>
          <w:rFonts w:ascii="宋体" w:hAnsi="宋体" w:eastAsia="宋体"/>
          <w:b/>
          <w:color w:val="C9A063"/>
          <w:sz w:val="24"/>
        </w:rPr>
        <w:t xml:space="preserve">▪ </w:t>
      </w:r>
      <w:r>
        <w:rPr>
          <w:rFonts w:ascii="宋体" w:hAnsi="宋体" w:eastAsia="宋体"/>
          <w:color w:val="1A202C"/>
          <w:sz w:val="24"/>
        </w:rPr>
        <w:t>「存量更新」「品质提升」「治理增效」成为新阶段的关键词</w:t>
      </w:r>
    </w:p>
    <w:p>
      <w:pPr>
        <w:spacing w:after="80"/>
        <w:ind w:left="480"/>
      </w:pPr>
      <w:r>
        <w:rPr>
          <w:rFonts w:ascii="宋体" w:hAnsi="宋体" w:eastAsia="宋体"/>
          <w:b/>
          <w:color w:val="C9A063"/>
          <w:sz w:val="24"/>
        </w:rPr>
        <w:t xml:space="preserve">▪ </w:t>
      </w:r>
      <w:r>
        <w:rPr>
          <w:rFonts w:ascii="宋体" w:hAnsi="宋体" w:eastAsia="宋体"/>
          <w:color w:val="1A202C"/>
          <w:sz w:val="24"/>
        </w:rPr>
        <w:t>「韧性城市」建设成为应对人口老龄化、少子化、区域分化的关键</w:t>
      </w:r>
    </w:p>
    <w:p>
      <w:pPr>
        <w:spacing w:before="280" w:after="160"/>
      </w:pPr>
      <w:r>
        <w:rPr>
          <w:rFonts w:ascii="黑体" w:hAnsi="黑体" w:eastAsia="黑体"/>
          <w:b/>
          <w:color w:val="B8232F"/>
          <w:sz w:val="28"/>
        </w:rPr>
        <w:t>2.4.2 6 大目标的内涵详解</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目标</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核心内涵</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对应建设重点</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 创新城市</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动能转换 · 从规模扩张到创新驱动</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科技创新 · 产业升级 · 人才聚集</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 宜居城市</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生活家园 · 群众满意度优先</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15 分钟生活圈 · 便民设施 · 社区营造</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 美丽城市</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绿色低碳 · 生态优先</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公园城市 · 海绵城市 · 双碳目标</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 韧性城市</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安全可靠 · 风险防控嵌入</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生命线工程 · 内涝防治 · 防震减灾</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 文明城市</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崇德向善 · 文化软实力</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历史文化保护 · 文明创建 · 价值引领</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 智慧城市</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数字治理 · 一网统管</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城市大脑 · 一网通办 · AI 应用</w:t>
            </w:r>
          </w:p>
        </w:tc>
      </w:tr>
    </w:tbl>
    <w:p/>
    <w:p>
      <w:pPr>
        <w:spacing w:before="280" w:after="160"/>
      </w:pPr>
      <w:r>
        <w:rPr>
          <w:rFonts w:ascii="黑体" w:hAnsi="黑体" w:eastAsia="黑体"/>
          <w:b/>
          <w:color w:val="B8232F"/>
          <w:sz w:val="28"/>
        </w:rPr>
        <w:t>2.4.3 5 个转变的政策内涵</w:t>
      </w:r>
    </w:p>
    <w:p>
      <w:pPr>
        <w:spacing w:after="120" w:line="384" w:lineRule="auto"/>
        <w:ind w:firstLine="480"/>
      </w:pPr>
      <w:r>
        <w:rPr>
          <w:rFonts w:ascii="宋体" w:hAnsi="宋体" w:eastAsia="宋体"/>
          <w:color w:val="1A202C"/>
          <w:sz w:val="24"/>
        </w:rPr>
        <w:t>5 个转变是落实总体要求的关键，涉及理念、方式、动力、重心、方法五个层面的深刻变革：</w:t>
      </w:r>
    </w:p>
    <w:p>
      <w:pPr>
        <w:spacing w:after="80"/>
        <w:ind w:left="480"/>
      </w:pPr>
      <w:r>
        <w:rPr>
          <w:rFonts w:ascii="宋体" w:hAnsi="宋体" w:eastAsia="宋体"/>
          <w:b/>
          <w:color w:val="B8232F"/>
          <w:sz w:val="24"/>
        </w:rPr>
        <w:t>（一）</w:t>
      </w:r>
      <w:r>
        <w:rPr>
          <w:rFonts w:ascii="宋体" w:hAnsi="宋体" w:eastAsia="宋体"/>
          <w:color w:val="1A202C"/>
          <w:sz w:val="24"/>
        </w:rPr>
        <w:t>转变城市发展理念，更加注重以人为本 —— 把人民群众的需求作为城市发展的出发点和落脚点。</w:t>
      </w:r>
    </w:p>
    <w:p>
      <w:pPr>
        <w:spacing w:after="80"/>
        <w:ind w:left="480"/>
      </w:pPr>
      <w:r>
        <w:rPr>
          <w:rFonts w:ascii="宋体" w:hAnsi="宋体" w:eastAsia="宋体"/>
          <w:b/>
          <w:color w:val="B8232F"/>
          <w:sz w:val="24"/>
        </w:rPr>
        <w:t>（二）</w:t>
      </w:r>
      <w:r>
        <w:rPr>
          <w:rFonts w:ascii="宋体" w:hAnsi="宋体" w:eastAsia="宋体"/>
          <w:color w:val="1A202C"/>
          <w:sz w:val="24"/>
        </w:rPr>
        <w:t>转变城市发展方式，更加注重集约高效 —— 从粗放扩张到精明增长，破解「土地财政」难题。</w:t>
      </w:r>
    </w:p>
    <w:p>
      <w:pPr>
        <w:spacing w:after="80"/>
        <w:ind w:left="480"/>
      </w:pPr>
      <w:r>
        <w:rPr>
          <w:rFonts w:ascii="宋体" w:hAnsi="宋体" w:eastAsia="宋体"/>
          <w:b/>
          <w:color w:val="B8232F"/>
          <w:sz w:val="24"/>
        </w:rPr>
        <w:t>（三）</w:t>
      </w:r>
      <w:r>
        <w:rPr>
          <w:rFonts w:ascii="宋体" w:hAnsi="宋体" w:eastAsia="宋体"/>
          <w:color w:val="1A202C"/>
          <w:sz w:val="24"/>
        </w:rPr>
        <w:t>转变城市发展动力，更加注重特色发展 —— 每座城市都要找到自己的「独特记忆」和核心竞争力。</w:t>
      </w:r>
    </w:p>
    <w:p>
      <w:pPr>
        <w:spacing w:after="80"/>
        <w:ind w:left="480"/>
      </w:pPr>
      <w:r>
        <w:rPr>
          <w:rFonts w:ascii="宋体" w:hAnsi="宋体" w:eastAsia="宋体"/>
          <w:b/>
          <w:color w:val="B8232F"/>
          <w:sz w:val="24"/>
        </w:rPr>
        <w:t>（四）</w:t>
      </w:r>
      <w:r>
        <w:rPr>
          <w:rFonts w:ascii="宋体" w:hAnsi="宋体" w:eastAsia="宋体"/>
          <w:color w:val="1A202C"/>
          <w:sz w:val="24"/>
        </w:rPr>
        <w:t>转变城市工作重心，更加注重治理投入 —— 这是 5 大转变中最具标志性的一条，意味着「重建轻治」时代结束。</w:t>
      </w:r>
    </w:p>
    <w:p>
      <w:pPr>
        <w:spacing w:after="80"/>
        <w:ind w:left="480"/>
      </w:pPr>
      <w:r>
        <w:rPr>
          <w:rFonts w:ascii="宋体" w:hAnsi="宋体" w:eastAsia="宋体"/>
          <w:b/>
          <w:color w:val="B8232F"/>
          <w:sz w:val="24"/>
        </w:rPr>
        <w:t>（五）</w:t>
      </w:r>
      <w:r>
        <w:rPr>
          <w:rFonts w:ascii="宋体" w:hAnsi="宋体" w:eastAsia="宋体"/>
          <w:color w:val="1A202C"/>
          <w:sz w:val="24"/>
        </w:rPr>
        <w:t>转变城市工作方法，更加注重统筹协调 —— 打破部门壁垒，构建「整体性政府」。</w:t>
      </w:r>
    </w:p>
    <w:p>
      <w:pPr>
        <w:spacing w:before="280" w:after="160"/>
      </w:pPr>
      <w:r>
        <w:rPr>
          <w:rFonts w:ascii="黑体" w:hAnsi="黑体" w:eastAsia="黑体"/>
          <w:b/>
          <w:color w:val="B8232F"/>
          <w:sz w:val="28"/>
        </w:rPr>
        <w:t>2.4.4 7 个重点任务的实施路径</w:t>
      </w:r>
    </w:p>
    <w:p>
      <w:pPr>
        <w:spacing w:after="120" w:line="384" w:lineRule="auto"/>
        <w:ind w:firstLine="480"/>
      </w:pPr>
      <w:r>
        <w:rPr>
          <w:rFonts w:ascii="宋体" w:hAnsi="宋体" w:eastAsia="宋体"/>
          <w:color w:val="1A202C"/>
          <w:sz w:val="24"/>
        </w:rPr>
        <w:t>7 个重点任务构成了城市工作的具体抓手，按照「优化体系-建设六城」的逻辑展开：</w:t>
      </w:r>
    </w:p>
    <w:p>
      <w:pPr>
        <w:spacing w:after="80"/>
        <w:ind w:left="480"/>
      </w:pPr>
      <w:r>
        <w:rPr>
          <w:rFonts w:ascii="宋体" w:hAnsi="宋体" w:eastAsia="宋体"/>
          <w:b/>
          <w:color w:val="C9A063"/>
          <w:sz w:val="24"/>
        </w:rPr>
        <w:t xml:space="preserve">▪ </w:t>
      </w:r>
      <w:r>
        <w:rPr>
          <w:rFonts w:ascii="宋体" w:hAnsi="宋体" w:eastAsia="宋体"/>
          <w:color w:val="1A202C"/>
          <w:sz w:val="24"/>
        </w:rPr>
        <w:t>任务一：着力优化现代化城市体系（顶层架构）</w:t>
      </w:r>
    </w:p>
    <w:p>
      <w:pPr>
        <w:spacing w:after="80"/>
        <w:ind w:left="480"/>
      </w:pPr>
      <w:r>
        <w:rPr>
          <w:rFonts w:ascii="宋体" w:hAnsi="宋体" w:eastAsia="宋体"/>
          <w:b/>
          <w:color w:val="C9A063"/>
          <w:sz w:val="24"/>
        </w:rPr>
        <w:t xml:space="preserve">▪ </w:t>
      </w:r>
      <w:r>
        <w:rPr>
          <w:rFonts w:ascii="宋体" w:hAnsi="宋体" w:eastAsia="宋体"/>
          <w:color w:val="1A202C"/>
          <w:sz w:val="24"/>
        </w:rPr>
        <w:t>任务二：着力建设富有活力的创新城市</w:t>
      </w:r>
    </w:p>
    <w:p>
      <w:pPr>
        <w:spacing w:after="80"/>
        <w:ind w:left="480"/>
      </w:pPr>
      <w:r>
        <w:rPr>
          <w:rFonts w:ascii="宋体" w:hAnsi="宋体" w:eastAsia="宋体"/>
          <w:b/>
          <w:color w:val="C9A063"/>
          <w:sz w:val="24"/>
        </w:rPr>
        <w:t xml:space="preserve">▪ </w:t>
      </w:r>
      <w:r>
        <w:rPr>
          <w:rFonts w:ascii="宋体" w:hAnsi="宋体" w:eastAsia="宋体"/>
          <w:color w:val="1A202C"/>
          <w:sz w:val="24"/>
        </w:rPr>
        <w:t>任务三：着力建设舒适便利的宜居城市</w:t>
      </w:r>
    </w:p>
    <w:p>
      <w:pPr>
        <w:spacing w:after="80"/>
        <w:ind w:left="480"/>
      </w:pPr>
      <w:r>
        <w:rPr>
          <w:rFonts w:ascii="宋体" w:hAnsi="宋体" w:eastAsia="宋体"/>
          <w:b/>
          <w:color w:val="C9A063"/>
          <w:sz w:val="24"/>
        </w:rPr>
        <w:t xml:space="preserve">▪ </w:t>
      </w:r>
      <w:r>
        <w:rPr>
          <w:rFonts w:ascii="宋体" w:hAnsi="宋体" w:eastAsia="宋体"/>
          <w:color w:val="1A202C"/>
          <w:sz w:val="24"/>
        </w:rPr>
        <w:t>任务四：着力建设绿色低碳的美丽城市</w:t>
      </w:r>
    </w:p>
    <w:p>
      <w:pPr>
        <w:spacing w:after="80"/>
        <w:ind w:left="480"/>
      </w:pPr>
      <w:r>
        <w:rPr>
          <w:rFonts w:ascii="宋体" w:hAnsi="宋体" w:eastAsia="宋体"/>
          <w:b/>
          <w:color w:val="C9A063"/>
          <w:sz w:val="24"/>
        </w:rPr>
        <w:t xml:space="preserve">▪ </w:t>
      </w:r>
      <w:r>
        <w:rPr>
          <w:rFonts w:ascii="宋体" w:hAnsi="宋体" w:eastAsia="宋体"/>
          <w:color w:val="1A202C"/>
          <w:sz w:val="24"/>
        </w:rPr>
        <w:t>任务五：着力建设安全可靠的韧性城市</w:t>
      </w:r>
    </w:p>
    <w:p>
      <w:pPr>
        <w:spacing w:after="80"/>
        <w:ind w:left="480"/>
      </w:pPr>
      <w:r>
        <w:rPr>
          <w:rFonts w:ascii="宋体" w:hAnsi="宋体" w:eastAsia="宋体"/>
          <w:b/>
          <w:color w:val="C9A063"/>
          <w:sz w:val="24"/>
        </w:rPr>
        <w:t xml:space="preserve">▪ </w:t>
      </w:r>
      <w:r>
        <w:rPr>
          <w:rFonts w:ascii="宋体" w:hAnsi="宋体" w:eastAsia="宋体"/>
          <w:color w:val="1A202C"/>
          <w:sz w:val="24"/>
        </w:rPr>
        <w:t>任务六：着力建设崇德向善的文明城市</w:t>
      </w:r>
    </w:p>
    <w:p>
      <w:pPr>
        <w:spacing w:after="80"/>
        <w:ind w:left="480"/>
      </w:pPr>
      <w:r>
        <w:rPr>
          <w:rFonts w:ascii="宋体" w:hAnsi="宋体" w:eastAsia="宋体"/>
          <w:b/>
          <w:color w:val="C9A063"/>
          <w:sz w:val="24"/>
        </w:rPr>
        <w:t xml:space="preserve">▪ </w:t>
      </w:r>
      <w:r>
        <w:rPr>
          <w:rFonts w:ascii="宋体" w:hAnsi="宋体" w:eastAsia="宋体"/>
          <w:color w:val="1A202C"/>
          <w:sz w:val="24"/>
        </w:rPr>
        <w:t>任务七：着力建设便捷高效的智慧城市</w:t>
      </w:r>
    </w:p>
    <w:p>
      <w:pPr>
        <w:spacing w:before="360" w:after="240"/>
      </w:pPr>
      <w:r>
        <w:rPr>
          <w:rFonts w:ascii="黑体" w:hAnsi="黑体" w:eastAsia="黑体"/>
          <w:b/>
          <w:color w:val="B8232F"/>
          <w:sz w:val="32"/>
        </w:rPr>
        <w:t xml:space="preserve">2.5  </w:t>
      </w:r>
      <w:r>
        <w:rPr>
          <w:rFonts w:ascii="黑体" w:hAnsi="黑体" w:eastAsia="黑体"/>
          <w:b/>
          <w:color w:val="1E3A5F"/>
          <w:sz w:val="32"/>
        </w:rPr>
        <w:t>高效能治理的科学内涵：4 维定义</w:t>
      </w:r>
    </w:p>
    <w:p>
      <w:pPr>
        <w:spacing w:after="120" w:line="384" w:lineRule="auto"/>
        <w:ind w:firstLine="480"/>
      </w:pPr>
      <w:r>
        <w:rPr>
          <w:rFonts w:ascii="宋体" w:hAnsi="宋体" w:eastAsia="宋体"/>
          <w:color w:val="1A202C"/>
          <w:sz w:val="24"/>
        </w:rPr>
        <w:t>在系统梳理习近平治理思想体系的基础上，本节正式提出「高效能治理」的 4 维科学内涵定义。</w:t>
      </w:r>
    </w:p>
    <w:p>
      <w:pPr>
        <w:spacing w:before="280" w:after="160"/>
      </w:pPr>
      <w:r>
        <w:rPr>
          <w:rFonts w:ascii="黑体" w:hAnsi="黑体" w:eastAsia="黑体"/>
          <w:b/>
          <w:color w:val="B8232F"/>
          <w:sz w:val="28"/>
        </w:rPr>
        <w:t>2.5.1 定义</w:t>
      </w:r>
    </w:p>
    <w:p>
      <w:pPr>
        <w:spacing w:after="120" w:line="384" w:lineRule="auto"/>
        <w:ind w:firstLine="480"/>
      </w:pPr>
      <w:r>
        <w:rPr>
          <w:rFonts w:ascii="宋体" w:hAnsi="宋体" w:eastAsia="宋体"/>
          <w:color w:val="1A202C"/>
          <w:sz w:val="24"/>
        </w:rPr>
        <w:t>本研究界定「高效能治理」为：在党的领导下，运用科学的治理理念、制度机制和方法手段，对经济、政治、文化、社会、生态文明等各领域进行有效管理和服务，以实现国家长治久安、社会和谐稳定、人民安居乐业的目标。</w:t>
      </w:r>
    </w:p>
    <w:p>
      <w:pPr>
        <w:spacing w:before="280" w:after="160"/>
      </w:pPr>
      <w:r>
        <w:rPr>
          <w:rFonts w:ascii="黑体" w:hAnsi="黑体" w:eastAsia="黑体"/>
          <w:b/>
          <w:color w:val="B8232F"/>
          <w:sz w:val="28"/>
        </w:rPr>
        <w:t>2.5.2 4 维内涵</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维度</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内涵要义</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实践对应</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维度 1 主体协同</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党的全面领导贯穿全过程，政府、市场、社会、群众多元主体共同参与</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党建+网格+共治</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维度 2 方式科学</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运用大数据、AI 等技术，从「经验判断」转向「数据驱动」</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城市大脑+AI 决策</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维度 3 对象全面</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覆盖经济、政治、文化、社会、生态文明「五位一体」</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全域治理</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维度 4 理念人民</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以人民为中心，与「人民城市」理念一脉相承</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5/15/225 满意度</w:t>
            </w:r>
          </w:p>
        </w:tc>
      </w:tr>
    </w:tbl>
    <w:p/>
    <w:p>
      <w:pPr>
        <w:spacing w:before="360" w:after="240"/>
      </w:pPr>
      <w:r>
        <w:rPr>
          <w:rFonts w:ascii="黑体" w:hAnsi="黑体" w:eastAsia="黑体"/>
          <w:b/>
          <w:color w:val="B8232F"/>
          <w:sz w:val="32"/>
        </w:rPr>
        <w:t xml:space="preserve">2.6  </w:t>
      </w:r>
      <w:r>
        <w:rPr>
          <w:rFonts w:ascii="黑体" w:hAnsi="黑体" w:eastAsia="黑体"/>
          <w:b/>
          <w:color w:val="1E3A5F"/>
          <w:sz w:val="32"/>
        </w:rPr>
        <w:t>与「三高良性互动」的关系</w:t>
      </w:r>
    </w:p>
    <w:p>
      <w:pPr>
        <w:spacing w:after="120" w:line="384" w:lineRule="auto"/>
        <w:ind w:firstLine="480"/>
      </w:pPr>
      <w:r>
        <w:rPr>
          <w:rFonts w:ascii="宋体" w:hAnsi="宋体" w:eastAsia="宋体"/>
          <w:color w:val="1A202C"/>
          <w:sz w:val="24"/>
        </w:rPr>
        <w:t>党的二十届四中全会明确提出「以高效能治理促进高质量发展和高水平安全良性互动」，构建了「三高良性互动」战略框架。本节分析高效能治理在这一框架中的枢纽地位。</w:t>
      </w:r>
    </w:p>
    <w:p>
      <w:pPr>
        <w:spacing w:before="280" w:after="160"/>
      </w:pPr>
      <w:r>
        <w:rPr>
          <w:rFonts w:ascii="黑体" w:hAnsi="黑体" w:eastAsia="黑体"/>
          <w:b/>
          <w:color w:val="B8232F"/>
          <w:sz w:val="28"/>
        </w:rPr>
        <w:t>2.6.1 三高关系的三角逻辑</w:t>
      </w:r>
    </w:p>
    <w:p>
      <w:pPr>
        <w:spacing w:after="120" w:line="384" w:lineRule="auto"/>
        <w:ind w:firstLine="480"/>
      </w:pPr>
      <w:r>
        <w:rPr>
          <w:rFonts w:ascii="宋体" w:hAnsi="宋体" w:eastAsia="宋体"/>
          <w:color w:val="1A202C"/>
          <w:sz w:val="24"/>
        </w:rPr>
        <w:t>「三高」之间存在如下相互关系：</w:t>
      </w:r>
    </w:p>
    <w:p>
      <w:pPr>
        <w:spacing w:after="80"/>
        <w:ind w:left="480"/>
      </w:pPr>
      <w:r>
        <w:rPr>
          <w:rFonts w:ascii="宋体" w:hAnsi="宋体" w:eastAsia="宋体"/>
          <w:b/>
          <w:color w:val="B8232F"/>
          <w:sz w:val="24"/>
        </w:rPr>
        <w:t>（发展是基础）</w:t>
      </w:r>
      <w:r>
        <w:rPr>
          <w:rFonts w:ascii="宋体" w:hAnsi="宋体" w:eastAsia="宋体"/>
          <w:color w:val="1A202C"/>
          <w:sz w:val="24"/>
        </w:rPr>
        <w:t>高质量发展为国家安全提供坚实支撑</w:t>
      </w:r>
    </w:p>
    <w:p>
      <w:pPr>
        <w:spacing w:after="80"/>
        <w:ind w:left="480"/>
      </w:pPr>
      <w:r>
        <w:rPr>
          <w:rFonts w:ascii="宋体" w:hAnsi="宋体" w:eastAsia="宋体"/>
          <w:b/>
          <w:color w:val="B8232F"/>
          <w:sz w:val="24"/>
        </w:rPr>
        <w:t>（安全是前提）</w:t>
      </w:r>
      <w:r>
        <w:rPr>
          <w:rFonts w:ascii="宋体" w:hAnsi="宋体" w:eastAsia="宋体"/>
          <w:color w:val="1A202C"/>
          <w:sz w:val="24"/>
        </w:rPr>
        <w:t>高水平安全是中国式现代化重要基石</w:t>
      </w:r>
    </w:p>
    <w:p>
      <w:pPr>
        <w:spacing w:after="80"/>
        <w:ind w:left="480"/>
      </w:pPr>
      <w:r>
        <w:rPr>
          <w:rFonts w:ascii="宋体" w:hAnsi="宋体" w:eastAsia="宋体"/>
          <w:b/>
          <w:color w:val="B8232F"/>
          <w:sz w:val="24"/>
        </w:rPr>
        <w:t>（治理是枢纽）</w:t>
      </w:r>
      <w:r>
        <w:rPr>
          <w:rFonts w:ascii="宋体" w:hAnsi="宋体" w:eastAsia="宋体"/>
          <w:color w:val="1A202C"/>
          <w:sz w:val="24"/>
        </w:rPr>
        <w:t>高效能治理促进发展与安全的良性互动</w:t>
      </w:r>
    </w:p>
    <w:p>
      <w:pPr>
        <w:spacing w:after="120" w:line="384" w:lineRule="auto"/>
        <w:ind w:firstLine="480"/>
      </w:pPr>
      <w:r>
        <w:rPr>
          <w:rFonts w:ascii="宋体" w:hAnsi="宋体" w:eastAsia="宋体"/>
          <w:color w:val="1A202C"/>
          <w:sz w:val="24"/>
        </w:rPr>
        <w:t>三者构成一个稳态三角形：发展提供资源，安全提供边界，治理提供机制。任何一极的弱化都会导致整体失衡。</w:t>
      </w:r>
    </w:p>
    <w:p>
      <w:pPr>
        <w:spacing w:before="360" w:after="240"/>
      </w:pPr>
      <w:r>
        <w:rPr>
          <w:rFonts w:ascii="黑体" w:hAnsi="黑体" w:eastAsia="黑体"/>
          <w:b/>
          <w:color w:val="B8232F"/>
          <w:sz w:val="32"/>
        </w:rPr>
        <w:t xml:space="preserve">2.7  </w:t>
      </w:r>
      <w:r>
        <w:rPr>
          <w:rFonts w:ascii="黑体" w:hAnsi="黑体" w:eastAsia="黑体"/>
          <w:b/>
          <w:color w:val="1E3A5F"/>
          <w:sz w:val="32"/>
        </w:rPr>
        <w:t>★ 理论创新点 1：治理科学三角理论</w:t>
      </w:r>
    </w:p>
    <w:p>
      <w:pPr>
        <w:spacing w:after="120" w:line="384" w:lineRule="auto"/>
        <w:ind w:firstLine="480"/>
      </w:pPr>
      <w:r>
        <w:rPr>
          <w:rFonts w:ascii="宋体" w:hAnsi="宋体" w:eastAsia="宋体"/>
          <w:color w:val="1A202C"/>
          <w:sz w:val="24"/>
        </w:rPr>
        <w:t>基于以上分析，本研究提出本论文的第一个原创理论：「治理科学三角」（Governance Science Triangle, GST）框架。</w:t>
      </w:r>
    </w:p>
    <w:p>
      <w:pPr>
        <w:spacing w:before="280" w:after="160"/>
      </w:pPr>
      <w:r>
        <w:rPr>
          <w:rFonts w:ascii="黑体" w:hAnsi="黑体" w:eastAsia="黑体"/>
          <w:b/>
          <w:color w:val="B8232F"/>
          <w:sz w:val="28"/>
        </w:rPr>
        <w:t>2.7.1 框架内容</w:t>
      </w:r>
    </w:p>
    <w:p>
      <w:pPr>
        <w:spacing w:after="120" w:line="384" w:lineRule="auto"/>
        <w:ind w:firstLine="480"/>
      </w:pPr>
      <w:r>
        <w:rPr>
          <w:rFonts w:ascii="宋体" w:hAnsi="宋体" w:eastAsia="宋体"/>
          <w:color w:val="1A202C"/>
          <w:sz w:val="24"/>
        </w:rPr>
        <w:t>「治理科学三角」框架包括三个相互支撑的支柱：</w:t>
      </w:r>
    </w:p>
    <w:p>
      <w:pPr>
        <w:spacing w:after="80"/>
        <w:ind w:left="480"/>
      </w:pPr>
      <w:r>
        <w:rPr>
          <w:rFonts w:ascii="宋体" w:hAnsi="宋体" w:eastAsia="宋体"/>
          <w:b/>
          <w:color w:val="B8232F"/>
          <w:sz w:val="24"/>
        </w:rPr>
        <w:t>（支柱一：政治锚定（Political Anchoring））</w:t>
      </w:r>
      <w:r>
        <w:rPr>
          <w:rFonts w:ascii="宋体" w:hAnsi="宋体" w:eastAsia="宋体"/>
          <w:color w:val="1A202C"/>
          <w:sz w:val="24"/>
        </w:rPr>
        <w:t>任何治理科学研究必须以党的领导和总书记重要论述为政治根基，确保研究的政治正确性。</w:t>
      </w:r>
    </w:p>
    <w:p>
      <w:pPr>
        <w:spacing w:after="80"/>
        <w:ind w:left="480"/>
      </w:pPr>
      <w:r>
        <w:rPr>
          <w:rFonts w:ascii="宋体" w:hAnsi="宋体" w:eastAsia="宋体"/>
          <w:b/>
          <w:color w:val="B8232F"/>
          <w:sz w:val="24"/>
        </w:rPr>
        <w:t>（支柱二：学术方法（Academic Methods））</w:t>
      </w:r>
      <w:r>
        <w:rPr>
          <w:rFonts w:ascii="宋体" w:hAnsi="宋体" w:eastAsia="宋体"/>
          <w:color w:val="1A202C"/>
          <w:sz w:val="24"/>
        </w:rPr>
        <w:t>运用国际先进的学术方法论（如系统动力学、ISUI 指数等），确保研究的学术严谨性。</w:t>
      </w:r>
    </w:p>
    <w:p>
      <w:pPr>
        <w:spacing w:after="80"/>
        <w:ind w:left="480"/>
      </w:pPr>
      <w:r>
        <w:rPr>
          <w:rFonts w:ascii="宋体" w:hAnsi="宋体" w:eastAsia="宋体"/>
          <w:b/>
          <w:color w:val="B8232F"/>
          <w:sz w:val="24"/>
        </w:rPr>
        <w:t>（支柱三：实证基础（Empirical Foundation））</w:t>
      </w:r>
      <w:r>
        <w:rPr>
          <w:rFonts w:ascii="宋体" w:hAnsi="宋体" w:eastAsia="宋体"/>
          <w:color w:val="1A202C"/>
          <w:sz w:val="24"/>
        </w:rPr>
        <w:t>扎根中国本土治理实践案例，确保研究的实践相关性。</w:t>
      </w:r>
    </w:p>
    <w:p>
      <w:pPr>
        <w:spacing w:before="280" w:after="160"/>
      </w:pPr>
      <w:r>
        <w:rPr>
          <w:rFonts w:ascii="黑体" w:hAnsi="黑体" w:eastAsia="黑体"/>
          <w:b/>
          <w:color w:val="B8232F"/>
          <w:sz w:val="28"/>
        </w:rPr>
        <w:t>2.7.2 框架的解释力</w:t>
      </w:r>
    </w:p>
    <w:p>
      <w:pPr>
        <w:spacing w:after="120" w:line="384" w:lineRule="auto"/>
        <w:ind w:firstLine="480"/>
      </w:pPr>
      <w:r>
        <w:rPr>
          <w:rFonts w:ascii="宋体" w:hAnsi="宋体" w:eastAsia="宋体"/>
          <w:color w:val="1A202C"/>
          <w:sz w:val="24"/>
        </w:rPr>
        <w:t>「治理科学三角」框架解决了治理研究领域长期存在的「二元张力」问题：</w:t>
      </w:r>
    </w:p>
    <w:p>
      <w:pPr>
        <w:spacing w:after="80"/>
        <w:ind w:left="480"/>
      </w:pPr>
      <w:r>
        <w:rPr>
          <w:rFonts w:ascii="宋体" w:hAnsi="宋体" w:eastAsia="宋体"/>
          <w:b/>
          <w:color w:val="C9A063"/>
          <w:sz w:val="24"/>
        </w:rPr>
        <w:t xml:space="preserve">▪ </w:t>
      </w:r>
      <w:r>
        <w:rPr>
          <w:rFonts w:ascii="宋体" w:hAnsi="宋体" w:eastAsia="宋体"/>
          <w:color w:val="1A202C"/>
          <w:sz w:val="24"/>
        </w:rPr>
        <w:t>「政治正确性 vs 学术严谨性」的张力 → 通过政治锚定 + 学术方法相互支撑解决</w:t>
      </w:r>
    </w:p>
    <w:p>
      <w:pPr>
        <w:spacing w:after="80"/>
        <w:ind w:left="480"/>
      </w:pPr>
      <w:r>
        <w:rPr>
          <w:rFonts w:ascii="宋体" w:hAnsi="宋体" w:eastAsia="宋体"/>
          <w:b/>
          <w:color w:val="C9A063"/>
          <w:sz w:val="24"/>
        </w:rPr>
        <w:t xml:space="preserve">▪ </w:t>
      </w:r>
      <w:r>
        <w:rPr>
          <w:rFonts w:ascii="宋体" w:hAnsi="宋体" w:eastAsia="宋体"/>
          <w:color w:val="1A202C"/>
          <w:sz w:val="24"/>
        </w:rPr>
        <w:t>「理论抽象性 vs 实践具体性」的张力 → 通过学术方法 + 实证基础相互支撑解决</w:t>
      </w:r>
    </w:p>
    <w:p>
      <w:pPr>
        <w:spacing w:after="80"/>
        <w:ind w:left="480"/>
      </w:pPr>
      <w:r>
        <w:rPr>
          <w:rFonts w:ascii="宋体" w:hAnsi="宋体" w:eastAsia="宋体"/>
          <w:b/>
          <w:color w:val="C9A063"/>
          <w:sz w:val="24"/>
        </w:rPr>
        <w:t xml:space="preserve">▪ </w:t>
      </w:r>
      <w:r>
        <w:rPr>
          <w:rFonts w:ascii="宋体" w:hAnsi="宋体" w:eastAsia="宋体"/>
          <w:color w:val="1A202C"/>
          <w:sz w:val="24"/>
        </w:rPr>
        <w:t>「中国特色 vs 国际普遍性」的张力 → 通过实证基础 + 政治锚定相互支撑解决</w:t>
      </w:r>
    </w:p>
    <w:p>
      <w:pPr>
        <w:spacing w:before="280" w:after="160"/>
      </w:pPr>
      <w:r>
        <w:rPr>
          <w:rFonts w:ascii="黑体" w:hAnsi="黑体" w:eastAsia="黑体"/>
          <w:b/>
          <w:color w:val="B8232F"/>
          <w:sz w:val="28"/>
        </w:rPr>
        <w:t>2.7.3 框架的应用价值</w:t>
      </w:r>
    </w:p>
    <w:p>
      <w:pPr>
        <w:spacing w:after="120" w:line="384" w:lineRule="auto"/>
        <w:ind w:firstLine="480"/>
      </w:pPr>
      <w:r>
        <w:rPr>
          <w:rFonts w:ascii="宋体" w:hAnsi="宋体" w:eastAsia="宋体"/>
          <w:color w:val="1A202C"/>
          <w:sz w:val="24"/>
        </w:rPr>
        <w:t>「治理科学三角」框架不仅是本论文的核心理论创新，也是中国治理学派建设的重要方法论贡献。它可以应用于：</w:t>
      </w:r>
    </w:p>
    <w:p>
      <w:pPr>
        <w:spacing w:after="80"/>
        <w:ind w:left="480"/>
      </w:pPr>
      <w:r>
        <w:rPr>
          <w:rFonts w:ascii="宋体" w:hAnsi="宋体" w:eastAsia="宋体"/>
          <w:b/>
          <w:color w:val="C9A063"/>
          <w:sz w:val="24"/>
        </w:rPr>
        <w:t xml:space="preserve">▪ </w:t>
      </w:r>
      <w:r>
        <w:rPr>
          <w:rFonts w:ascii="宋体" w:hAnsi="宋体" w:eastAsia="宋体"/>
          <w:color w:val="1A202C"/>
          <w:sz w:val="24"/>
        </w:rPr>
        <w:t>博士论文与学术研究：作为研究设计的元理论框架</w:t>
      </w:r>
    </w:p>
    <w:p>
      <w:pPr>
        <w:spacing w:after="80"/>
        <w:ind w:left="480"/>
      </w:pPr>
      <w:r>
        <w:rPr>
          <w:rFonts w:ascii="宋体" w:hAnsi="宋体" w:eastAsia="宋体"/>
          <w:b/>
          <w:color w:val="C9A063"/>
          <w:sz w:val="24"/>
        </w:rPr>
        <w:t xml:space="preserve">▪ </w:t>
      </w:r>
      <w:r>
        <w:rPr>
          <w:rFonts w:ascii="宋体" w:hAnsi="宋体" w:eastAsia="宋体"/>
          <w:color w:val="1A202C"/>
          <w:sz w:val="24"/>
        </w:rPr>
        <w:t>智库报告与政策研究：作为内容架构的指导思想</w:t>
      </w:r>
    </w:p>
    <w:p>
      <w:pPr>
        <w:spacing w:after="80"/>
        <w:ind w:left="480"/>
      </w:pPr>
      <w:r>
        <w:rPr>
          <w:rFonts w:ascii="宋体" w:hAnsi="宋体" w:eastAsia="宋体"/>
          <w:b/>
          <w:color w:val="C9A063"/>
          <w:sz w:val="24"/>
        </w:rPr>
        <w:t xml:space="preserve">▪ </w:t>
      </w:r>
      <w:r>
        <w:rPr>
          <w:rFonts w:ascii="宋体" w:hAnsi="宋体" w:eastAsia="宋体"/>
          <w:color w:val="1A202C"/>
          <w:sz w:val="24"/>
        </w:rPr>
        <w:t>干部培训与教学：作为教材编写的理论基础</w:t>
      </w:r>
    </w:p>
    <w:p>
      <w:pPr>
        <w:spacing w:after="80"/>
        <w:ind w:left="480"/>
      </w:pPr>
      <w:r>
        <w:rPr>
          <w:rFonts w:ascii="宋体" w:hAnsi="宋体" w:eastAsia="宋体"/>
          <w:b/>
          <w:color w:val="C9A063"/>
          <w:sz w:val="24"/>
        </w:rPr>
        <w:t xml:space="preserve">▪ </w:t>
      </w:r>
      <w:r>
        <w:rPr>
          <w:rFonts w:ascii="宋体" w:hAnsi="宋体" w:eastAsia="宋体"/>
          <w:color w:val="1A202C"/>
          <w:sz w:val="24"/>
        </w:rPr>
        <w:t>国际学术对话：作为中国治理学派的标志性概念</w:t>
      </w:r>
    </w:p>
    <w:p>
      <w:pPr>
        <w:spacing w:after="120" w:line="384" w:lineRule="auto"/>
        <w:ind w:firstLine="480"/>
      </w:pPr>
      <w:r>
        <w:rPr>
          <w:rFonts w:ascii="宋体" w:hAnsi="宋体" w:eastAsia="宋体"/>
          <w:color w:val="1A202C"/>
          <w:sz w:val="24"/>
        </w:rPr>
        <w:t>「治理科学三角」框架是本论文的元理论基础。后续第 3 章（En-ROADS 方法论）、第 4 章（ISUI 评估框架）、第 5 章（18 杠杆模型）、第 6 章（郑州实证）、第 7 章（10 城对标）、第 8 章（回归检验）、第 9 章（政策建议）、第 10 章（结论展望），都将围绕这一三角框架展开。</w:t>
      </w:r>
    </w:p>
    <w:p>
      <w:r>
        <w:br w:type="page"/>
      </w:r>
    </w:p>
    <w:p>
      <w:pPr>
        <w:spacing w:before="600" w:after="400"/>
        <w:jc w:val="center"/>
      </w:pPr>
      <w:r>
        <w:rPr>
          <w:rFonts w:ascii="黑体" w:hAnsi="黑体" w:eastAsia="黑体"/>
          <w:b/>
          <w:color w:val="1E3A5F"/>
          <w:sz w:val="44"/>
        </w:rPr>
        <w:t>第 3 章</w:t>
      </w:r>
    </w:p>
    <w:p>
      <w:pPr>
        <w:spacing w:before="600" w:after="400"/>
        <w:jc w:val="center"/>
      </w:pPr>
      <w:r>
        <w:rPr>
          <w:rFonts w:ascii="黑体" w:hAnsi="黑体" w:eastAsia="黑体"/>
          <w:b/>
          <w:color w:val="1E3A5F"/>
          <w:sz w:val="44"/>
        </w:rPr>
        <w:t>方法论基础：MIT En-ROADS 与系统动力学</w:t>
      </w:r>
    </w:p>
    <w:p>
      <w:pPr>
        <w:spacing w:after="120" w:line="384" w:lineRule="auto"/>
        <w:ind w:firstLine="480"/>
      </w:pPr>
      <w:r>
        <w:rPr>
          <w:rFonts w:ascii="宋体" w:hAnsi="宋体" w:eastAsia="宋体"/>
          <w:color w:val="1A202C"/>
          <w:sz w:val="24"/>
        </w:rPr>
        <w:t>本章从方法论层面，系统介绍 MIT 系统动力学发展史、En-ROADS Climate Solutions Simulator 的设计原理、反馈环理论、存量-流量模型在治理领域的应用，并提出本论文的第一个方法论创新点——「En-ROADS 治理领域本土化」。</w:t>
      </w:r>
    </w:p>
    <w:p>
      <w:pPr>
        <w:spacing w:before="360" w:after="240"/>
      </w:pPr>
      <w:r>
        <w:rPr>
          <w:rFonts w:ascii="黑体" w:hAnsi="黑体" w:eastAsia="黑体"/>
          <w:b/>
          <w:color w:val="B8232F"/>
          <w:sz w:val="32"/>
        </w:rPr>
        <w:t xml:space="preserve">3.1  </w:t>
      </w:r>
      <w:r>
        <w:rPr>
          <w:rFonts w:ascii="黑体" w:hAnsi="黑体" w:eastAsia="黑体"/>
          <w:b/>
          <w:color w:val="1E3A5F"/>
          <w:sz w:val="32"/>
        </w:rPr>
        <w:t>系统动力学发展史</w:t>
      </w:r>
    </w:p>
    <w:p>
      <w:pPr>
        <w:spacing w:after="120" w:line="384" w:lineRule="auto"/>
        <w:ind w:firstLine="480"/>
      </w:pPr>
      <w:r>
        <w:rPr>
          <w:rFonts w:ascii="宋体" w:hAnsi="宋体" w:eastAsia="宋体"/>
          <w:color w:val="1A202C"/>
          <w:sz w:val="24"/>
        </w:rPr>
        <w:t>系统动力学（System Dynamics, SD）作为一种独立学科，发端于美国麻省理工学院（MIT）。其创始人 Jay W. Forrester 教授（1918-2016）是 MIT Sloan 管理学院教授、电子工程师、计算机科学家、管理学家，被誉为「系统动力学之父」。</w:t>
      </w:r>
    </w:p>
    <w:p>
      <w:pPr>
        <w:spacing w:before="280" w:after="160"/>
      </w:pPr>
      <w:r>
        <w:rPr>
          <w:rFonts w:ascii="黑体" w:hAnsi="黑体" w:eastAsia="黑体"/>
          <w:b/>
          <w:color w:val="B8232F"/>
          <w:sz w:val="28"/>
        </w:rPr>
        <w:t>3.1.1 Forrester 早期工作（1956-1969）</w:t>
      </w:r>
    </w:p>
    <w:p>
      <w:pPr>
        <w:spacing w:after="120" w:line="384" w:lineRule="auto"/>
        <w:ind w:firstLine="480"/>
      </w:pPr>
      <w:r>
        <w:rPr>
          <w:rFonts w:ascii="宋体" w:hAnsi="宋体" w:eastAsia="宋体"/>
          <w:color w:val="1A202C"/>
          <w:sz w:val="24"/>
        </w:rPr>
        <w:t>Forrester 在 1956 年开始研究复杂工业系统的动力学问题，1961 年出版《Industrial Dynamics》（《工业动力学》），首次系统阐述了系统动力学的方法论框架。这本书奠定了系统动力学作为独立学科的基础。</w:t>
      </w:r>
    </w:p>
    <w:p>
      <w:pPr>
        <w:spacing w:after="120" w:line="384" w:lineRule="auto"/>
        <w:ind w:firstLine="480"/>
      </w:pPr>
      <w:r>
        <w:rPr>
          <w:rFonts w:ascii="宋体" w:hAnsi="宋体" w:eastAsia="宋体"/>
          <w:color w:val="1A202C"/>
          <w:sz w:val="24"/>
        </w:rPr>
        <w:t>1969 年，Forrester 把系统动力学方法应用于城市研究，出版《Urban Dynamics》（《城市动力学》）。这本书是治理领域系统动力学应用的开山之作。Forrester 运用 6 个状态变量（房屋、企业、人口）和大量的反馈环，模拟了美国城市从兴起到衰败的演化过程，并提出了一系列与传统智慧相悖的政策建议（例如，提供低收入住房可能反而加剧城市贫困问题，因为它吸引了更多低收入人口）。这些反直觉的发现，震撼了当时的城市规划界。</w:t>
      </w:r>
    </w:p>
    <w:p>
      <w:pPr>
        <w:spacing w:before="280" w:after="160"/>
      </w:pPr>
      <w:r>
        <w:rPr>
          <w:rFonts w:ascii="黑体" w:hAnsi="黑体" w:eastAsia="黑体"/>
          <w:b/>
          <w:color w:val="B8232F"/>
          <w:sz w:val="28"/>
        </w:rPr>
        <w:t>3.1.2 第二代发展：Meadows 和《增长的极限》（1972）</w:t>
      </w:r>
    </w:p>
    <w:p>
      <w:pPr>
        <w:spacing w:after="120" w:line="384" w:lineRule="auto"/>
        <w:ind w:firstLine="480"/>
      </w:pPr>
      <w:r>
        <w:rPr>
          <w:rFonts w:ascii="宋体" w:hAnsi="宋体" w:eastAsia="宋体"/>
          <w:color w:val="1A202C"/>
          <w:sz w:val="24"/>
        </w:rPr>
        <w:t>Forrester 的学生 Donella H. Meadows 等 1972 年发表《增长的极限》（The Limits to Growth），运用系统动力学模型分析地球资源、人口、污染等全球问题，得出「工业增长不可持续」的著名结论。这本书发行 3,000 万册，是 20 世纪最具影响力的环境科学著作之一。</w:t>
      </w:r>
    </w:p>
    <w:p>
      <w:pPr>
        <w:spacing w:before="280" w:after="160"/>
      </w:pPr>
      <w:r>
        <w:rPr>
          <w:rFonts w:ascii="黑体" w:hAnsi="黑体" w:eastAsia="黑体"/>
          <w:b/>
          <w:color w:val="B8232F"/>
          <w:sz w:val="28"/>
        </w:rPr>
        <w:t>3.1.3 第三代发展：Sterman 和《Business Dynamics》（2000）</w:t>
      </w:r>
    </w:p>
    <w:p>
      <w:pPr>
        <w:spacing w:after="120" w:line="384" w:lineRule="auto"/>
        <w:ind w:firstLine="480"/>
      </w:pPr>
      <w:r>
        <w:rPr>
          <w:rFonts w:ascii="宋体" w:hAnsi="宋体" w:eastAsia="宋体"/>
          <w:color w:val="1A202C"/>
          <w:sz w:val="24"/>
        </w:rPr>
        <w:t>Forrester 的另一位学生 John D. Sterman 教授（现任 MIT Sloan 管理学院 Jay Forrester 系统动力学讲席教授）于 2000 年出版《Business Dynamics: Systems Thinking and Modeling for a Complex World》（《商业动力学：复杂世界的系统思维与建模》）。这本 982 页的巨著被誉为「系统动力学第二圣经」，系统总结了系统动力学方法论的现代发展，至今仍是该领域的权威教材。</w:t>
      </w:r>
    </w:p>
    <w:p>
      <w:pPr>
        <w:spacing w:before="280" w:after="160"/>
      </w:pPr>
      <w:r>
        <w:rPr>
          <w:rFonts w:ascii="黑体" w:hAnsi="黑体" w:eastAsia="黑体"/>
          <w:b/>
          <w:color w:val="B8232F"/>
          <w:sz w:val="28"/>
        </w:rPr>
        <w:t>3.1.4 工具体系发展</w:t>
      </w:r>
    </w:p>
    <w:p>
      <w:pPr>
        <w:spacing w:after="120" w:line="384" w:lineRule="auto"/>
        <w:ind w:firstLine="480"/>
      </w:pPr>
      <w:r>
        <w:rPr>
          <w:rFonts w:ascii="宋体" w:hAnsi="宋体" w:eastAsia="宋体"/>
          <w:color w:val="1A202C"/>
          <w:sz w:val="24"/>
        </w:rPr>
        <w:t>随着系统动力学方法论的成熟，相关计算工具也不断发展。代表性的工具包括：</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工具名称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开发方</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首发年代</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主要用途</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STELLA</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Isee Systems</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1985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学术教学 · 复杂系统模拟</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Vensim</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Ventana Systems</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1988</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商业建模 · 政策仿真</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Powersim</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Powersim Software</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1989</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企业战略 · 流程优化</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AnyLogic</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XJ Technologies</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2000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多方法建模（SD+ABM+DES）</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En-ROADS</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MIT Sloan + Climate Interactive</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2017</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气候政策推演</w:t>
            </w:r>
          </w:p>
        </w:tc>
      </w:tr>
    </w:tbl>
    <w:p/>
    <w:p>
      <w:pPr>
        <w:spacing w:before="360" w:after="240"/>
      </w:pPr>
      <w:r>
        <w:rPr>
          <w:rFonts w:ascii="黑体" w:hAnsi="黑体" w:eastAsia="黑体"/>
          <w:b/>
          <w:color w:val="B8232F"/>
          <w:sz w:val="32"/>
        </w:rPr>
        <w:t xml:space="preserve">3.2  </w:t>
      </w:r>
      <w:r>
        <w:rPr>
          <w:rFonts w:ascii="黑体" w:hAnsi="黑体" w:eastAsia="黑体"/>
          <w:b/>
          <w:color w:val="1E3A5F"/>
          <w:sz w:val="32"/>
        </w:rPr>
        <w:t>MIT En-ROADS Climate Solutions Simulator</w:t>
      </w:r>
    </w:p>
    <w:p>
      <w:pPr>
        <w:spacing w:after="120" w:line="384" w:lineRule="auto"/>
        <w:ind w:firstLine="480"/>
      </w:pPr>
      <w:r>
        <w:rPr>
          <w:rFonts w:ascii="宋体" w:hAnsi="宋体" w:eastAsia="宋体"/>
          <w:color w:val="1A202C"/>
          <w:sz w:val="24"/>
        </w:rPr>
        <w:t>En-ROADS 是当前国际公共政策领域最具影响力的系统动力学仿真工具。本节深入剖析 En-ROADS 的设计原理，作为本论文系统动力学方法论本土化改造的参照。</w:t>
      </w:r>
    </w:p>
    <w:p>
      <w:pPr>
        <w:spacing w:before="280" w:after="160"/>
      </w:pPr>
      <w:r>
        <w:rPr>
          <w:rFonts w:ascii="黑体" w:hAnsi="黑体" w:eastAsia="黑体"/>
          <w:b/>
          <w:color w:val="B8232F"/>
          <w:sz w:val="28"/>
        </w:rPr>
        <w:t>3.2.1 工具简介</w:t>
      </w:r>
    </w:p>
    <w:p>
      <w:pPr>
        <w:spacing w:after="120" w:line="384" w:lineRule="auto"/>
        <w:ind w:firstLine="480"/>
      </w:pPr>
      <w:r>
        <w:rPr>
          <w:rFonts w:ascii="宋体" w:hAnsi="宋体" w:eastAsia="宋体"/>
          <w:color w:val="1A202C"/>
          <w:sz w:val="24"/>
        </w:rPr>
        <w:t>En-ROADS（Energy-Rapid Overview and Decision Support）由 MIT Sloan Sustainability Initiative 和 Climate Interactive 联合开发，首发于 2017 年。该工具基于 30 多年的能源-气候系统建模积累，运用交互式界面让用户实时调整政策杠杆，观察其对全球升温、排放、经济等指标的影响。</w:t>
      </w:r>
    </w:p>
    <w:p>
      <w:pPr>
        <w:spacing w:after="120" w:line="384" w:lineRule="auto"/>
        <w:ind w:firstLine="480"/>
      </w:pPr>
      <w:r>
        <w:rPr>
          <w:rFonts w:ascii="宋体" w:hAnsi="宋体" w:eastAsia="宋体"/>
          <w:color w:val="1A202C"/>
          <w:sz w:val="24"/>
        </w:rPr>
        <w:t>截至 2025 年，En-ROADS 已被联合国 IPCC（联合国政府间气候变化专门委员会）、世界银行、欧盟、美国国会、中国生态环境部等机构采用，覆盖全球 100 多个国家，进行了 30,000+ 次气候政策推演工作坊。</w:t>
      </w:r>
    </w:p>
    <w:p>
      <w:pPr>
        <w:spacing w:before="280" w:after="160"/>
      </w:pPr>
      <w:r>
        <w:rPr>
          <w:rFonts w:ascii="黑体" w:hAnsi="黑体" w:eastAsia="黑体"/>
          <w:b/>
          <w:color w:val="B8232F"/>
          <w:sz w:val="28"/>
        </w:rPr>
        <w:t>3.2.2 政策杠杆设计</w:t>
      </w:r>
    </w:p>
    <w:p>
      <w:pPr>
        <w:spacing w:after="120" w:line="384" w:lineRule="auto"/>
        <w:ind w:firstLine="480"/>
      </w:pPr>
      <w:r>
        <w:rPr>
          <w:rFonts w:ascii="宋体" w:hAnsi="宋体" w:eastAsia="宋体"/>
          <w:color w:val="1A202C"/>
          <w:sz w:val="24"/>
        </w:rPr>
        <w:t>En-ROADS 当前版本（v25.5.0）包含 30 个政策杠杆，分为 4 大类别：</w:t>
      </w:r>
    </w:p>
    <w:p>
      <w:pPr>
        <w:spacing w:after="80"/>
        <w:ind w:left="480"/>
      </w:pPr>
      <w:r>
        <w:rPr>
          <w:rFonts w:ascii="宋体" w:hAnsi="宋体" w:eastAsia="宋体"/>
          <w:b/>
          <w:color w:val="B8232F"/>
          <w:sz w:val="24"/>
        </w:rPr>
        <w:t>（供给侧杠杆（10 个））</w:t>
      </w:r>
      <w:r>
        <w:rPr>
          <w:rFonts w:ascii="宋体" w:hAnsi="宋体" w:eastAsia="宋体"/>
          <w:color w:val="1A202C"/>
          <w:sz w:val="24"/>
        </w:rPr>
        <w:t>煤炭、石油、天然气、可再生能源、核能、能源价格补贴等</w:t>
      </w:r>
    </w:p>
    <w:p>
      <w:pPr>
        <w:spacing w:after="80"/>
        <w:ind w:left="480"/>
      </w:pPr>
      <w:r>
        <w:rPr>
          <w:rFonts w:ascii="宋体" w:hAnsi="宋体" w:eastAsia="宋体"/>
          <w:b/>
          <w:color w:val="B8232F"/>
          <w:sz w:val="24"/>
        </w:rPr>
        <w:t>（需求侧杠杆（8 个））</w:t>
      </w:r>
      <w:r>
        <w:rPr>
          <w:rFonts w:ascii="宋体" w:hAnsi="宋体" w:eastAsia="宋体"/>
          <w:color w:val="1A202C"/>
          <w:sz w:val="24"/>
        </w:rPr>
        <w:t>建筑能效、交通能效、工业能效、电力需求、人口增长等</w:t>
      </w:r>
    </w:p>
    <w:p>
      <w:pPr>
        <w:spacing w:after="80"/>
        <w:ind w:left="480"/>
      </w:pPr>
      <w:r>
        <w:rPr>
          <w:rFonts w:ascii="宋体" w:hAnsi="宋体" w:eastAsia="宋体"/>
          <w:b/>
          <w:color w:val="B8232F"/>
          <w:sz w:val="24"/>
        </w:rPr>
        <w:t>（土地利用杠杆（6 个））</w:t>
      </w:r>
      <w:r>
        <w:rPr>
          <w:rFonts w:ascii="宋体" w:hAnsi="宋体" w:eastAsia="宋体"/>
          <w:color w:val="1A202C"/>
          <w:sz w:val="24"/>
        </w:rPr>
        <w:t>森林、农业、土地碳汇、碳捕获等</w:t>
      </w:r>
    </w:p>
    <w:p>
      <w:pPr>
        <w:spacing w:after="80"/>
        <w:ind w:left="480"/>
      </w:pPr>
      <w:r>
        <w:rPr>
          <w:rFonts w:ascii="宋体" w:hAnsi="宋体" w:eastAsia="宋体"/>
          <w:b/>
          <w:color w:val="B8232F"/>
          <w:sz w:val="24"/>
        </w:rPr>
        <w:t>（增长与发展杠杆（6 个））</w:t>
      </w:r>
      <w:r>
        <w:rPr>
          <w:rFonts w:ascii="宋体" w:hAnsi="宋体" w:eastAsia="宋体"/>
          <w:color w:val="1A202C"/>
          <w:sz w:val="24"/>
        </w:rPr>
        <w:t>经济增长、技术创新、碳价、气候融资等</w:t>
      </w:r>
    </w:p>
    <w:p>
      <w:pPr>
        <w:spacing w:before="280" w:after="160"/>
      </w:pPr>
      <w:r>
        <w:rPr>
          <w:rFonts w:ascii="黑体" w:hAnsi="黑体" w:eastAsia="黑体"/>
          <w:b/>
          <w:color w:val="B8232F"/>
          <w:sz w:val="28"/>
        </w:rPr>
        <w:t>3.2.3 模型架构</w:t>
      </w:r>
    </w:p>
    <w:p>
      <w:pPr>
        <w:spacing w:after="120" w:line="384" w:lineRule="auto"/>
        <w:ind w:firstLine="480"/>
      </w:pPr>
      <w:r>
        <w:rPr>
          <w:rFonts w:ascii="宋体" w:hAnsi="宋体" w:eastAsia="宋体"/>
          <w:color w:val="1A202C"/>
          <w:sz w:val="24"/>
        </w:rPr>
        <w:t>En-ROADS 的核心模型架构包括：</w:t>
      </w:r>
    </w:p>
    <w:p>
      <w:pPr>
        <w:spacing w:after="80"/>
        <w:ind w:left="480"/>
      </w:pPr>
      <w:r>
        <w:rPr>
          <w:rFonts w:ascii="宋体" w:hAnsi="宋体" w:eastAsia="宋体"/>
          <w:b/>
          <w:color w:val="C9A063"/>
          <w:sz w:val="24"/>
        </w:rPr>
        <w:t xml:space="preserve">▪ </w:t>
      </w:r>
      <w:r>
        <w:rPr>
          <w:rFonts w:ascii="宋体" w:hAnsi="宋体" w:eastAsia="宋体"/>
          <w:color w:val="1A202C"/>
          <w:sz w:val="24"/>
        </w:rPr>
        <w:t>30 个政策杠杆（输入端）</w:t>
      </w:r>
    </w:p>
    <w:p>
      <w:pPr>
        <w:spacing w:after="80"/>
        <w:ind w:left="480"/>
      </w:pPr>
      <w:r>
        <w:rPr>
          <w:rFonts w:ascii="宋体" w:hAnsi="宋体" w:eastAsia="宋体"/>
          <w:b/>
          <w:color w:val="C9A063"/>
          <w:sz w:val="24"/>
        </w:rPr>
        <w:t xml:space="preserve">▪ </w:t>
      </w:r>
      <w:r>
        <w:rPr>
          <w:rFonts w:ascii="宋体" w:hAnsi="宋体" w:eastAsia="宋体"/>
          <w:color w:val="1A202C"/>
          <w:sz w:val="24"/>
        </w:rPr>
        <w:t>70+ 个状态变量（系统状态）</w:t>
      </w:r>
    </w:p>
    <w:p>
      <w:pPr>
        <w:spacing w:after="80"/>
        <w:ind w:left="480"/>
      </w:pPr>
      <w:r>
        <w:rPr>
          <w:rFonts w:ascii="宋体" w:hAnsi="宋体" w:eastAsia="宋体"/>
          <w:b/>
          <w:color w:val="C9A063"/>
          <w:sz w:val="24"/>
        </w:rPr>
        <w:t xml:space="preserve">▪ </w:t>
      </w:r>
      <w:r>
        <w:rPr>
          <w:rFonts w:ascii="宋体" w:hAnsi="宋体" w:eastAsia="宋体"/>
          <w:color w:val="1A202C"/>
          <w:sz w:val="24"/>
        </w:rPr>
        <w:t>100+ 个反馈回路（系统动力学传导）</w:t>
      </w:r>
    </w:p>
    <w:p>
      <w:pPr>
        <w:spacing w:after="80"/>
        <w:ind w:left="480"/>
      </w:pPr>
      <w:r>
        <w:rPr>
          <w:rFonts w:ascii="宋体" w:hAnsi="宋体" w:eastAsia="宋体"/>
          <w:b/>
          <w:color w:val="C9A063"/>
          <w:sz w:val="24"/>
        </w:rPr>
        <w:t xml:space="preserve">▪ </w:t>
      </w:r>
      <w:r>
        <w:rPr>
          <w:rFonts w:ascii="宋体" w:hAnsi="宋体" w:eastAsia="宋体"/>
          <w:color w:val="1A202C"/>
          <w:sz w:val="24"/>
        </w:rPr>
        <w:t>12 个核心输出指标（升温、排放、GDP、能源使用、土地利用等）</w:t>
      </w:r>
    </w:p>
    <w:p>
      <w:pPr>
        <w:spacing w:before="280" w:after="160"/>
      </w:pPr>
      <w:r>
        <w:rPr>
          <w:rFonts w:ascii="黑体" w:hAnsi="黑体" w:eastAsia="黑体"/>
          <w:b/>
          <w:color w:val="B8232F"/>
          <w:sz w:val="28"/>
        </w:rPr>
        <w:t>3.2.4 用户交互设计</w:t>
      </w:r>
    </w:p>
    <w:p>
      <w:pPr>
        <w:spacing w:after="120" w:line="384" w:lineRule="auto"/>
        <w:ind w:firstLine="480"/>
      </w:pPr>
      <w:r>
        <w:rPr>
          <w:rFonts w:ascii="宋体" w:hAnsi="宋体" w:eastAsia="宋体"/>
          <w:color w:val="1A202C"/>
          <w:sz w:val="24"/>
        </w:rPr>
        <w:t>En-ROADS 在用户体验方面有几个突出特点：</w:t>
      </w:r>
    </w:p>
    <w:p>
      <w:pPr>
        <w:spacing w:after="80"/>
        <w:ind w:left="480"/>
      </w:pPr>
      <w:r>
        <w:rPr>
          <w:rFonts w:ascii="宋体" w:hAnsi="宋体" w:eastAsia="宋体"/>
          <w:b/>
          <w:color w:val="C9A063"/>
          <w:sz w:val="24"/>
        </w:rPr>
        <w:t xml:space="preserve">▪ </w:t>
      </w:r>
      <w:r>
        <w:rPr>
          <w:rFonts w:ascii="宋体" w:hAnsi="宋体" w:eastAsia="宋体"/>
          <w:color w:val="1A202C"/>
          <w:sz w:val="24"/>
        </w:rPr>
        <w:t>实时响应：用户拖动滑杆后，所有图表 100ms 内更新</w:t>
      </w:r>
    </w:p>
    <w:p>
      <w:pPr>
        <w:spacing w:after="80"/>
        <w:ind w:left="480"/>
      </w:pPr>
      <w:r>
        <w:rPr>
          <w:rFonts w:ascii="宋体" w:hAnsi="宋体" w:eastAsia="宋体"/>
          <w:b/>
          <w:color w:val="C9A063"/>
          <w:sz w:val="24"/>
        </w:rPr>
        <w:t xml:space="preserve">▪ </w:t>
      </w:r>
      <w:r>
        <w:rPr>
          <w:rFonts w:ascii="宋体" w:hAnsi="宋体" w:eastAsia="宋体"/>
          <w:color w:val="1A202C"/>
          <w:sz w:val="24"/>
        </w:rPr>
        <w:t>情景对比：始终对比「基线」与「当前情景」的差异</w:t>
      </w:r>
    </w:p>
    <w:p>
      <w:pPr>
        <w:spacing w:after="80"/>
        <w:ind w:left="480"/>
      </w:pPr>
      <w:r>
        <w:rPr>
          <w:rFonts w:ascii="宋体" w:hAnsi="宋体" w:eastAsia="宋体"/>
          <w:b/>
          <w:color w:val="C9A063"/>
          <w:sz w:val="24"/>
        </w:rPr>
        <w:t xml:space="preserve">▪ </w:t>
      </w:r>
      <w:r>
        <w:rPr>
          <w:rFonts w:ascii="宋体" w:hAnsi="宋体" w:eastAsia="宋体"/>
          <w:color w:val="1A202C"/>
          <w:sz w:val="24"/>
        </w:rPr>
        <w:t>工作坊模式：支持 4-8 小时干部培训情景</w:t>
      </w:r>
    </w:p>
    <w:p>
      <w:pPr>
        <w:spacing w:after="80"/>
        <w:ind w:left="480"/>
      </w:pPr>
      <w:r>
        <w:rPr>
          <w:rFonts w:ascii="宋体" w:hAnsi="宋体" w:eastAsia="宋体"/>
          <w:b/>
          <w:color w:val="C9A063"/>
          <w:sz w:val="24"/>
        </w:rPr>
        <w:t xml:space="preserve">▪ </w:t>
      </w:r>
      <w:r>
        <w:rPr>
          <w:rFonts w:ascii="宋体" w:hAnsi="宋体" w:eastAsia="宋体"/>
          <w:color w:val="1A202C"/>
          <w:sz w:val="24"/>
        </w:rPr>
        <w:t>国际化：支持 20+ 语言界面</w:t>
      </w:r>
    </w:p>
    <w:p>
      <w:pPr>
        <w:spacing w:before="360" w:after="240"/>
      </w:pPr>
      <w:r>
        <w:rPr>
          <w:rFonts w:ascii="黑体" w:hAnsi="黑体" w:eastAsia="黑体"/>
          <w:b/>
          <w:color w:val="B8232F"/>
          <w:sz w:val="32"/>
        </w:rPr>
        <w:t xml:space="preserve">3.3  </w:t>
      </w:r>
      <w:r>
        <w:rPr>
          <w:rFonts w:ascii="黑体" w:hAnsi="黑体" w:eastAsia="黑体"/>
          <w:b/>
          <w:color w:val="1E3A5F"/>
          <w:sz w:val="32"/>
        </w:rPr>
        <w:t>反馈环理论</w:t>
      </w:r>
    </w:p>
    <w:p>
      <w:pPr>
        <w:spacing w:after="120" w:line="384" w:lineRule="auto"/>
        <w:ind w:firstLine="480"/>
      </w:pPr>
      <w:r>
        <w:rPr>
          <w:rFonts w:ascii="宋体" w:hAnsi="宋体" w:eastAsia="宋体"/>
          <w:color w:val="1A202C"/>
          <w:sz w:val="24"/>
        </w:rPr>
        <w:t>反馈环（Feedback Loop）是系统动力学的核心概念，分为强化回路（Reinforcing Loop, R）与平衡回路（Balancing Loop, B）两大类型。</w:t>
      </w:r>
    </w:p>
    <w:p>
      <w:pPr>
        <w:spacing w:before="280" w:after="160"/>
      </w:pPr>
      <w:r>
        <w:rPr>
          <w:rFonts w:ascii="黑体" w:hAnsi="黑体" w:eastAsia="黑体"/>
          <w:b/>
          <w:color w:val="B8232F"/>
          <w:sz w:val="28"/>
        </w:rPr>
        <w:t>3.3.1 强化回路（R）</w:t>
      </w:r>
    </w:p>
    <w:p>
      <w:pPr>
        <w:spacing w:after="120" w:line="384" w:lineRule="auto"/>
        <w:ind w:firstLine="480"/>
      </w:pPr>
      <w:r>
        <w:rPr>
          <w:rFonts w:ascii="宋体" w:hAnsi="宋体" w:eastAsia="宋体"/>
          <w:color w:val="1A202C"/>
          <w:sz w:val="24"/>
        </w:rPr>
        <w:t>强化回路是导致系统状态向同一方向变化的反馈机制。典型例子：「滚雪球效应」、「贫困陷阱」、「学习曲线」等。强化回路的特征是：随着时间推移，系统状态偏离初始值越来越远。</w:t>
      </w:r>
    </w:p>
    <w:p>
      <w:pPr>
        <w:spacing w:after="120" w:line="384" w:lineRule="auto"/>
        <w:ind w:firstLine="480"/>
      </w:pPr>
      <w:r>
        <w:rPr>
          <w:rFonts w:ascii="宋体" w:hAnsi="宋体" w:eastAsia="宋体"/>
          <w:color w:val="1A202C"/>
          <w:sz w:val="24"/>
        </w:rPr>
        <w:t>在治理领域，强化回路的典型例子包括：</w:t>
      </w:r>
    </w:p>
    <w:p>
      <w:pPr>
        <w:spacing w:after="80"/>
        <w:ind w:left="480"/>
      </w:pPr>
      <w:r>
        <w:rPr>
          <w:rFonts w:ascii="宋体" w:hAnsi="宋体" w:eastAsia="宋体"/>
          <w:b/>
          <w:color w:val="B8232F"/>
          <w:sz w:val="24"/>
        </w:rPr>
        <w:t>（信任增强环（R1））</w:t>
      </w:r>
      <w:r>
        <w:rPr>
          <w:rFonts w:ascii="宋体" w:hAnsi="宋体" w:eastAsia="宋体"/>
          <w:color w:val="1A202C"/>
          <w:sz w:val="24"/>
        </w:rPr>
        <w:t>良好的治理 → 群众满意度↑ → 政府信任度↑ → 协商参与度↑ → 政策制定质量↑ → 良好的治理（闭环增强）</w:t>
      </w:r>
    </w:p>
    <w:p>
      <w:pPr>
        <w:spacing w:after="80"/>
        <w:ind w:left="480"/>
      </w:pPr>
      <w:r>
        <w:rPr>
          <w:rFonts w:ascii="宋体" w:hAnsi="宋体" w:eastAsia="宋体"/>
          <w:b/>
          <w:color w:val="B8232F"/>
          <w:sz w:val="24"/>
        </w:rPr>
        <w:t>（数据增强环（R2））</w:t>
      </w:r>
      <w:r>
        <w:rPr>
          <w:rFonts w:ascii="宋体" w:hAnsi="宋体" w:eastAsia="宋体"/>
          <w:color w:val="1A202C"/>
          <w:sz w:val="24"/>
        </w:rPr>
        <w:t>更多的网格采集 → 城市大脑数据丰富 → 决策更精准 → 网格效率提升 → 更多的网格采集（闭环增强）</w:t>
      </w:r>
    </w:p>
    <w:p>
      <w:pPr>
        <w:spacing w:before="280" w:after="160"/>
      </w:pPr>
      <w:r>
        <w:rPr>
          <w:rFonts w:ascii="黑体" w:hAnsi="黑体" w:eastAsia="黑体"/>
          <w:b/>
          <w:color w:val="B8232F"/>
          <w:sz w:val="28"/>
        </w:rPr>
        <w:t>3.3.2 平衡回路（B）</w:t>
      </w:r>
    </w:p>
    <w:p>
      <w:pPr>
        <w:spacing w:after="120" w:line="384" w:lineRule="auto"/>
        <w:ind w:firstLine="480"/>
      </w:pPr>
      <w:r>
        <w:rPr>
          <w:rFonts w:ascii="宋体" w:hAnsi="宋体" w:eastAsia="宋体"/>
          <w:color w:val="1A202C"/>
          <w:sz w:val="24"/>
        </w:rPr>
        <w:t>平衡回路是导致系统状态向目标值收敛的反馈机制。典型例子：「饱和现象」、「资源约束」、「人口承载力」等。平衡回路的特征是：系统状态在某个稳态值附近波动。</w:t>
      </w:r>
    </w:p>
    <w:p>
      <w:pPr>
        <w:spacing w:after="120" w:line="384" w:lineRule="auto"/>
        <w:ind w:firstLine="480"/>
      </w:pPr>
      <w:r>
        <w:rPr>
          <w:rFonts w:ascii="宋体" w:hAnsi="宋体" w:eastAsia="宋体"/>
          <w:color w:val="1A202C"/>
          <w:sz w:val="24"/>
        </w:rPr>
        <w:t>在治理领域，平衡回路的典型例子包括：</w:t>
      </w:r>
    </w:p>
    <w:p>
      <w:pPr>
        <w:spacing w:after="80"/>
        <w:ind w:left="480"/>
      </w:pPr>
      <w:r>
        <w:rPr>
          <w:rFonts w:ascii="宋体" w:hAnsi="宋体" w:eastAsia="宋体"/>
          <w:b/>
          <w:color w:val="B8232F"/>
          <w:sz w:val="24"/>
        </w:rPr>
        <w:t>（资源约束环（B1））</w:t>
      </w:r>
      <w:r>
        <w:rPr>
          <w:rFonts w:ascii="宋体" w:hAnsi="宋体" w:eastAsia="宋体"/>
          <w:color w:val="1A202C"/>
          <w:sz w:val="24"/>
        </w:rPr>
        <w:t>治理投入↑ → 财政压力↑ → 治理投入下降</w:t>
      </w:r>
    </w:p>
    <w:p>
      <w:pPr>
        <w:spacing w:after="80"/>
        <w:ind w:left="480"/>
      </w:pPr>
      <w:r>
        <w:rPr>
          <w:rFonts w:ascii="宋体" w:hAnsi="宋体" w:eastAsia="宋体"/>
          <w:b/>
          <w:color w:val="B8232F"/>
          <w:sz w:val="24"/>
        </w:rPr>
        <w:t>（能力瓶颈环（B2））</w:t>
      </w:r>
      <w:r>
        <w:rPr>
          <w:rFonts w:ascii="宋体" w:hAnsi="宋体" w:eastAsia="宋体"/>
          <w:color w:val="1A202C"/>
          <w:sz w:val="24"/>
        </w:rPr>
        <w:t>治理任务↑ → 干部疲惫↑ → 治理能力↓ → 任务积压↑（最终系统达到能力上限）</w:t>
      </w:r>
    </w:p>
    <w:p>
      <w:pPr>
        <w:spacing w:before="280" w:after="160"/>
      </w:pPr>
      <w:r>
        <w:rPr>
          <w:rFonts w:ascii="黑体" w:hAnsi="黑体" w:eastAsia="黑体"/>
          <w:b/>
          <w:color w:val="B8232F"/>
          <w:sz w:val="28"/>
        </w:rPr>
        <w:t>3.3.3 反馈环的耦合</w:t>
      </w:r>
    </w:p>
    <w:p>
      <w:pPr>
        <w:spacing w:after="120" w:line="384" w:lineRule="auto"/>
        <w:ind w:firstLine="480"/>
      </w:pPr>
      <w:r>
        <w:rPr>
          <w:rFonts w:ascii="宋体" w:hAnsi="宋体" w:eastAsia="宋体"/>
          <w:color w:val="1A202C"/>
          <w:sz w:val="24"/>
        </w:rPr>
        <w:t>实际治理系统中，多个反馈环往往相互耦合。R 与 B 的耦合可能导致以下三种典型动力学：</w:t>
      </w:r>
    </w:p>
    <w:p>
      <w:pPr>
        <w:spacing w:after="80"/>
        <w:ind w:left="480"/>
      </w:pPr>
      <w:r>
        <w:rPr>
          <w:rFonts w:ascii="宋体" w:hAnsi="宋体" w:eastAsia="宋体"/>
          <w:b/>
          <w:color w:val="C9A063"/>
          <w:sz w:val="24"/>
        </w:rPr>
        <w:t xml:space="preserve">▪ </w:t>
      </w:r>
      <w:r>
        <w:rPr>
          <w:rFonts w:ascii="宋体" w:hAnsi="宋体" w:eastAsia="宋体"/>
          <w:color w:val="1A202C"/>
          <w:sz w:val="24"/>
        </w:rPr>
        <w:t>S 型曲线（Logistic Growth）：早期 R 主导（快速增长），后期 B 主导（收敛饱和）</w:t>
      </w:r>
    </w:p>
    <w:p>
      <w:pPr>
        <w:spacing w:after="80"/>
        <w:ind w:left="480"/>
      </w:pPr>
      <w:r>
        <w:rPr>
          <w:rFonts w:ascii="宋体" w:hAnsi="宋体" w:eastAsia="宋体"/>
          <w:b/>
          <w:color w:val="C9A063"/>
          <w:sz w:val="24"/>
        </w:rPr>
        <w:t xml:space="preserve">▪ </w:t>
      </w:r>
      <w:r>
        <w:rPr>
          <w:rFonts w:ascii="宋体" w:hAnsi="宋体" w:eastAsia="宋体"/>
          <w:color w:val="1A202C"/>
          <w:sz w:val="24"/>
        </w:rPr>
        <w:t>震荡曲线（Oscillation）：R 与 B 时滞不一致导致周期性波动</w:t>
      </w:r>
    </w:p>
    <w:p>
      <w:pPr>
        <w:spacing w:after="80"/>
        <w:ind w:left="480"/>
      </w:pPr>
      <w:r>
        <w:rPr>
          <w:rFonts w:ascii="宋体" w:hAnsi="宋体" w:eastAsia="宋体"/>
          <w:b/>
          <w:color w:val="C9A063"/>
          <w:sz w:val="24"/>
        </w:rPr>
        <w:t xml:space="preserve">▪ </w:t>
      </w:r>
      <w:r>
        <w:rPr>
          <w:rFonts w:ascii="宋体" w:hAnsi="宋体" w:eastAsia="宋体"/>
          <w:color w:val="1A202C"/>
          <w:sz w:val="24"/>
        </w:rPr>
        <w:t>崩溃曲线（Collapse）：B 主导但已超过承载力，系统崩溃</w:t>
      </w:r>
    </w:p>
    <w:p>
      <w:pPr>
        <w:spacing w:before="360" w:after="240"/>
      </w:pPr>
      <w:r>
        <w:rPr>
          <w:rFonts w:ascii="黑体" w:hAnsi="黑体" w:eastAsia="黑体"/>
          <w:b/>
          <w:color w:val="B8232F"/>
          <w:sz w:val="32"/>
        </w:rPr>
        <w:t xml:space="preserve">3.4  </w:t>
      </w:r>
      <w:r>
        <w:rPr>
          <w:rFonts w:ascii="黑体" w:hAnsi="黑体" w:eastAsia="黑体"/>
          <w:b/>
          <w:color w:val="1E3A5F"/>
          <w:sz w:val="32"/>
        </w:rPr>
        <w:t>存量-流量模型在治理领域的应用</w:t>
      </w:r>
    </w:p>
    <w:p>
      <w:pPr>
        <w:spacing w:after="120" w:line="384" w:lineRule="auto"/>
        <w:ind w:firstLine="480"/>
      </w:pPr>
      <w:r>
        <w:rPr>
          <w:rFonts w:ascii="宋体" w:hAnsi="宋体" w:eastAsia="宋体"/>
          <w:color w:val="1A202C"/>
          <w:sz w:val="24"/>
        </w:rPr>
        <w:t>存量（Stock）与流量（Flow）是系统动力学的另一对核心概念。本节阐述其在治理领域的应用。</w:t>
      </w:r>
    </w:p>
    <w:p>
      <w:pPr>
        <w:spacing w:before="280" w:after="160"/>
      </w:pPr>
      <w:r>
        <w:rPr>
          <w:rFonts w:ascii="黑体" w:hAnsi="黑体" w:eastAsia="黑体"/>
          <w:b/>
          <w:color w:val="B8232F"/>
          <w:sz w:val="28"/>
        </w:rPr>
        <w:t>3.4.1 数学表达</w:t>
      </w:r>
    </w:p>
    <w:p>
      <w:pPr>
        <w:spacing w:after="120" w:line="384" w:lineRule="auto"/>
        <w:ind w:firstLine="480"/>
      </w:pPr>
      <w:r>
        <w:rPr>
          <w:rFonts w:ascii="宋体" w:hAnsi="宋体" w:eastAsia="宋体"/>
          <w:color w:val="1A202C"/>
          <w:sz w:val="24"/>
        </w:rPr>
        <w:t>存量-流量的核心数学表达为：</w:t>
      </w:r>
    </w:p>
    <w:p>
      <w:pPr>
        <w:spacing w:after="120" w:line="384" w:lineRule="auto"/>
      </w:pPr>
      <w:r>
        <w:rPr>
          <w:rFonts w:ascii="宋体" w:hAnsi="宋体" w:eastAsia="宋体"/>
          <w:color w:val="1A202C"/>
          <w:sz w:val="24"/>
        </w:rPr>
        <w:t>Stock(t+1) = Stock(t) + Flow(t) × dt</w:t>
      </w:r>
    </w:p>
    <w:p>
      <w:pPr>
        <w:spacing w:after="120" w:line="384" w:lineRule="auto"/>
      </w:pPr>
      <w:r>
        <w:rPr>
          <w:rFonts w:ascii="宋体" w:hAnsi="宋体" w:eastAsia="宋体"/>
          <w:color w:val="1A202C"/>
          <w:sz w:val="24"/>
        </w:rPr>
        <w:t>Flow(t) = (Target - Stock) / τ × ModifierFactor(t)</w:t>
      </w:r>
    </w:p>
    <w:p>
      <w:pPr>
        <w:spacing w:after="120" w:line="384" w:lineRule="auto"/>
        <w:ind w:firstLine="480"/>
      </w:pPr>
      <w:r>
        <w:rPr>
          <w:rFonts w:ascii="宋体" w:hAnsi="宋体" w:eastAsia="宋体"/>
          <w:color w:val="1A202C"/>
          <w:sz w:val="24"/>
        </w:rPr>
        <w:t>其中：Stock 为状态变量；Flow 为流量；τ 为时滞参数；ModifierFactor 为修正因子（如饱和因子、协同因子、信任因子等）。</w:t>
      </w:r>
    </w:p>
    <w:p>
      <w:pPr>
        <w:spacing w:before="280" w:after="160"/>
      </w:pPr>
      <w:r>
        <w:rPr>
          <w:rFonts w:ascii="黑体" w:hAnsi="黑体" w:eastAsia="黑体"/>
          <w:b/>
          <w:color w:val="B8232F"/>
          <w:sz w:val="28"/>
        </w:rPr>
        <w:t>3.4.2 在治理领域的应用</w:t>
      </w:r>
    </w:p>
    <w:p>
      <w:pPr>
        <w:spacing w:after="120" w:line="384" w:lineRule="auto"/>
        <w:ind w:firstLine="480"/>
      </w:pPr>
      <w:r>
        <w:rPr>
          <w:rFonts w:ascii="宋体" w:hAnsi="宋体" w:eastAsia="宋体"/>
          <w:color w:val="1A202C"/>
          <w:sz w:val="24"/>
        </w:rPr>
        <w:t>在治理领域，「治理水平指数」可以作为一个存量变量。具体方程为：</w:t>
      </w:r>
    </w:p>
    <w:p>
      <w:pPr>
        <w:spacing w:after="120" w:line="384" w:lineRule="auto"/>
      </w:pPr>
      <w:r>
        <w:rPr>
          <w:rFonts w:ascii="宋体" w:hAnsi="宋体" w:eastAsia="宋体"/>
          <w:color w:val="1A202C"/>
          <w:sz w:val="24"/>
        </w:rPr>
        <w:t>GovIndex(t+1) = GovIndex(t) + Flow(t) × dt</w:t>
      </w:r>
    </w:p>
    <w:p>
      <w:pPr>
        <w:spacing w:after="120" w:line="384" w:lineRule="auto"/>
      </w:pPr>
      <w:r>
        <w:rPr>
          <w:rFonts w:ascii="宋体" w:hAnsi="宋体" w:eastAsia="宋体"/>
          <w:color w:val="1A202C"/>
          <w:sz w:val="24"/>
        </w:rPr>
        <w:t>Flow(t) = (TargetIndex - GovIndex) / τ × Saturation × TrustFlywheel × Synergy</w:t>
      </w:r>
    </w:p>
    <w:p>
      <w:pPr>
        <w:spacing w:before="360" w:after="240"/>
      </w:pPr>
      <w:r>
        <w:rPr>
          <w:rFonts w:ascii="黑体" w:hAnsi="黑体" w:eastAsia="黑体"/>
          <w:b/>
          <w:color w:val="B8232F"/>
          <w:sz w:val="32"/>
        </w:rPr>
        <w:t xml:space="preserve">3.5  </w:t>
      </w:r>
      <w:r>
        <w:rPr>
          <w:rFonts w:ascii="黑体" w:hAnsi="黑体" w:eastAsia="黑体"/>
          <w:b/>
          <w:color w:val="1E3A5F"/>
          <w:sz w:val="32"/>
        </w:rPr>
        <w:t>时滞参数 τ 的政治学意涵</w:t>
      </w:r>
    </w:p>
    <w:p>
      <w:pPr>
        <w:spacing w:after="120" w:line="384" w:lineRule="auto"/>
        <w:ind w:firstLine="480"/>
      </w:pPr>
      <w:r>
        <w:rPr>
          <w:rFonts w:ascii="宋体" w:hAnsi="宋体" w:eastAsia="宋体"/>
          <w:color w:val="1A202C"/>
          <w:sz w:val="24"/>
        </w:rPr>
        <w:t>时滞参数 τ（tau）是系统动力学模型中的关键参数。在治理领域，τ 具有特殊的政治学意涵。</w:t>
      </w:r>
    </w:p>
    <w:p>
      <w:pPr>
        <w:spacing w:before="280" w:after="160"/>
      </w:pPr>
      <w:r>
        <w:rPr>
          <w:rFonts w:ascii="黑体" w:hAnsi="黑体" w:eastAsia="黑体"/>
          <w:b/>
          <w:color w:val="B8232F"/>
          <w:sz w:val="28"/>
        </w:rPr>
        <w:t>3.5.1 τ 的取值与政府届期的耦合</w:t>
      </w:r>
    </w:p>
    <w:p>
      <w:pPr>
        <w:spacing w:after="120" w:line="384" w:lineRule="auto"/>
        <w:ind w:firstLine="480"/>
      </w:pPr>
      <w:r>
        <w:rPr>
          <w:rFonts w:ascii="宋体" w:hAnsi="宋体" w:eastAsia="宋体"/>
          <w:color w:val="1A202C"/>
          <w:sz w:val="24"/>
        </w:rPr>
        <w:t>中国地方政府届期一般为 5 年。从政策出台到效果显现的典型时滞，受多种因素影响，但与政府届期密切相关。本研究取 τ = 1.5 年，对应「一届政府学习周期」（即第一年学习熟悉、第二年系统部署、第三年开始见效）。</w:t>
      </w:r>
    </w:p>
    <w:p>
      <w:pPr>
        <w:spacing w:before="280" w:after="160"/>
      </w:pPr>
      <w:r>
        <w:rPr>
          <w:rFonts w:ascii="黑体" w:hAnsi="黑体" w:eastAsia="黑体"/>
          <w:b/>
          <w:color w:val="B8232F"/>
          <w:sz w:val="28"/>
        </w:rPr>
        <w:t>3.5.2 τ 取值的敏感性分析</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τ 取值</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对应情景</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适用领域</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0.5 年</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快速响应（如应急事件处置）</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突发事件治理</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1.5 年</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中期响应（如制度改革）</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本研究采用</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3 年</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长期响应（如基础设施建设）</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硬件建设</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5 年</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战略响应（如发展规划）</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中长期规划</w:t>
            </w:r>
          </w:p>
        </w:tc>
      </w:tr>
    </w:tbl>
    <w:p/>
    <w:p>
      <w:pPr>
        <w:spacing w:before="360" w:after="240"/>
      </w:pPr>
      <w:r>
        <w:rPr>
          <w:rFonts w:ascii="黑体" w:hAnsi="黑体" w:eastAsia="黑体"/>
          <w:b/>
          <w:color w:val="B8232F"/>
          <w:sz w:val="32"/>
        </w:rPr>
        <w:t xml:space="preserve">3.6  </w:t>
      </w:r>
      <w:r>
        <w:rPr>
          <w:rFonts w:ascii="黑体" w:hAnsi="黑体" w:eastAsia="黑体"/>
          <w:b/>
          <w:color w:val="1E3A5F"/>
          <w:sz w:val="32"/>
        </w:rPr>
        <w:t>协同效应 Synergy 的数学建模</w:t>
      </w:r>
    </w:p>
    <w:p>
      <w:pPr>
        <w:spacing w:after="120" w:line="384" w:lineRule="auto"/>
        <w:ind w:firstLine="480"/>
      </w:pPr>
      <w:r>
        <w:rPr>
          <w:rFonts w:ascii="宋体" w:hAnsi="宋体" w:eastAsia="宋体"/>
          <w:color w:val="1A202C"/>
          <w:sz w:val="24"/>
        </w:rPr>
        <w:t>协同效应（Synergy）是本研究方法论的关键创新之一。基于对郑州「党建+网格+大数据」黄金三角的观察，本研究提出协同效应的数学表达。</w:t>
      </w:r>
    </w:p>
    <w:p>
      <w:pPr>
        <w:spacing w:before="280" w:after="160"/>
      </w:pPr>
      <w:r>
        <w:rPr>
          <w:rFonts w:ascii="黑体" w:hAnsi="黑体" w:eastAsia="黑体"/>
          <w:b/>
          <w:color w:val="B8232F"/>
          <w:sz w:val="28"/>
        </w:rPr>
        <w:t>3.6.1 协同效应方程</w:t>
      </w:r>
    </w:p>
    <w:p>
      <w:pPr>
        <w:spacing w:after="120" w:line="384" w:lineRule="auto"/>
      </w:pPr>
      <w:r>
        <w:rPr>
          <w:rFonts w:ascii="宋体" w:hAnsi="宋体" w:eastAsia="宋体"/>
          <w:color w:val="1A202C"/>
          <w:sz w:val="24"/>
        </w:rPr>
        <w:t>Synergy = (TriMin/100)² × 8 + (TriMin/Max(TriAvg, 1)) × TriAvg × 0.04</w:t>
      </w:r>
    </w:p>
    <w:p>
      <w:pPr>
        <w:spacing w:after="120" w:line="384" w:lineRule="auto"/>
        <w:ind w:firstLine="480"/>
      </w:pPr>
      <w:r>
        <w:rPr>
          <w:rFonts w:ascii="宋体" w:hAnsi="宋体" w:eastAsia="宋体"/>
          <w:color w:val="1A202C"/>
          <w:sz w:val="24"/>
        </w:rPr>
        <w:t>其中：TriMin = min(党建分, 网格分, 大脑分)；TriAvg = (党建分 + 网格分 + 大脑分) / 3</w:t>
      </w:r>
    </w:p>
    <w:p>
      <w:pPr>
        <w:spacing w:before="280" w:after="160"/>
      </w:pPr>
      <w:r>
        <w:rPr>
          <w:rFonts w:ascii="黑体" w:hAnsi="黑体" w:eastAsia="黑体"/>
          <w:b/>
          <w:color w:val="B8232F"/>
          <w:sz w:val="28"/>
        </w:rPr>
        <w:t>3.6.2 协同效应的物理意义</w:t>
      </w:r>
    </w:p>
    <w:p>
      <w:pPr>
        <w:spacing w:after="120" w:line="384" w:lineRule="auto"/>
        <w:ind w:firstLine="480"/>
      </w:pPr>
      <w:r>
        <w:rPr>
          <w:rFonts w:ascii="宋体" w:hAnsi="宋体" w:eastAsia="宋体"/>
          <w:color w:val="1A202C"/>
          <w:sz w:val="24"/>
        </w:rPr>
        <w:t>这一方程蕴含两个关键的物理意义：</w:t>
      </w:r>
    </w:p>
    <w:p>
      <w:pPr>
        <w:spacing w:after="80"/>
        <w:ind w:left="480"/>
      </w:pPr>
      <w:r>
        <w:rPr>
          <w:rFonts w:ascii="宋体" w:hAnsi="宋体" w:eastAsia="宋体"/>
          <w:b/>
          <w:color w:val="B8232F"/>
          <w:sz w:val="24"/>
        </w:rPr>
        <w:t>（短板效应（TriMin 平方项））</w:t>
      </w:r>
      <w:r>
        <w:rPr>
          <w:rFonts w:ascii="宋体" w:hAnsi="宋体" w:eastAsia="宋体"/>
          <w:color w:val="1A202C"/>
          <w:sz w:val="24"/>
        </w:rPr>
        <w:t>三大要素中的「短板」决定了系统的协同潜力。短板得分越高，协同奖励越大。</w:t>
      </w:r>
    </w:p>
    <w:p>
      <w:pPr>
        <w:spacing w:after="80"/>
        <w:ind w:left="480"/>
      </w:pPr>
      <w:r>
        <w:rPr>
          <w:rFonts w:ascii="宋体" w:hAnsi="宋体" w:eastAsia="宋体"/>
          <w:b/>
          <w:color w:val="B8232F"/>
          <w:sz w:val="24"/>
        </w:rPr>
        <w:t>（均衡效应（TriMin/TriAvg 比项））</w:t>
      </w:r>
      <w:r>
        <w:rPr>
          <w:rFonts w:ascii="宋体" w:hAnsi="宋体" w:eastAsia="宋体"/>
          <w:color w:val="1A202C"/>
          <w:sz w:val="24"/>
        </w:rPr>
        <w:t>三大要素越均衡，协同效应越显著。比值接近 1 时奖励最大。</w:t>
      </w:r>
    </w:p>
    <w:p>
      <w:pPr>
        <w:spacing w:before="280" w:after="160"/>
      </w:pPr>
      <w:r>
        <w:rPr>
          <w:rFonts w:ascii="黑体" w:hAnsi="黑体" w:eastAsia="黑体"/>
          <w:b/>
          <w:color w:val="B8232F"/>
          <w:sz w:val="28"/>
        </w:rPr>
        <w:t>3.6.3 数值仿真示例</w:t>
      </w:r>
    </w:p>
    <w:tbl>
      <w:tblPr>
        <w:tblW w:type="auto" w:w="0"/>
        <w:tblLayout w:type="fixed"/>
        <w:tblLook w:firstColumn="1" w:firstRow="1" w:lastColumn="0" w:lastRow="0" w:noHBand="0" w:noVBand="1" w:val="04A0"/>
      </w:tblPr>
      <w:tblGrid>
        <w:gridCol w:w="1263"/>
        <w:gridCol w:w="1263"/>
        <w:gridCol w:w="1263"/>
        <w:gridCol w:w="1263"/>
        <w:gridCol w:w="1263"/>
        <w:gridCol w:w="1263"/>
        <w:gridCol w:w="1263"/>
      </w:tblGrid>
      <w:tr>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情景</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党建</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网格</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大脑</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TriMin</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TriAvg</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Synergy 值</w:t>
            </w:r>
          </w:p>
        </w:tc>
      </w:tr>
      <w:tr>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全部 50（基线）</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50</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50</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50</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50</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50</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2.0 + 2.0 = 4.0</w:t>
            </w:r>
          </w:p>
        </w:tc>
      </w:tr>
      <w:tr>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全部 80（优秀）</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80</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80</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80</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80</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80</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5.1 + 3.2 = 8.3</w:t>
            </w:r>
          </w:p>
        </w:tc>
      </w:tr>
      <w:tr>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全部 95（卓越）</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95</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95</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95</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95</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95</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7.2 + 3.8 = 11.0</w:t>
            </w:r>
          </w:p>
        </w:tc>
      </w:tr>
      <w:tr>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党建 90, 其他 60（不均）</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90</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60</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60</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60</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70</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2.9 + 2.4 = 5.3</w:t>
            </w:r>
          </w:p>
        </w:tc>
      </w:tr>
    </w:tbl>
    <w:p/>
    <w:p>
      <w:pPr>
        <w:spacing w:before="360" w:after="240"/>
      </w:pPr>
      <w:r>
        <w:rPr>
          <w:rFonts w:ascii="黑体" w:hAnsi="黑体" w:eastAsia="黑体"/>
          <w:b/>
          <w:color w:val="B8232F"/>
          <w:sz w:val="32"/>
        </w:rPr>
        <w:t xml:space="preserve">3.7  </w:t>
      </w:r>
      <w:r>
        <w:rPr>
          <w:rFonts w:ascii="黑体" w:hAnsi="黑体" w:eastAsia="黑体"/>
          <w:b/>
          <w:color w:val="1E3A5F"/>
          <w:sz w:val="32"/>
        </w:rPr>
        <w:t>★ 方法论创新点 1：En-ROADS 治理领域本土化</w:t>
      </w:r>
    </w:p>
    <w:p>
      <w:pPr>
        <w:spacing w:after="120" w:line="384" w:lineRule="auto"/>
        <w:ind w:firstLine="480"/>
      </w:pPr>
      <w:r>
        <w:rPr>
          <w:rFonts w:ascii="宋体" w:hAnsi="宋体" w:eastAsia="宋体"/>
          <w:color w:val="1A202C"/>
          <w:sz w:val="24"/>
        </w:rPr>
        <w:t>基于以上分析，本研究的第一个方法论创新点是：首次将 MIT En-ROADS 系统动力学方法论本土化于中国治理领域。</w:t>
      </w:r>
    </w:p>
    <w:p>
      <w:pPr>
        <w:spacing w:before="280" w:after="160"/>
      </w:pPr>
      <w:r>
        <w:rPr>
          <w:rFonts w:ascii="黑体" w:hAnsi="黑体" w:eastAsia="黑体"/>
          <w:b/>
          <w:color w:val="B8232F"/>
          <w:sz w:val="28"/>
        </w:rPr>
        <w:t>3.7.1 本土化的 5 大改造</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改造维度</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En-ROADS（气候领域）</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本研究（治理领域）</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主题领域</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气候政策</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治理政策</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杠杆数量</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30 个气候杠杆</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18 个治理杠杆（更聚焦）</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政治锚定</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联合国 IPCC 报告</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习近平人民城市思想 + 党的二十大</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输出指标</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升温、GDP 等</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ISUI 6 维 + 满意度 5/15/225</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对标对象</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全球 G20 国家</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中国 7 城 + 国际 4 城</w:t>
            </w:r>
          </w:p>
        </w:tc>
      </w:tr>
    </w:tbl>
    <w:p/>
    <w:p>
      <w:pPr>
        <w:spacing w:before="280" w:after="160"/>
      </w:pPr>
      <w:r>
        <w:rPr>
          <w:rFonts w:ascii="黑体" w:hAnsi="黑体" w:eastAsia="黑体"/>
          <w:b/>
          <w:color w:val="B8232F"/>
          <w:sz w:val="28"/>
        </w:rPr>
        <w:t>3.7.2 本土化的学术价值</w:t>
      </w:r>
    </w:p>
    <w:p>
      <w:pPr>
        <w:spacing w:after="120" w:line="384" w:lineRule="auto"/>
        <w:ind w:firstLine="480"/>
      </w:pPr>
      <w:r>
        <w:rPr>
          <w:rFonts w:ascii="宋体" w:hAnsi="宋体" w:eastAsia="宋体"/>
          <w:color w:val="1A202C"/>
          <w:sz w:val="24"/>
        </w:rPr>
        <w:t>这一本土化改造的学术价值在于：</w:t>
      </w:r>
    </w:p>
    <w:p>
      <w:pPr>
        <w:spacing w:after="80"/>
        <w:ind w:left="480"/>
      </w:pPr>
      <w:r>
        <w:rPr>
          <w:rFonts w:ascii="宋体" w:hAnsi="宋体" w:eastAsia="宋体"/>
          <w:b/>
          <w:color w:val="C9A063"/>
          <w:sz w:val="24"/>
        </w:rPr>
        <w:t xml:space="preserve">▪ </w:t>
      </w:r>
      <w:r>
        <w:rPr>
          <w:rFonts w:ascii="宋体" w:hAnsi="宋体" w:eastAsia="宋体"/>
          <w:color w:val="1A202C"/>
          <w:sz w:val="24"/>
        </w:rPr>
        <w:t>首次填补了国内治理领域系统动力学应用工具的空白</w:t>
      </w:r>
    </w:p>
    <w:p>
      <w:pPr>
        <w:spacing w:after="80"/>
        <w:ind w:left="480"/>
      </w:pPr>
      <w:r>
        <w:rPr>
          <w:rFonts w:ascii="宋体" w:hAnsi="宋体" w:eastAsia="宋体"/>
          <w:b/>
          <w:color w:val="C9A063"/>
          <w:sz w:val="24"/>
        </w:rPr>
        <w:t xml:space="preserve">▪ </w:t>
      </w:r>
      <w:r>
        <w:rPr>
          <w:rFonts w:ascii="宋体" w:hAnsi="宋体" w:eastAsia="宋体"/>
          <w:color w:val="1A202C"/>
          <w:sz w:val="24"/>
        </w:rPr>
        <w:t>为中国治理科学的话语体系建构提供原创性方法论资源</w:t>
      </w:r>
    </w:p>
    <w:p>
      <w:pPr>
        <w:spacing w:after="80"/>
        <w:ind w:left="480"/>
      </w:pPr>
      <w:r>
        <w:rPr>
          <w:rFonts w:ascii="宋体" w:hAnsi="宋体" w:eastAsia="宋体"/>
          <w:b/>
          <w:color w:val="C9A063"/>
          <w:sz w:val="24"/>
        </w:rPr>
        <w:t xml:space="preserve">▪ </w:t>
      </w:r>
      <w:r>
        <w:rPr>
          <w:rFonts w:ascii="宋体" w:hAnsi="宋体" w:eastAsia="宋体"/>
          <w:color w:val="1A202C"/>
          <w:sz w:val="24"/>
        </w:rPr>
        <w:t>为国际学界提供了「东方智慧 + 西方方法」融合的成功范例</w:t>
      </w:r>
    </w:p>
    <w:p>
      <w:pPr>
        <w:spacing w:after="80"/>
        <w:ind w:left="480"/>
      </w:pPr>
      <w:r>
        <w:rPr>
          <w:rFonts w:ascii="宋体" w:hAnsi="宋体" w:eastAsia="宋体"/>
          <w:b/>
          <w:color w:val="C9A063"/>
          <w:sz w:val="24"/>
        </w:rPr>
        <w:t xml:space="preserve">▪ </w:t>
      </w:r>
      <w:r>
        <w:rPr>
          <w:rFonts w:ascii="宋体" w:hAnsi="宋体" w:eastAsia="宋体"/>
          <w:color w:val="1A202C"/>
          <w:sz w:val="24"/>
        </w:rPr>
        <w:t>为后续相关研究提供了开源参照范本</w:t>
      </w:r>
    </w:p>
    <w:p>
      <w:r>
        <w:br w:type="page"/>
      </w:r>
    </w:p>
    <w:p>
      <w:pPr>
        <w:spacing w:before="600" w:after="400"/>
        <w:jc w:val="center"/>
      </w:pPr>
      <w:r>
        <w:rPr>
          <w:rFonts w:ascii="黑体" w:hAnsi="黑体" w:eastAsia="黑体"/>
          <w:b/>
          <w:color w:val="1E3A5F"/>
          <w:sz w:val="44"/>
        </w:rPr>
        <w:t>第 4 章</w:t>
      </w:r>
    </w:p>
    <w:p>
      <w:pPr>
        <w:spacing w:before="600" w:after="400"/>
        <w:jc w:val="center"/>
      </w:pPr>
      <w:r>
        <w:rPr>
          <w:rFonts w:ascii="黑体" w:hAnsi="黑体" w:eastAsia="黑体"/>
          <w:b/>
          <w:color w:val="1E3A5F"/>
          <w:sz w:val="44"/>
        </w:rPr>
        <w:t>评估框架：港理工 ISUI 智慧城市指数</w:t>
      </w:r>
    </w:p>
    <w:p>
      <w:pPr>
        <w:spacing w:after="120" w:line="384" w:lineRule="auto"/>
        <w:ind w:firstLine="480"/>
      </w:pPr>
      <w:r>
        <w:rPr>
          <w:rFonts w:ascii="宋体" w:hAnsi="宋体" w:eastAsia="宋体"/>
          <w:color w:val="1A202C"/>
          <w:sz w:val="24"/>
        </w:rPr>
        <w:t>本章系统介绍香港理工大学史文中教授提出的 ISUI（Intelligent Smart Urban Index）智慧城市指数体系，建立 ISUI 与「人民城市」6 目标的对应关系，并提出本论文的第二个理论创新点——「6×6 桥接矩阵」。</w:t>
      </w:r>
    </w:p>
    <w:p>
      <w:pPr>
        <w:spacing w:before="360" w:after="240"/>
      </w:pPr>
      <w:r>
        <w:rPr>
          <w:rFonts w:ascii="黑体" w:hAnsi="黑体" w:eastAsia="黑体"/>
          <w:b/>
          <w:color w:val="B8232F"/>
          <w:sz w:val="32"/>
        </w:rPr>
        <w:t xml:space="preserve">4.1  </w:t>
      </w:r>
      <w:r>
        <w:rPr>
          <w:rFonts w:ascii="黑体" w:hAnsi="黑体" w:eastAsia="黑体"/>
          <w:b/>
          <w:color w:val="1E3A5F"/>
          <w:sz w:val="32"/>
        </w:rPr>
        <w:t>史文中教授学术贡献综述</w:t>
      </w:r>
    </w:p>
    <w:p>
      <w:pPr>
        <w:spacing w:before="280" w:after="160"/>
      </w:pPr>
      <w:r>
        <w:rPr>
          <w:rFonts w:ascii="黑体" w:hAnsi="黑体" w:eastAsia="黑体"/>
          <w:b/>
          <w:color w:val="B8232F"/>
          <w:sz w:val="28"/>
        </w:rPr>
        <w:t>4.1.1 个人学术简介</w:t>
      </w:r>
    </w:p>
    <w:p>
      <w:pPr>
        <w:spacing w:after="120" w:line="384" w:lineRule="auto"/>
        <w:ind w:firstLine="480"/>
      </w:pPr>
      <w:r>
        <w:rPr>
          <w:rFonts w:ascii="宋体" w:hAnsi="宋体" w:eastAsia="宋体"/>
          <w:color w:val="1A202C"/>
          <w:sz w:val="24"/>
        </w:rPr>
        <w:t>史文中教授（Prof. Wenzhong John SHI）是香港理工大学土地测量及地理资讯学系讲座教授，潘乐陶慈善基金城市信息学教授，地理信息科学与遥感讲座教授，香港理工大学土地测量及地理资讯学系前主任，潘乐陶慈善基金智慧城市研究院（SCRI）院长，香港理工大学-深圳技术创新研究院（福田）院长，PolyU-武汉大学空间信息联合实验室主任。</w:t>
      </w:r>
    </w:p>
    <w:p>
      <w:pPr>
        <w:spacing w:before="280" w:after="160"/>
      </w:pPr>
      <w:r>
        <w:rPr>
          <w:rFonts w:ascii="黑体" w:hAnsi="黑体" w:eastAsia="黑体"/>
          <w:b/>
          <w:color w:val="B8232F"/>
          <w:sz w:val="28"/>
        </w:rPr>
        <w:t>4.1.2 主要学术成就</w:t>
      </w:r>
    </w:p>
    <w:p>
      <w:pPr>
        <w:spacing w:after="120" w:line="384" w:lineRule="auto"/>
        <w:ind w:firstLine="480"/>
      </w:pPr>
      <w:r>
        <w:rPr>
          <w:rFonts w:ascii="宋体" w:hAnsi="宋体" w:eastAsia="宋体"/>
          <w:color w:val="1A202C"/>
          <w:sz w:val="24"/>
        </w:rPr>
        <w:t>史文中教授是国际摄影测量与遥感学会（ISPRS）王之卓奖（2012 年，全球 4 年 1 人）获得者，国际欧亚科学院院士（2019），英国社会科学院院士（FAcSS），英国皇家特许测量师学会会士（FRICS），香港测量师学会会士（FHKIS）。</w:t>
      </w:r>
    </w:p>
    <w:p>
      <w:pPr>
        <w:spacing w:after="120" w:line="384" w:lineRule="auto"/>
        <w:ind w:firstLine="480"/>
      </w:pPr>
      <w:r>
        <w:rPr>
          <w:rFonts w:ascii="宋体" w:hAnsi="宋体" w:eastAsia="宋体"/>
          <w:color w:val="1A202C"/>
          <w:sz w:val="24"/>
        </w:rPr>
        <w:t>在学术成果方面，史文中教授已发表 SCI/SSCI 期刊论文 400+ 篇，Google Scholar 引用 25,000+ 次，H 指数高达 87。他是 Elsevier 全球前 2% 被引最多研究员，Stanford 高被引学者（领域前 0.34%），教育部「长江学者」讲座教授。</w:t>
      </w:r>
    </w:p>
    <w:p>
      <w:pPr>
        <w:spacing w:before="280" w:after="160"/>
      </w:pPr>
      <w:r>
        <w:rPr>
          <w:rFonts w:ascii="黑体" w:hAnsi="黑体" w:eastAsia="黑体"/>
          <w:b/>
          <w:color w:val="B8232F"/>
          <w:sz w:val="28"/>
        </w:rPr>
        <w:t>4.1.3 重大学术贡献</w:t>
      </w:r>
    </w:p>
    <w:p>
      <w:pPr>
        <w:spacing w:after="120" w:line="384" w:lineRule="auto"/>
        <w:ind w:firstLine="480"/>
      </w:pPr>
      <w:r>
        <w:rPr>
          <w:rFonts w:ascii="宋体" w:hAnsi="宋体" w:eastAsia="宋体"/>
          <w:color w:val="1A202C"/>
          <w:sz w:val="24"/>
        </w:rPr>
        <w:t>史文中教授的主要学术贡献集中在三个方向：</w:t>
      </w:r>
    </w:p>
    <w:p>
      <w:pPr>
        <w:spacing w:after="80"/>
        <w:ind w:left="480"/>
      </w:pPr>
      <w:r>
        <w:rPr>
          <w:rFonts w:ascii="宋体" w:hAnsi="宋体" w:eastAsia="宋体"/>
          <w:b/>
          <w:color w:val="B8232F"/>
          <w:sz w:val="24"/>
        </w:rPr>
        <w:t>（城市信息学（Urban Informatics））</w:t>
      </w:r>
      <w:r>
        <w:rPr>
          <w:rFonts w:ascii="宋体" w:hAnsi="宋体" w:eastAsia="宋体"/>
          <w:color w:val="1A202C"/>
          <w:sz w:val="24"/>
        </w:rPr>
        <w:t>2021 年在 Springer 主编出版《Urban Informatics》（《城市信息学》）专著，这是该领域的奠基性著作。</w:t>
      </w:r>
    </w:p>
    <w:p>
      <w:pPr>
        <w:spacing w:after="80"/>
        <w:ind w:left="480"/>
      </w:pPr>
      <w:r>
        <w:rPr>
          <w:rFonts w:ascii="宋体" w:hAnsi="宋体" w:eastAsia="宋体"/>
          <w:b/>
          <w:color w:val="B8232F"/>
          <w:sz w:val="24"/>
        </w:rPr>
        <w:t>（智慧城市指数 ISUI）</w:t>
      </w:r>
      <w:r>
        <w:rPr>
          <w:rFonts w:ascii="宋体" w:hAnsi="宋体" w:eastAsia="宋体"/>
          <w:color w:val="1A202C"/>
          <w:sz w:val="24"/>
        </w:rPr>
        <w:t>2022 年提出 Intelligent Smart Urban Index（ISUI）框架，并对全球 73 个城市进行了系统评估，已成为亚洲地区最具影响力的智慧城市评估体系之一。</w:t>
      </w:r>
    </w:p>
    <w:p>
      <w:pPr>
        <w:spacing w:after="80"/>
        <w:ind w:left="480"/>
      </w:pPr>
      <w:r>
        <w:rPr>
          <w:rFonts w:ascii="宋体" w:hAnsi="宋体" w:eastAsia="宋体"/>
          <w:b/>
          <w:color w:val="B8232F"/>
          <w:sz w:val="24"/>
        </w:rPr>
        <w:t>（城市起源理论）</w:t>
      </w:r>
      <w:r>
        <w:rPr>
          <w:rFonts w:ascii="宋体" w:hAnsi="宋体" w:eastAsia="宋体"/>
          <w:color w:val="1A202C"/>
          <w:sz w:val="24"/>
        </w:rPr>
        <w:t>提出「城市起源理论」（Theory of City Origin），从根源上解释城市作为复杂系统的演化机制。</w:t>
      </w:r>
    </w:p>
    <w:p>
      <w:pPr>
        <w:spacing w:before="360" w:after="240"/>
      </w:pPr>
      <w:r>
        <w:rPr>
          <w:rFonts w:ascii="黑体" w:hAnsi="黑体" w:eastAsia="黑体"/>
          <w:b/>
          <w:color w:val="B8232F"/>
          <w:sz w:val="32"/>
        </w:rPr>
        <w:t xml:space="preserve">4.2  </w:t>
      </w:r>
      <w:r>
        <w:rPr>
          <w:rFonts w:ascii="黑体" w:hAnsi="黑体" w:eastAsia="黑体"/>
          <w:b/>
          <w:color w:val="1E3A5F"/>
          <w:sz w:val="32"/>
        </w:rPr>
        <w:t>ISUI 6 维 18 子项详解</w:t>
      </w:r>
    </w:p>
    <w:p>
      <w:pPr>
        <w:spacing w:before="280" w:after="160"/>
      </w:pPr>
      <w:r>
        <w:rPr>
          <w:rFonts w:ascii="黑体" w:hAnsi="黑体" w:eastAsia="黑体"/>
          <w:b/>
          <w:color w:val="B8232F"/>
          <w:sz w:val="28"/>
        </w:rPr>
        <w:t>4.2.1 6 个一级维度</w:t>
      </w:r>
    </w:p>
    <w:p>
      <w:pPr>
        <w:spacing w:after="120" w:line="384" w:lineRule="auto"/>
        <w:ind w:firstLine="480"/>
      </w:pPr>
      <w:r>
        <w:rPr>
          <w:rFonts w:ascii="宋体" w:hAnsi="宋体" w:eastAsia="宋体"/>
          <w:color w:val="1A202C"/>
          <w:sz w:val="24"/>
        </w:rPr>
        <w:t>ISUI 智慧城市指数包括 6 个一级维度，每个维度对应智慧城市的一个核心领域：</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维度代号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中文名</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英文名</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评估对象</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智慧基础设施</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Intelligent Infrastructure</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5G/物联网/政务云等数字底座</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智慧治理</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Intelligent Governance</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政务数字化、政策制定能力</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智慧经济</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Intelligent Economy</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数字经济、创新创业、营商环境</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I4</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智慧人民</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Intelligent People</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数字素养、教育水平、参与度</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智慧环境</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Intelligent Environment</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生态可持续性、环境治理</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I6</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智慧机动</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Intelligent Mobility</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智慧交通、物流、出行</w:t>
            </w:r>
          </w:p>
        </w:tc>
      </w:tr>
    </w:tbl>
    <w:p/>
    <w:p>
      <w:pPr>
        <w:spacing w:before="280" w:after="160"/>
      </w:pPr>
      <w:r>
        <w:rPr>
          <w:rFonts w:ascii="黑体" w:hAnsi="黑体" w:eastAsia="黑体"/>
          <w:b/>
          <w:color w:val="B8232F"/>
          <w:sz w:val="28"/>
        </w:rPr>
        <w:t>4.2.2 各维度的具体子项</w:t>
      </w:r>
    </w:p>
    <w:p>
      <w:pPr>
        <w:spacing w:before="200" w:after="100"/>
      </w:pPr>
      <w:r>
        <w:rPr>
          <w:rFonts w:ascii="黑体" w:hAnsi="黑体" w:eastAsia="黑体"/>
          <w:b/>
          <w:color w:val="1E3A5F"/>
          <w:sz w:val="24"/>
        </w:rPr>
        <w:t>I1 智慧基础设施（3 子项）</w:t>
      </w:r>
    </w:p>
    <w:p>
      <w:pPr>
        <w:spacing w:after="80"/>
        <w:ind w:left="480"/>
      </w:pPr>
      <w:r>
        <w:rPr>
          <w:rFonts w:ascii="宋体" w:hAnsi="宋体" w:eastAsia="宋体"/>
          <w:b/>
          <w:color w:val="C9A063"/>
          <w:sz w:val="24"/>
        </w:rPr>
        <w:t xml:space="preserve">▪ </w:t>
      </w:r>
      <w:r>
        <w:rPr>
          <w:rFonts w:ascii="宋体" w:hAnsi="宋体" w:eastAsia="宋体"/>
          <w:color w:val="1A202C"/>
          <w:sz w:val="24"/>
        </w:rPr>
        <w:t>I1.1 数字基础设施投入水平（5G 覆盖率、政务云带宽等）</w:t>
      </w:r>
    </w:p>
    <w:p>
      <w:pPr>
        <w:spacing w:after="80"/>
        <w:ind w:left="480"/>
      </w:pPr>
      <w:r>
        <w:rPr>
          <w:rFonts w:ascii="宋体" w:hAnsi="宋体" w:eastAsia="宋体"/>
          <w:b/>
          <w:color w:val="C9A063"/>
          <w:sz w:val="24"/>
        </w:rPr>
        <w:t xml:space="preserve">▪ </w:t>
      </w:r>
      <w:r>
        <w:rPr>
          <w:rFonts w:ascii="宋体" w:hAnsi="宋体" w:eastAsia="宋体"/>
          <w:color w:val="1A202C"/>
          <w:sz w:val="24"/>
        </w:rPr>
        <w:t>I1.2 物联网感知设备密度（每平方公里传感器数量）</w:t>
      </w:r>
    </w:p>
    <w:p>
      <w:pPr>
        <w:spacing w:after="80"/>
        <w:ind w:left="480"/>
      </w:pPr>
      <w:r>
        <w:rPr>
          <w:rFonts w:ascii="宋体" w:hAnsi="宋体" w:eastAsia="宋体"/>
          <w:b/>
          <w:color w:val="C9A063"/>
          <w:sz w:val="24"/>
        </w:rPr>
        <w:t xml:space="preserve">▪ </w:t>
      </w:r>
      <w:r>
        <w:rPr>
          <w:rFonts w:ascii="宋体" w:hAnsi="宋体" w:eastAsia="宋体"/>
          <w:color w:val="1A202C"/>
          <w:sz w:val="24"/>
        </w:rPr>
        <w:t>I1.3 数据中台成熟度（数据接入部门数、日数据交换量）</w:t>
      </w:r>
    </w:p>
    <w:p>
      <w:pPr>
        <w:spacing w:before="200" w:after="100"/>
      </w:pPr>
      <w:r>
        <w:rPr>
          <w:rFonts w:ascii="黑体" w:hAnsi="黑体" w:eastAsia="黑体"/>
          <w:b/>
          <w:color w:val="1E3A5F"/>
          <w:sz w:val="24"/>
        </w:rPr>
        <w:t>I2 智慧治理（3 子项）</w:t>
      </w:r>
    </w:p>
    <w:p>
      <w:pPr>
        <w:spacing w:after="80"/>
        <w:ind w:left="480"/>
      </w:pPr>
      <w:r>
        <w:rPr>
          <w:rFonts w:ascii="宋体" w:hAnsi="宋体" w:eastAsia="宋体"/>
          <w:b/>
          <w:color w:val="C9A063"/>
          <w:sz w:val="24"/>
        </w:rPr>
        <w:t xml:space="preserve">▪ </w:t>
      </w:r>
      <w:r>
        <w:rPr>
          <w:rFonts w:ascii="宋体" w:hAnsi="宋体" w:eastAsia="宋体"/>
          <w:color w:val="1A202C"/>
          <w:sz w:val="24"/>
        </w:rPr>
        <w:t>I2.1 一网通办成熟度（政务事项在线办率）</w:t>
      </w:r>
    </w:p>
    <w:p>
      <w:pPr>
        <w:spacing w:after="80"/>
        <w:ind w:left="480"/>
      </w:pPr>
      <w:r>
        <w:rPr>
          <w:rFonts w:ascii="宋体" w:hAnsi="宋体" w:eastAsia="宋体"/>
          <w:b/>
          <w:color w:val="C9A063"/>
          <w:sz w:val="24"/>
        </w:rPr>
        <w:t xml:space="preserve">▪ </w:t>
      </w:r>
      <w:r>
        <w:rPr>
          <w:rFonts w:ascii="宋体" w:hAnsi="宋体" w:eastAsia="宋体"/>
          <w:color w:val="1A202C"/>
          <w:sz w:val="24"/>
        </w:rPr>
        <w:t>I2.2 一网统管覆盖度（城市运行监测覆盖区域）</w:t>
      </w:r>
    </w:p>
    <w:p>
      <w:pPr>
        <w:spacing w:after="80"/>
        <w:ind w:left="480"/>
      </w:pPr>
      <w:r>
        <w:rPr>
          <w:rFonts w:ascii="宋体" w:hAnsi="宋体" w:eastAsia="宋体"/>
          <w:b/>
          <w:color w:val="C9A063"/>
          <w:sz w:val="24"/>
        </w:rPr>
        <w:t xml:space="preserve">▪ </w:t>
      </w:r>
      <w:r>
        <w:rPr>
          <w:rFonts w:ascii="宋体" w:hAnsi="宋体" w:eastAsia="宋体"/>
          <w:color w:val="1A202C"/>
          <w:sz w:val="24"/>
        </w:rPr>
        <w:t>I2.3 AI 智能决策应用深度（智慧交通、医疗、应急等场景）</w:t>
      </w:r>
    </w:p>
    <w:p>
      <w:pPr>
        <w:spacing w:before="200" w:after="100"/>
      </w:pPr>
      <w:r>
        <w:rPr>
          <w:rFonts w:ascii="黑体" w:hAnsi="黑体" w:eastAsia="黑体"/>
          <w:b/>
          <w:color w:val="1E3A5F"/>
          <w:sz w:val="24"/>
        </w:rPr>
        <w:t>I3 智慧经济（3 子项）</w:t>
      </w:r>
    </w:p>
    <w:p>
      <w:pPr>
        <w:spacing w:after="80"/>
        <w:ind w:left="480"/>
      </w:pPr>
      <w:r>
        <w:rPr>
          <w:rFonts w:ascii="宋体" w:hAnsi="宋体" w:eastAsia="宋体"/>
          <w:b/>
          <w:color w:val="C9A063"/>
          <w:sz w:val="24"/>
        </w:rPr>
        <w:t xml:space="preserve">▪ </w:t>
      </w:r>
      <w:r>
        <w:rPr>
          <w:rFonts w:ascii="宋体" w:hAnsi="宋体" w:eastAsia="宋体"/>
          <w:color w:val="1A202C"/>
          <w:sz w:val="24"/>
        </w:rPr>
        <w:t>I3.1 数字经济占比（数字经济 GDP 占总 GDP 比重）</w:t>
      </w:r>
    </w:p>
    <w:p>
      <w:pPr>
        <w:spacing w:after="80"/>
        <w:ind w:left="480"/>
      </w:pPr>
      <w:r>
        <w:rPr>
          <w:rFonts w:ascii="宋体" w:hAnsi="宋体" w:eastAsia="宋体"/>
          <w:b/>
          <w:color w:val="C9A063"/>
          <w:sz w:val="24"/>
        </w:rPr>
        <w:t xml:space="preserve">▪ </w:t>
      </w:r>
      <w:r>
        <w:rPr>
          <w:rFonts w:ascii="宋体" w:hAnsi="宋体" w:eastAsia="宋体"/>
          <w:color w:val="1A202C"/>
          <w:sz w:val="24"/>
        </w:rPr>
        <w:t>I3.2 创新生态指数（独角兽企业数量、研发投入强度）</w:t>
      </w:r>
    </w:p>
    <w:p>
      <w:pPr>
        <w:spacing w:after="80"/>
        <w:ind w:left="480"/>
      </w:pPr>
      <w:r>
        <w:rPr>
          <w:rFonts w:ascii="宋体" w:hAnsi="宋体" w:eastAsia="宋体"/>
          <w:b/>
          <w:color w:val="C9A063"/>
          <w:sz w:val="24"/>
        </w:rPr>
        <w:t xml:space="preserve">▪ </w:t>
      </w:r>
      <w:r>
        <w:rPr>
          <w:rFonts w:ascii="宋体" w:hAnsi="宋体" w:eastAsia="宋体"/>
          <w:color w:val="1A202C"/>
          <w:sz w:val="24"/>
        </w:rPr>
        <w:t>I3.3 营商环境数字化（企业开办、税务申报等数字化程度）</w:t>
      </w:r>
    </w:p>
    <w:p>
      <w:pPr>
        <w:spacing w:before="200" w:after="100"/>
      </w:pPr>
      <w:r>
        <w:rPr>
          <w:rFonts w:ascii="黑体" w:hAnsi="黑体" w:eastAsia="黑体"/>
          <w:b/>
          <w:color w:val="1E3A5F"/>
          <w:sz w:val="24"/>
        </w:rPr>
        <w:t>I4 智慧人民（3 子项）</w:t>
      </w:r>
    </w:p>
    <w:p>
      <w:pPr>
        <w:spacing w:after="80"/>
        <w:ind w:left="480"/>
      </w:pPr>
      <w:r>
        <w:rPr>
          <w:rFonts w:ascii="宋体" w:hAnsi="宋体" w:eastAsia="宋体"/>
          <w:b/>
          <w:color w:val="C9A063"/>
          <w:sz w:val="24"/>
        </w:rPr>
        <w:t xml:space="preserve">▪ </w:t>
      </w:r>
      <w:r>
        <w:rPr>
          <w:rFonts w:ascii="宋体" w:hAnsi="宋体" w:eastAsia="宋体"/>
          <w:color w:val="1A202C"/>
          <w:sz w:val="24"/>
        </w:rPr>
        <w:t>I4.1 数字素养（市民数字技能普及率）</w:t>
      </w:r>
    </w:p>
    <w:p>
      <w:pPr>
        <w:spacing w:after="80"/>
        <w:ind w:left="480"/>
      </w:pPr>
      <w:r>
        <w:rPr>
          <w:rFonts w:ascii="宋体" w:hAnsi="宋体" w:eastAsia="宋体"/>
          <w:b/>
          <w:color w:val="C9A063"/>
          <w:sz w:val="24"/>
        </w:rPr>
        <w:t xml:space="preserve">▪ </w:t>
      </w:r>
      <w:r>
        <w:rPr>
          <w:rFonts w:ascii="宋体" w:hAnsi="宋体" w:eastAsia="宋体"/>
          <w:color w:val="1A202C"/>
          <w:sz w:val="24"/>
        </w:rPr>
        <w:t>I4.2 教育数字化（智慧学校、终身教育平台）</w:t>
      </w:r>
    </w:p>
    <w:p>
      <w:pPr>
        <w:spacing w:after="80"/>
        <w:ind w:left="480"/>
      </w:pPr>
      <w:r>
        <w:rPr>
          <w:rFonts w:ascii="宋体" w:hAnsi="宋体" w:eastAsia="宋体"/>
          <w:b/>
          <w:color w:val="C9A063"/>
          <w:sz w:val="24"/>
        </w:rPr>
        <w:t xml:space="preserve">▪ </w:t>
      </w:r>
      <w:r>
        <w:rPr>
          <w:rFonts w:ascii="宋体" w:hAnsi="宋体" w:eastAsia="宋体"/>
          <w:color w:val="1A202C"/>
          <w:sz w:val="24"/>
        </w:rPr>
        <w:t>I4.3 公民参与度（数字化政府服务使用率）</w:t>
      </w:r>
    </w:p>
    <w:p>
      <w:pPr>
        <w:spacing w:before="200" w:after="100"/>
      </w:pPr>
      <w:r>
        <w:rPr>
          <w:rFonts w:ascii="黑体" w:hAnsi="黑体" w:eastAsia="黑体"/>
          <w:b/>
          <w:color w:val="1E3A5F"/>
          <w:sz w:val="24"/>
        </w:rPr>
        <w:t>I5 智慧环境（3 子项）</w:t>
      </w:r>
    </w:p>
    <w:p>
      <w:pPr>
        <w:spacing w:after="80"/>
        <w:ind w:left="480"/>
      </w:pPr>
      <w:r>
        <w:rPr>
          <w:rFonts w:ascii="宋体" w:hAnsi="宋体" w:eastAsia="宋体"/>
          <w:b/>
          <w:color w:val="C9A063"/>
          <w:sz w:val="24"/>
        </w:rPr>
        <w:t xml:space="preserve">▪ </w:t>
      </w:r>
      <w:r>
        <w:rPr>
          <w:rFonts w:ascii="宋体" w:hAnsi="宋体" w:eastAsia="宋体"/>
          <w:color w:val="1A202C"/>
          <w:sz w:val="24"/>
        </w:rPr>
        <w:t>I5.1 环境监测智能化（空气、水质、噪声实时监测）</w:t>
      </w:r>
    </w:p>
    <w:p>
      <w:pPr>
        <w:spacing w:after="80"/>
        <w:ind w:left="480"/>
      </w:pPr>
      <w:r>
        <w:rPr>
          <w:rFonts w:ascii="宋体" w:hAnsi="宋体" w:eastAsia="宋体"/>
          <w:b/>
          <w:color w:val="C9A063"/>
          <w:sz w:val="24"/>
        </w:rPr>
        <w:t xml:space="preserve">▪ </w:t>
      </w:r>
      <w:r>
        <w:rPr>
          <w:rFonts w:ascii="宋体" w:hAnsi="宋体" w:eastAsia="宋体"/>
          <w:color w:val="1A202C"/>
          <w:sz w:val="24"/>
        </w:rPr>
        <w:t>I5.2 智慧能源（智能电网、清洁能源占比）</w:t>
      </w:r>
    </w:p>
    <w:p>
      <w:pPr>
        <w:spacing w:after="80"/>
        <w:ind w:left="480"/>
      </w:pPr>
      <w:r>
        <w:rPr>
          <w:rFonts w:ascii="宋体" w:hAnsi="宋体" w:eastAsia="宋体"/>
          <w:b/>
          <w:color w:val="C9A063"/>
          <w:sz w:val="24"/>
        </w:rPr>
        <w:t xml:space="preserve">▪ </w:t>
      </w:r>
      <w:r>
        <w:rPr>
          <w:rFonts w:ascii="宋体" w:hAnsi="宋体" w:eastAsia="宋体"/>
          <w:color w:val="1A202C"/>
          <w:sz w:val="24"/>
        </w:rPr>
        <w:t>I5.3 绿色低碳治理（碳排放数据化管理）</w:t>
      </w:r>
    </w:p>
    <w:p>
      <w:pPr>
        <w:spacing w:before="200" w:after="100"/>
      </w:pPr>
      <w:r>
        <w:rPr>
          <w:rFonts w:ascii="黑体" w:hAnsi="黑体" w:eastAsia="黑体"/>
          <w:b/>
          <w:color w:val="1E3A5F"/>
          <w:sz w:val="24"/>
        </w:rPr>
        <w:t>I6 智慧机动（3 子项）</w:t>
      </w:r>
    </w:p>
    <w:p>
      <w:pPr>
        <w:spacing w:after="80"/>
        <w:ind w:left="480"/>
      </w:pPr>
      <w:r>
        <w:rPr>
          <w:rFonts w:ascii="宋体" w:hAnsi="宋体" w:eastAsia="宋体"/>
          <w:b/>
          <w:color w:val="C9A063"/>
          <w:sz w:val="24"/>
        </w:rPr>
        <w:t xml:space="preserve">▪ </w:t>
      </w:r>
      <w:r>
        <w:rPr>
          <w:rFonts w:ascii="宋体" w:hAnsi="宋体" w:eastAsia="宋体"/>
          <w:color w:val="1A202C"/>
          <w:sz w:val="24"/>
        </w:rPr>
        <w:t>I6.1 智慧交通（实时路况、智能信号灯）</w:t>
      </w:r>
    </w:p>
    <w:p>
      <w:pPr>
        <w:spacing w:after="80"/>
        <w:ind w:left="480"/>
      </w:pPr>
      <w:r>
        <w:rPr>
          <w:rFonts w:ascii="宋体" w:hAnsi="宋体" w:eastAsia="宋体"/>
          <w:b/>
          <w:color w:val="C9A063"/>
          <w:sz w:val="24"/>
        </w:rPr>
        <w:t xml:space="preserve">▪ </w:t>
      </w:r>
      <w:r>
        <w:rPr>
          <w:rFonts w:ascii="宋体" w:hAnsi="宋体" w:eastAsia="宋体"/>
          <w:color w:val="1A202C"/>
          <w:sz w:val="24"/>
        </w:rPr>
        <w:t>I6.2 智慧物流（无人配送、智能仓储）</w:t>
      </w:r>
    </w:p>
    <w:p>
      <w:pPr>
        <w:spacing w:after="80"/>
        <w:ind w:left="480"/>
      </w:pPr>
      <w:r>
        <w:rPr>
          <w:rFonts w:ascii="宋体" w:hAnsi="宋体" w:eastAsia="宋体"/>
          <w:b/>
          <w:color w:val="C9A063"/>
          <w:sz w:val="24"/>
        </w:rPr>
        <w:t xml:space="preserve">▪ </w:t>
      </w:r>
      <w:r>
        <w:rPr>
          <w:rFonts w:ascii="宋体" w:hAnsi="宋体" w:eastAsia="宋体"/>
          <w:color w:val="1A202C"/>
          <w:sz w:val="24"/>
        </w:rPr>
        <w:t>I6.3 智慧出行（MaaS 平台、共享出行）</w:t>
      </w:r>
    </w:p>
    <w:p>
      <w:pPr>
        <w:spacing w:before="360" w:after="240"/>
      </w:pPr>
      <w:r>
        <w:rPr>
          <w:rFonts w:ascii="黑体" w:hAnsi="黑体" w:eastAsia="黑体"/>
          <w:b/>
          <w:color w:val="B8232F"/>
          <w:sz w:val="32"/>
        </w:rPr>
        <w:t xml:space="preserve">4.3  </w:t>
      </w:r>
      <w:r>
        <w:rPr>
          <w:rFonts w:ascii="黑体" w:hAnsi="黑体" w:eastAsia="黑体"/>
          <w:b/>
          <w:color w:val="1E3A5F"/>
          <w:sz w:val="32"/>
        </w:rPr>
        <w:t>ISUI 与「人民城市」的对应关系</w:t>
      </w:r>
    </w:p>
    <w:p>
      <w:pPr>
        <w:spacing w:after="120" w:line="384" w:lineRule="auto"/>
        <w:ind w:firstLine="480"/>
      </w:pPr>
      <w:r>
        <w:rPr>
          <w:rFonts w:ascii="宋体" w:hAnsi="宋体" w:eastAsia="宋体"/>
          <w:color w:val="1A202C"/>
          <w:sz w:val="24"/>
        </w:rPr>
        <w:t>ISUI 6 维与「人民城市」6 目标之间存在天然的对应关系。这一对应关系，是本论文构建「6×6 桥接矩阵」的基础。</w:t>
      </w:r>
    </w:p>
    <w:p>
      <w:pPr>
        <w:spacing w:before="280" w:after="160"/>
      </w:pPr>
      <w:r>
        <w:rPr>
          <w:rFonts w:ascii="黑体" w:hAnsi="黑体" w:eastAsia="黑体"/>
          <w:b/>
          <w:color w:val="B8232F"/>
          <w:sz w:val="28"/>
        </w:rPr>
        <w:t>4.3.1 高度对应关系（主对应）</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ISUI 维度</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人民城市目标</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对应强度</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对应逻辑</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I1 智慧基础设施</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韧性 + 创新</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基础设施既是创新底座，也是韧性骨架</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I2 智慧治理</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智慧城市</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智慧治理就是智慧城市的核心</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I3 智慧经济</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创新城市</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经济创新驱动城市发展</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I4 智慧人民</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文明 + 宜居</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人民素养支撑文明，参与度支撑宜居</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I5 智慧环境</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美丽城市</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环境可持续性 = 美丽城市核心</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I6 智慧机动</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宜居城市</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便捷出行 = 宜居城市基础</w:t>
            </w:r>
          </w:p>
        </w:tc>
      </w:tr>
    </w:tbl>
    <w:p/>
    <w:p>
      <w:pPr>
        <w:spacing w:before="360" w:after="240"/>
      </w:pPr>
      <w:r>
        <w:rPr>
          <w:rFonts w:ascii="黑体" w:hAnsi="黑体" w:eastAsia="黑体"/>
          <w:b/>
          <w:color w:val="B8232F"/>
          <w:sz w:val="32"/>
        </w:rPr>
        <w:t xml:space="preserve">4.4  </w:t>
      </w:r>
      <w:r>
        <w:rPr>
          <w:rFonts w:ascii="黑体" w:hAnsi="黑体" w:eastAsia="黑体"/>
          <w:b/>
          <w:color w:val="1E3A5F"/>
          <w:sz w:val="32"/>
        </w:rPr>
        <w:t>全球 73 城对标数据</w:t>
      </w:r>
    </w:p>
    <w:p>
      <w:pPr>
        <w:spacing w:before="280" w:after="160"/>
      </w:pPr>
      <w:r>
        <w:rPr>
          <w:rFonts w:ascii="黑体" w:hAnsi="黑体" w:eastAsia="黑体"/>
          <w:b/>
          <w:color w:val="B8232F"/>
          <w:sz w:val="28"/>
        </w:rPr>
        <w:t>4.4.1 排名靠前的代表城市</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排名</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城市</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ISUI 综合得分</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突出维度</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斯德哥尔摩</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88.5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环境 · 治理</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华盛顿</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87.2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治理 · 经济</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巴塞罗那</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86.8</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环境 · 机动</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4</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伦敦</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86.0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经济 · 机动</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东京</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85.4</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机动 · 基础设施</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6</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苏黎世</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85.0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经济 · 治理</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7</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纽约</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84.6</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经济 · 治理</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香港</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84.0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机动 · 基础设施</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首尔</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80.5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治理 · 人民</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北京</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79.0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治理 · 基础设施</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新加坡</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74.0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治理 · 基础设施</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深圳</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71.5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经济 · 治理</w:t>
            </w:r>
          </w:p>
        </w:tc>
      </w:tr>
    </w:tbl>
    <w:p/>
    <w:p>
      <w:pPr>
        <w:spacing w:before="360" w:after="240"/>
      </w:pPr>
      <w:r>
        <w:rPr>
          <w:rFonts w:ascii="黑体" w:hAnsi="黑体" w:eastAsia="黑体"/>
          <w:b/>
          <w:color w:val="B8232F"/>
          <w:sz w:val="32"/>
        </w:rPr>
        <w:t xml:space="preserve">4.5  </w:t>
      </w:r>
      <w:r>
        <w:rPr>
          <w:rFonts w:ascii="黑体" w:hAnsi="黑体" w:eastAsia="黑体"/>
          <w:b/>
          <w:color w:val="1E3A5F"/>
          <w:sz w:val="32"/>
        </w:rPr>
        <w:t>与 IMD、IESE 智慧城市指数的对比</w:t>
      </w:r>
    </w:p>
    <w:p>
      <w:pPr>
        <w:spacing w:after="120" w:line="384" w:lineRule="auto"/>
        <w:ind w:firstLine="480"/>
      </w:pPr>
      <w:r>
        <w:rPr>
          <w:rFonts w:ascii="宋体" w:hAnsi="宋体" w:eastAsia="宋体"/>
          <w:color w:val="1A202C"/>
          <w:sz w:val="24"/>
        </w:rPr>
        <w:t>国际上主流的智慧城市评估体系除了 ISUI 之外，还有 IMD Smart City Index（IMD 智慧城市指数）和 IESE Cities in Motion Index（IESE 城市运动指数）。本节比较三者的异同。</w:t>
      </w:r>
    </w:p>
    <w:tbl>
      <w:tblPr>
        <w:tblW w:type="auto" w:w="0"/>
        <w:tblLayout w:type="fixed"/>
        <w:tblLook w:firstColumn="1" w:firstRow="1" w:lastColumn="0" w:lastRow="0" w:noHBand="0" w:noVBand="1" w:val="04A0"/>
      </w:tblPr>
      <w:tblGrid>
        <w:gridCol w:w="1768"/>
        <w:gridCol w:w="1768"/>
        <w:gridCol w:w="1768"/>
        <w:gridCol w:w="1768"/>
        <w:gridCol w:w="1768"/>
      </w:tblGrid>
      <w:tr>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指数</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发布方</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维度数</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评估城市数</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侧重点</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ISUI</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PolyU SCRI（史文中）</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6</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73</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技术 + 治理</w:t>
            </w:r>
          </w:p>
        </w:tc>
      </w:tr>
      <w:tr>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IMD</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IMD 商学院</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5</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141</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市民感知</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IESE</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IESE 商学院</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9</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183</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全面综合</w:t>
            </w:r>
          </w:p>
        </w:tc>
      </w:tr>
    </w:tbl>
    <w:p/>
    <w:p>
      <w:pPr>
        <w:spacing w:after="120" w:line="384" w:lineRule="auto"/>
        <w:ind w:firstLine="480"/>
      </w:pPr>
      <w:r>
        <w:rPr>
          <w:rFonts w:ascii="宋体" w:hAnsi="宋体" w:eastAsia="宋体"/>
          <w:color w:val="1A202C"/>
          <w:sz w:val="24"/>
        </w:rPr>
        <w:t>ISUI 相比之下具有以下优势：</w:t>
      </w:r>
    </w:p>
    <w:p>
      <w:pPr>
        <w:spacing w:after="80"/>
        <w:ind w:left="480"/>
      </w:pPr>
      <w:r>
        <w:rPr>
          <w:rFonts w:ascii="宋体" w:hAnsi="宋体" w:eastAsia="宋体"/>
          <w:b/>
          <w:color w:val="C9A063"/>
          <w:sz w:val="24"/>
        </w:rPr>
        <w:t xml:space="preserve">▪ </w:t>
      </w:r>
      <w:r>
        <w:rPr>
          <w:rFonts w:ascii="宋体" w:hAnsi="宋体" w:eastAsia="宋体"/>
          <w:color w:val="1A202C"/>
          <w:sz w:val="24"/>
        </w:rPr>
        <w:t>维度更聚焦（6 维 vs 9 维），便于决策应用</w:t>
      </w:r>
    </w:p>
    <w:p>
      <w:pPr>
        <w:spacing w:after="80"/>
        <w:ind w:left="480"/>
      </w:pPr>
      <w:r>
        <w:rPr>
          <w:rFonts w:ascii="宋体" w:hAnsi="宋体" w:eastAsia="宋体"/>
          <w:b/>
          <w:color w:val="C9A063"/>
          <w:sz w:val="24"/>
        </w:rPr>
        <w:t xml:space="preserve">▪ </w:t>
      </w:r>
      <w:r>
        <w:rPr>
          <w:rFonts w:ascii="宋体" w:hAnsi="宋体" w:eastAsia="宋体"/>
          <w:color w:val="1A202C"/>
          <w:sz w:val="24"/>
        </w:rPr>
        <w:t>技术导向更强，特别适合数字治理场景</w:t>
      </w:r>
    </w:p>
    <w:p>
      <w:pPr>
        <w:spacing w:after="80"/>
        <w:ind w:left="480"/>
      </w:pPr>
      <w:r>
        <w:rPr>
          <w:rFonts w:ascii="宋体" w:hAnsi="宋体" w:eastAsia="宋体"/>
          <w:b/>
          <w:color w:val="C9A063"/>
          <w:sz w:val="24"/>
        </w:rPr>
        <w:t xml:space="preserve">▪ </w:t>
      </w:r>
      <w:r>
        <w:rPr>
          <w:rFonts w:ascii="宋体" w:hAnsi="宋体" w:eastAsia="宋体"/>
          <w:color w:val="1A202C"/>
          <w:sz w:val="24"/>
        </w:rPr>
        <w:t>由亚洲学者主导，更理解东方治理特征</w:t>
      </w:r>
    </w:p>
    <w:p>
      <w:pPr>
        <w:spacing w:after="80"/>
        <w:ind w:left="480"/>
      </w:pPr>
      <w:r>
        <w:rPr>
          <w:rFonts w:ascii="宋体" w:hAnsi="宋体" w:eastAsia="宋体"/>
          <w:b/>
          <w:color w:val="C9A063"/>
          <w:sz w:val="24"/>
        </w:rPr>
        <w:t xml:space="preserve">▪ </w:t>
      </w:r>
      <w:r>
        <w:rPr>
          <w:rFonts w:ascii="宋体" w:hAnsi="宋体" w:eastAsia="宋体"/>
          <w:color w:val="1A202C"/>
          <w:sz w:val="24"/>
        </w:rPr>
        <w:t>与中国「人民城市」理念有天然对应</w:t>
      </w:r>
    </w:p>
    <w:p>
      <w:pPr>
        <w:spacing w:before="360" w:after="240"/>
      </w:pPr>
      <w:r>
        <w:rPr>
          <w:rFonts w:ascii="黑体" w:hAnsi="黑体" w:eastAsia="黑体"/>
          <w:b/>
          <w:color w:val="B8232F"/>
          <w:sz w:val="32"/>
        </w:rPr>
        <w:t xml:space="preserve">4.6  </w:t>
      </w:r>
      <w:r>
        <w:rPr>
          <w:rFonts w:ascii="黑体" w:hAnsi="黑体" w:eastAsia="黑体"/>
          <w:b/>
          <w:color w:val="1E3A5F"/>
          <w:sz w:val="32"/>
        </w:rPr>
        <w:t>★ 理论创新点 2：ISUI × 人民城市 6×6 桥接矩阵</w:t>
      </w:r>
    </w:p>
    <w:p>
      <w:pPr>
        <w:spacing w:after="120" w:line="384" w:lineRule="auto"/>
        <w:ind w:firstLine="480"/>
      </w:pPr>
      <w:r>
        <w:rPr>
          <w:rFonts w:ascii="宋体" w:hAnsi="宋体" w:eastAsia="宋体"/>
          <w:color w:val="1A202C"/>
          <w:sz w:val="24"/>
        </w:rPr>
        <w:t>基于以上分析，本研究提出本论文的第二个原创理论：「ISUI × 人民城市 6 目标 6×6 桥接矩阵」（Bridging Matrix）。</w:t>
      </w:r>
    </w:p>
    <w:p>
      <w:pPr>
        <w:spacing w:before="280" w:after="160"/>
      </w:pPr>
      <w:r>
        <w:rPr>
          <w:rFonts w:ascii="黑体" w:hAnsi="黑体" w:eastAsia="黑体"/>
          <w:b/>
          <w:color w:val="B8232F"/>
          <w:sz w:val="28"/>
        </w:rPr>
        <w:t>4.6.1 矩阵构建</w:t>
      </w:r>
    </w:p>
    <w:p>
      <w:pPr>
        <w:spacing w:after="120" w:line="384" w:lineRule="auto"/>
        <w:ind w:firstLine="480"/>
      </w:pPr>
      <w:r>
        <w:rPr>
          <w:rFonts w:ascii="宋体" w:hAnsi="宋体" w:eastAsia="宋体"/>
          <w:color w:val="1A202C"/>
          <w:sz w:val="24"/>
        </w:rPr>
        <w:t>矩阵的横轴为「人民城市」6 大目标（创新、宜居、美丽、韧性、文明、智慧），纵轴为 ISUI 6 大维度（基础设施、治理、经济、人民、环境、机动）。每个单元格记录对应强度（★★★ 强对应 / ★★ 中对应 / ★ 弱对应 / 空白 无对应）。</w:t>
      </w:r>
    </w:p>
    <w:tbl>
      <w:tblPr>
        <w:tblW w:type="auto" w:w="0"/>
        <w:tblLayout w:type="fixed"/>
        <w:tblLook w:firstColumn="1" w:firstRow="1" w:lastColumn="0" w:lastRow="0" w:noHBand="0" w:noVBand="1" w:val="04A0"/>
      </w:tblPr>
      <w:tblGrid>
        <w:gridCol w:w="1263"/>
        <w:gridCol w:w="1263"/>
        <w:gridCol w:w="1263"/>
        <w:gridCol w:w="1263"/>
        <w:gridCol w:w="1263"/>
        <w:gridCol w:w="1263"/>
        <w:gridCol w:w="1263"/>
      </w:tblGrid>
      <w:tr>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ISUI ↓ / 人民城市 →</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🚀创新</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🏘️宜居</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🌱美丽</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🛡️韧性</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🎭文明</w:t>
            </w:r>
          </w:p>
        </w:tc>
        <w:tc>
          <w:tcPr>
            <w:tcW w:type="dxa" w:w="121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🤖智慧</w:t>
            </w:r>
          </w:p>
        </w:tc>
      </w:tr>
      <w:tr>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I1 基础设施</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r>
      <w:tr>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I2 治理</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r>
      <w:tr>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I3 经济</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r>
      <w:tr>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I4 人民</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r>
      <w:tr>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I5 环境</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tcPr>
          <w:p>
            <w:r/>
            <w:r>
              <w:rPr>
                <w:rFonts w:ascii="宋体" w:hAnsi="宋体" w:eastAsia="宋体"/>
                <w:color w:val="1A202C"/>
                <w:sz w:val="21"/>
              </w:rPr>
            </w:r>
          </w:p>
        </w:tc>
      </w:tr>
      <w:tr>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I6 机动</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121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r>
    </w:tbl>
    <w:p/>
    <w:p>
      <w:pPr>
        <w:spacing w:before="280" w:after="160"/>
      </w:pPr>
      <w:r>
        <w:rPr>
          <w:rFonts w:ascii="黑体" w:hAnsi="黑体" w:eastAsia="黑体"/>
          <w:b/>
          <w:color w:val="B8232F"/>
          <w:sz w:val="28"/>
        </w:rPr>
        <w:t>4.6.2 矩阵的学术意义</w:t>
      </w:r>
    </w:p>
    <w:p>
      <w:pPr>
        <w:spacing w:after="120" w:line="384" w:lineRule="auto"/>
        <w:ind w:firstLine="480"/>
      </w:pPr>
      <w:r>
        <w:rPr>
          <w:rFonts w:ascii="宋体" w:hAnsi="宋体" w:eastAsia="宋体"/>
          <w:color w:val="1A202C"/>
          <w:sz w:val="24"/>
        </w:rPr>
        <w:t>6×6 桥接矩阵具有以下学术意义：</w:t>
      </w:r>
    </w:p>
    <w:p>
      <w:pPr>
        <w:spacing w:after="80"/>
        <w:ind w:left="480"/>
      </w:pPr>
      <w:r>
        <w:rPr>
          <w:rFonts w:ascii="宋体" w:hAnsi="宋体" w:eastAsia="宋体"/>
          <w:b/>
          <w:color w:val="B8232F"/>
          <w:sz w:val="24"/>
        </w:rPr>
        <w:t>（桥接性）</w:t>
      </w:r>
      <w:r>
        <w:rPr>
          <w:rFonts w:ascii="宋体" w:hAnsi="宋体" w:eastAsia="宋体"/>
          <w:color w:val="1A202C"/>
          <w:sz w:val="24"/>
        </w:rPr>
        <w:t>首次系统性地桥接「西方智慧城市指数」与「中国人民城市理论」，填补两条学术脉络间的空白。</w:t>
      </w:r>
    </w:p>
    <w:p>
      <w:pPr>
        <w:spacing w:after="80"/>
        <w:ind w:left="480"/>
      </w:pPr>
      <w:r>
        <w:rPr>
          <w:rFonts w:ascii="宋体" w:hAnsi="宋体" w:eastAsia="宋体"/>
          <w:b/>
          <w:color w:val="B8232F"/>
          <w:sz w:val="24"/>
        </w:rPr>
        <w:t>（可操作性）</w:t>
      </w:r>
      <w:r>
        <w:rPr>
          <w:rFonts w:ascii="宋体" w:hAnsi="宋体" w:eastAsia="宋体"/>
          <w:color w:val="1A202C"/>
          <w:sz w:val="24"/>
        </w:rPr>
        <w:t>每个 ISUI 子项都有明确的「人民城市」目标对应，便于实证应用。</w:t>
      </w:r>
    </w:p>
    <w:p>
      <w:pPr>
        <w:spacing w:after="80"/>
        <w:ind w:left="480"/>
      </w:pPr>
      <w:r>
        <w:rPr>
          <w:rFonts w:ascii="宋体" w:hAnsi="宋体" w:eastAsia="宋体"/>
          <w:b/>
          <w:color w:val="B8232F"/>
          <w:sz w:val="24"/>
        </w:rPr>
        <w:t>（可推广性）</w:t>
      </w:r>
      <w:r>
        <w:rPr>
          <w:rFonts w:ascii="宋体" w:hAnsi="宋体" w:eastAsia="宋体"/>
          <w:color w:val="1A202C"/>
          <w:sz w:val="24"/>
        </w:rPr>
        <w:t>矩阵框架可推广至其他国家本土治理理论与全球评估体系的桥接（如美国 Smart Cities Council、欧盟 European Smart Cities）。</w:t>
      </w:r>
    </w:p>
    <w:p>
      <w:pPr>
        <w:spacing w:before="280" w:after="160"/>
      </w:pPr>
      <w:r>
        <w:rPr>
          <w:rFonts w:ascii="黑体" w:hAnsi="黑体" w:eastAsia="黑体"/>
          <w:b/>
          <w:color w:val="B8232F"/>
          <w:sz w:val="28"/>
        </w:rPr>
        <w:t>4.6.3 矩阵的实证应用</w:t>
      </w:r>
    </w:p>
    <w:p>
      <w:pPr>
        <w:spacing w:after="120" w:line="384" w:lineRule="auto"/>
        <w:ind w:firstLine="480"/>
      </w:pPr>
      <w:r>
        <w:rPr>
          <w:rFonts w:ascii="宋体" w:hAnsi="宋体" w:eastAsia="宋体"/>
          <w:color w:val="1A202C"/>
          <w:sz w:val="24"/>
        </w:rPr>
        <w:t>本论文第 8 章将运用 6×6 矩阵开展实证研究，对 10 城进行 ISUI 与「人民城市」双指数评估，并通过回归分析检验双指数的协同效应。预期实证结果（见第 8 章）：ISUI（β=0.62**）、人民城市（β=0.58*）、双指数交互项（β=0.74***）。</w:t>
      </w:r>
    </w:p>
    <w:p>
      <w:r>
        <w:br w:type="page"/>
      </w:r>
    </w:p>
    <w:p>
      <w:pPr>
        <w:spacing w:before="600" w:after="400"/>
        <w:jc w:val="center"/>
      </w:pPr>
      <w:r>
        <w:rPr>
          <w:rFonts w:ascii="黑体" w:hAnsi="黑体" w:eastAsia="黑体"/>
          <w:b/>
          <w:color w:val="1E3A5F"/>
          <w:sz w:val="44"/>
        </w:rPr>
        <w:t>第 5 章</w:t>
      </w:r>
    </w:p>
    <w:p>
      <w:pPr>
        <w:spacing w:before="600" w:after="400"/>
        <w:jc w:val="center"/>
      </w:pPr>
      <w:r>
        <w:rPr>
          <w:rFonts w:ascii="黑体" w:hAnsi="黑体" w:eastAsia="黑体"/>
          <w:b/>
          <w:color w:val="1E3A5F"/>
          <w:sz w:val="44"/>
        </w:rPr>
        <w:t>18 杠杆系统动力学模型的构建</w:t>
      </w:r>
    </w:p>
    <w:p>
      <w:pPr>
        <w:spacing w:after="120" w:line="384" w:lineRule="auto"/>
        <w:ind w:firstLine="480"/>
      </w:pPr>
      <w:r>
        <w:rPr>
          <w:rFonts w:ascii="宋体" w:hAnsi="宋体" w:eastAsia="宋体"/>
          <w:color w:val="1A202C"/>
          <w:sz w:val="24"/>
        </w:rPr>
        <w:t>本章详细介绍本论文的核心方法论创新——「18 杠杆 × 4 反馈环 × 5/15/225 三级指标」治理决策模型的构建过程。这一模型是 En-ROADS 系统动力学方法本土化的成果，是本研究的「方法论支柱」。</w:t>
      </w:r>
    </w:p>
    <w:p>
      <w:pPr>
        <w:spacing w:before="360" w:after="240"/>
      </w:pPr>
      <w:r>
        <w:rPr>
          <w:rFonts w:ascii="黑体" w:hAnsi="黑体" w:eastAsia="黑体"/>
          <w:b/>
          <w:color w:val="B8232F"/>
          <w:sz w:val="32"/>
        </w:rPr>
        <w:t xml:space="preserve">5.1  </w:t>
      </w:r>
      <w:r>
        <w:rPr>
          <w:rFonts w:ascii="黑体" w:hAnsi="黑体" w:eastAsia="黑体"/>
          <w:b/>
          <w:color w:val="1E3A5F"/>
          <w:sz w:val="32"/>
        </w:rPr>
        <w:t>18 杠杆的政策学基础</w:t>
      </w:r>
    </w:p>
    <w:p>
      <w:pPr>
        <w:spacing w:after="120" w:line="384" w:lineRule="auto"/>
        <w:ind w:firstLine="480"/>
      </w:pPr>
      <w:r>
        <w:rPr>
          <w:rFonts w:ascii="宋体" w:hAnsi="宋体" w:eastAsia="宋体"/>
          <w:color w:val="1A202C"/>
          <w:sz w:val="24"/>
        </w:rPr>
        <w:t>18 杠杆的设计遵循「政治锚定—理论支撑—实践对应」三位一体原则。每一个杠杆都对应总书记的特定论述，每一个杠杆都有清晰的理论依据，每一个杠杆都有具体的实践案例。</w:t>
      </w:r>
    </w:p>
    <w:p>
      <w:pPr>
        <w:spacing w:before="280" w:after="160"/>
      </w:pPr>
      <w:r>
        <w:rPr>
          <w:rFonts w:ascii="黑体" w:hAnsi="黑体" w:eastAsia="黑体"/>
          <w:b/>
          <w:color w:val="B8232F"/>
          <w:sz w:val="28"/>
        </w:rPr>
        <w:t>5.1.1 6 大类别的政策学基础</w:t>
      </w:r>
    </w:p>
    <w:p>
      <w:pPr>
        <w:spacing w:after="120" w:line="384" w:lineRule="auto"/>
        <w:ind w:firstLine="480"/>
      </w:pPr>
      <w:r>
        <w:rPr>
          <w:rFonts w:ascii="宋体" w:hAnsi="宋体" w:eastAsia="宋体"/>
          <w:color w:val="1A202C"/>
          <w:sz w:val="24"/>
        </w:rPr>
        <w:t>18 杠杆按 6 大类别组织，6 大类别的设计基于党的二十大报告与中央城市工作会议的「6 目标·5 转变·7 任务」框架：</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类别代号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类别名称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杠杆数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政治依据</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A</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党建引领</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二十届三中全会「健全党组织领导」</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B</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网格管理</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3</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二十届三中全会「纵向到底横向到边」</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C</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城市大脑</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2020 杭州考察「智慧化路径」</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D</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协商共治</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3</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2019 上海考察「聚焦人民群众需求」</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E</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能力建设</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「绣花精细化」 + 干部能力培训</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F</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场景服务</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3</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2025.07 中央城市工作会议「韧性嵌入」</w:t>
            </w:r>
          </w:p>
        </w:tc>
      </w:tr>
    </w:tbl>
    <w:p/>
    <w:p>
      <w:pPr>
        <w:spacing w:before="280" w:after="160"/>
      </w:pPr>
      <w:r>
        <w:rPr>
          <w:rFonts w:ascii="黑体" w:hAnsi="黑体" w:eastAsia="黑体"/>
          <w:b/>
          <w:color w:val="B8232F"/>
          <w:sz w:val="28"/>
        </w:rPr>
        <w:t>5.1.2 18 杠杆完整定义</w:t>
      </w:r>
    </w:p>
    <w:p>
      <w:pPr>
        <w:spacing w:before="200" w:after="100"/>
      </w:pPr>
      <w:r>
        <w:rPr>
          <w:rFonts w:ascii="黑体" w:hAnsi="黑体" w:eastAsia="黑体"/>
          <w:b/>
          <w:color w:val="1E3A5F"/>
          <w:sz w:val="24"/>
        </w:rPr>
        <w:t>A. 党建引领类（3 杠杆）</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编号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杠杆名称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定义</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实证基准</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A1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基层党组织覆盖率</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党组织建在网格上的覆盖广度</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郑州 95%</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A2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党员先锋模范作用</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党员示范岗、责任区建设</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河南年表彰 1.2 万人</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A3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党建+网格深度融合</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三位一体机制成熟度</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「一格一支部」</w:t>
            </w:r>
          </w:p>
        </w:tc>
      </w:tr>
    </w:tbl>
    <w:p/>
    <w:p>
      <w:pPr>
        <w:spacing w:before="200" w:after="100"/>
      </w:pPr>
      <w:r>
        <w:rPr>
          <w:rFonts w:ascii="黑体" w:hAnsi="黑体" w:eastAsia="黑体"/>
          <w:b/>
          <w:color w:val="1E3A5F"/>
          <w:sz w:val="24"/>
        </w:rPr>
        <w:t>B. 网格管理类（3 杠杆）</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编号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杠杆名称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定义</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实证基准</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B1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网格精细化密度</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从 300-500 户到 50-70 户微网格</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郑州 10.7 万微网格</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B2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专职网格员配备</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专职网格员配备率与待遇</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300 户 1 名</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B3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专属网格设置</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重点区域专属网格</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郑州 4,796 个</w:t>
            </w:r>
          </w:p>
        </w:tc>
      </w:tr>
    </w:tbl>
    <w:p/>
    <w:p>
      <w:pPr>
        <w:spacing w:before="200" w:after="100"/>
      </w:pPr>
      <w:r>
        <w:rPr>
          <w:rFonts w:ascii="黑体" w:hAnsi="黑体" w:eastAsia="黑体"/>
          <w:b/>
          <w:color w:val="1E3A5F"/>
          <w:sz w:val="24"/>
        </w:rPr>
        <w:t>C. 城市大脑类（3 杠杆）</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编号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杠杆名称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定义</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实证基准</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C1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数字基础设施投入</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5G/政务云/物联网投入水平</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郑州二期 9.3 亿元</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C2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跨部门数据共享率</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破解数据孤岛程度</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郑州 56 部门 4.2 亿条/日</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C3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AI 智能决策应用</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AI 在治理场景的渗透深度</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郑州 1+16+215 体系</w:t>
            </w:r>
          </w:p>
        </w:tc>
      </w:tr>
    </w:tbl>
    <w:p/>
    <w:p>
      <w:pPr>
        <w:spacing w:before="200" w:after="100"/>
      </w:pPr>
      <w:r>
        <w:rPr>
          <w:rFonts w:ascii="黑体" w:hAnsi="黑体" w:eastAsia="黑体"/>
          <w:b/>
          <w:color w:val="1E3A5F"/>
          <w:sz w:val="24"/>
        </w:rPr>
        <w:t>D. 协商共治类（3 杠杆）</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编号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杠杆名称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定义</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实证基准</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D1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政社协同</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社工 + 志愿者融合机制</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河南 3.5 万社工 + 1400 万志愿者</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D2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政企协同</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红色物业 + PPP 模式</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老旧小区改造</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D3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群众参与治理深度</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议事协商机制完善度</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河南民意会商日 60%</w:t>
            </w:r>
          </w:p>
        </w:tc>
      </w:tr>
    </w:tbl>
    <w:p/>
    <w:p>
      <w:pPr>
        <w:spacing w:before="200" w:after="100"/>
      </w:pPr>
      <w:r>
        <w:rPr>
          <w:rFonts w:ascii="黑体" w:hAnsi="黑体" w:eastAsia="黑体"/>
          <w:b/>
          <w:color w:val="1E3A5F"/>
          <w:sz w:val="24"/>
        </w:rPr>
        <w:t>E. 能力建设类（3 杠杆）</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编号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杠杆名称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定义</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实证基准</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E1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财政资源下沉力度</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基层「三保障」水平</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河南县级 65%</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E2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专业人才下沉</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教师/医生/数字人才下沉</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河南千人下乡</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E3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干部能力培训强度</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数字素养/群众工作培训</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河南 5.2 万人次/年</w:t>
            </w:r>
          </w:p>
        </w:tc>
      </w:tr>
    </w:tbl>
    <w:p/>
    <w:p>
      <w:pPr>
        <w:spacing w:before="200" w:after="100"/>
      </w:pPr>
      <w:r>
        <w:rPr>
          <w:rFonts w:ascii="黑体" w:hAnsi="黑体" w:eastAsia="黑体"/>
          <w:b/>
          <w:color w:val="1E3A5F"/>
          <w:sz w:val="24"/>
        </w:rPr>
        <w:t>F. 场景服务类（3 杠杆）</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编号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杠杆名称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定义</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实证基准</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F1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民生服务智慧化</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医疗/教育/养老智慧化</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郑州智慧停车 22.4 万车位</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F2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一网通办覆盖率</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政务事项网上可办率</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郑州 96.5%</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F3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服务个性化推送</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「政策找人」机制</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郑州政策秒享 12 万企业</w:t>
            </w:r>
          </w:p>
        </w:tc>
      </w:tr>
    </w:tbl>
    <w:p/>
    <w:p>
      <w:pPr>
        <w:spacing w:before="360" w:after="240"/>
      </w:pPr>
      <w:r>
        <w:rPr>
          <w:rFonts w:ascii="黑体" w:hAnsi="黑体" w:eastAsia="黑体"/>
          <w:b/>
          <w:color w:val="B8232F"/>
          <w:sz w:val="32"/>
        </w:rPr>
        <w:t xml:space="preserve">5.2  </w:t>
      </w:r>
      <w:r>
        <w:rPr>
          <w:rFonts w:ascii="黑体" w:hAnsi="黑体" w:eastAsia="黑体"/>
          <w:b/>
          <w:color w:val="1E3A5F"/>
          <w:sz w:val="32"/>
        </w:rPr>
        <w:t>4 反馈环建模</w:t>
      </w:r>
    </w:p>
    <w:p>
      <w:pPr>
        <w:spacing w:after="120" w:line="384" w:lineRule="auto"/>
        <w:ind w:firstLine="480"/>
      </w:pPr>
      <w:r>
        <w:rPr>
          <w:rFonts w:ascii="宋体" w:hAnsi="宋体" w:eastAsia="宋体"/>
          <w:color w:val="1A202C"/>
          <w:sz w:val="24"/>
        </w:rPr>
        <w:t>在 18 杠杆输入端与 5/15/225 指标输出端之间，本研究建立 4 个核心反馈回路，作为传导机制：</w:t>
      </w:r>
    </w:p>
    <w:p>
      <w:pPr>
        <w:spacing w:before="280" w:after="160"/>
      </w:pPr>
      <w:r>
        <w:rPr>
          <w:rFonts w:ascii="黑体" w:hAnsi="黑体" w:eastAsia="黑体"/>
          <w:b/>
          <w:color w:val="B8232F"/>
          <w:sz w:val="28"/>
        </w:rPr>
        <w:t>5.2.1 R1 信任增强环</w:t>
      </w:r>
    </w:p>
    <w:p>
      <w:pPr>
        <w:spacing w:after="120" w:line="384" w:lineRule="auto"/>
        <w:ind w:firstLine="480"/>
      </w:pPr>
      <w:r>
        <w:rPr>
          <w:rFonts w:ascii="宋体" w:hAnsi="宋体" w:eastAsia="宋体"/>
          <w:color w:val="1A202C"/>
          <w:sz w:val="24"/>
        </w:rPr>
        <w:t>R1 信任增强环是最重要的强化回路，反映群众满意度与政府治理之间的良性互动：</w:t>
      </w:r>
    </w:p>
    <w:p>
      <w:pPr>
        <w:spacing w:after="120" w:line="384" w:lineRule="auto"/>
        <w:ind w:firstLine="480"/>
      </w:pPr>
      <w:r>
        <w:rPr>
          <w:rFonts w:ascii="宋体" w:hAnsi="宋体" w:eastAsia="宋体"/>
          <w:color w:val="1A202C"/>
          <w:sz w:val="24"/>
        </w:rPr>
        <w:t>良好治理 → 满意度↑ → 信任度↑ → 参与度↑ → 政策更精准 → 良好治理（闭环增强）</w:t>
      </w:r>
    </w:p>
    <w:p>
      <w:pPr>
        <w:spacing w:after="120" w:line="384" w:lineRule="auto"/>
        <w:ind w:firstLine="480"/>
      </w:pPr>
      <w:r>
        <w:rPr>
          <w:rFonts w:ascii="宋体" w:hAnsi="宋体" w:eastAsia="宋体"/>
          <w:color w:val="1A202C"/>
          <w:sz w:val="24"/>
        </w:rPr>
        <w:t>数学表达：TrustFlywheel = 1 + max(0, GovIndex - 65) / 35 × 0.20</w:t>
      </w:r>
    </w:p>
    <w:p>
      <w:pPr>
        <w:spacing w:after="120" w:line="384" w:lineRule="auto"/>
        <w:ind w:firstLine="480"/>
      </w:pPr>
      <w:r>
        <w:rPr>
          <w:rFonts w:ascii="宋体" w:hAnsi="宋体" w:eastAsia="宋体"/>
          <w:color w:val="1A202C"/>
          <w:sz w:val="24"/>
        </w:rPr>
        <w:t>其物理意义为：当治理水平指数（GovIndex）超过基线 65 时，开始进入信任飞轮区间，最大飞轮系数为 1.20（即可加速 20%）。</w:t>
      </w:r>
    </w:p>
    <w:p>
      <w:pPr>
        <w:spacing w:before="280" w:after="160"/>
      </w:pPr>
      <w:r>
        <w:rPr>
          <w:rFonts w:ascii="黑体" w:hAnsi="黑体" w:eastAsia="黑体"/>
          <w:b/>
          <w:color w:val="B8232F"/>
          <w:sz w:val="28"/>
        </w:rPr>
        <w:t>5.2.2 R2 数据增强环</w:t>
      </w:r>
    </w:p>
    <w:p>
      <w:pPr>
        <w:spacing w:after="120" w:line="384" w:lineRule="auto"/>
        <w:ind w:firstLine="480"/>
      </w:pPr>
      <w:r>
        <w:rPr>
          <w:rFonts w:ascii="宋体" w:hAnsi="宋体" w:eastAsia="宋体"/>
          <w:color w:val="1A202C"/>
          <w:sz w:val="24"/>
        </w:rPr>
        <w:t>R2 数据增强环反映数据采集与决策质量之间的相互促进：</w:t>
      </w:r>
    </w:p>
    <w:p>
      <w:pPr>
        <w:spacing w:after="120" w:line="384" w:lineRule="auto"/>
        <w:ind w:firstLine="480"/>
      </w:pPr>
      <w:r>
        <w:rPr>
          <w:rFonts w:ascii="宋体" w:hAnsi="宋体" w:eastAsia="宋体"/>
          <w:color w:val="1A202C"/>
          <w:sz w:val="24"/>
        </w:rPr>
        <w:t>网格采集↑ → 大脑数据↑ → 决策精度↑ → 治理效果↑ → 网格效率↑（闭环增强）</w:t>
      </w:r>
    </w:p>
    <w:p>
      <w:pPr>
        <w:spacing w:after="120" w:line="384" w:lineRule="auto"/>
        <w:ind w:firstLine="480"/>
      </w:pPr>
      <w:r>
        <w:rPr>
          <w:rFonts w:ascii="宋体" w:hAnsi="宋体" w:eastAsia="宋体"/>
          <w:color w:val="1A202C"/>
          <w:sz w:val="24"/>
        </w:rPr>
        <w:t>数学表达：DataLoop = (C2_DataSharing × B1_GridDensity) / 10000</w:t>
      </w:r>
    </w:p>
    <w:p>
      <w:pPr>
        <w:spacing w:before="280" w:after="160"/>
      </w:pPr>
      <w:r>
        <w:rPr>
          <w:rFonts w:ascii="黑体" w:hAnsi="黑体" w:eastAsia="黑体"/>
          <w:b/>
          <w:color w:val="B8232F"/>
          <w:sz w:val="28"/>
        </w:rPr>
        <w:t>5.2.3 B1 资源约束环</w:t>
      </w:r>
    </w:p>
    <w:p>
      <w:pPr>
        <w:spacing w:after="120" w:line="384" w:lineRule="auto"/>
        <w:ind w:firstLine="480"/>
      </w:pPr>
      <w:r>
        <w:rPr>
          <w:rFonts w:ascii="宋体" w:hAnsi="宋体" w:eastAsia="宋体"/>
          <w:color w:val="1A202C"/>
          <w:sz w:val="24"/>
        </w:rPr>
        <w:t>B1 资源约束环是最重要的平衡回路，反映财政对治理投入的约束：</w:t>
      </w:r>
    </w:p>
    <w:p>
      <w:pPr>
        <w:spacing w:after="120" w:line="384" w:lineRule="auto"/>
        <w:ind w:firstLine="480"/>
      </w:pPr>
      <w:r>
        <w:rPr>
          <w:rFonts w:ascii="宋体" w:hAnsi="宋体" w:eastAsia="宋体"/>
          <w:color w:val="1A202C"/>
          <w:sz w:val="24"/>
        </w:rPr>
        <w:t>治理投入↑ → 财政压力↑ → 投入下降（系统达到饱和）</w:t>
      </w:r>
    </w:p>
    <w:p>
      <w:pPr>
        <w:spacing w:after="120" w:line="384" w:lineRule="auto"/>
        <w:ind w:firstLine="480"/>
      </w:pPr>
      <w:r>
        <w:rPr>
          <w:rFonts w:ascii="宋体" w:hAnsi="宋体" w:eastAsia="宋体"/>
          <w:color w:val="1A202C"/>
          <w:sz w:val="24"/>
        </w:rPr>
        <w:t>数学表达：Saturation = 1 - (GovIndex/100)^2.5 × 0.55</w:t>
      </w:r>
    </w:p>
    <w:p>
      <w:pPr>
        <w:spacing w:before="280" w:after="160"/>
      </w:pPr>
      <w:r>
        <w:rPr>
          <w:rFonts w:ascii="黑体" w:hAnsi="黑体" w:eastAsia="黑体"/>
          <w:b/>
          <w:color w:val="B8232F"/>
          <w:sz w:val="28"/>
        </w:rPr>
        <w:t>5.2.4 B2 能力瓶颈环</w:t>
      </w:r>
    </w:p>
    <w:p>
      <w:pPr>
        <w:spacing w:after="120" w:line="384" w:lineRule="auto"/>
        <w:ind w:firstLine="480"/>
      </w:pPr>
      <w:r>
        <w:rPr>
          <w:rFonts w:ascii="宋体" w:hAnsi="宋体" w:eastAsia="宋体"/>
          <w:color w:val="1A202C"/>
          <w:sz w:val="24"/>
        </w:rPr>
        <w:t>B2 能力瓶颈环反映干部能力对治理任务的承载力约束：</w:t>
      </w:r>
    </w:p>
    <w:p>
      <w:pPr>
        <w:spacing w:after="120" w:line="384" w:lineRule="auto"/>
        <w:ind w:firstLine="480"/>
      </w:pPr>
      <w:r>
        <w:rPr>
          <w:rFonts w:ascii="宋体" w:hAnsi="宋体" w:eastAsia="宋体"/>
          <w:color w:val="1A202C"/>
          <w:sz w:val="24"/>
        </w:rPr>
        <w:t>治理任务↑ → 干部疲惫↑ → 治理能力↓ → 任务积压↑（系统压力增大）</w:t>
      </w:r>
    </w:p>
    <w:p>
      <w:pPr>
        <w:spacing w:before="360" w:after="240"/>
      </w:pPr>
      <w:r>
        <w:rPr>
          <w:rFonts w:ascii="黑体" w:hAnsi="黑体" w:eastAsia="黑体"/>
          <w:b/>
          <w:color w:val="B8232F"/>
          <w:sz w:val="32"/>
        </w:rPr>
        <w:t xml:space="preserve">5.3  </w:t>
      </w:r>
      <w:r>
        <w:rPr>
          <w:rFonts w:ascii="黑体" w:hAnsi="黑体" w:eastAsia="黑体"/>
          <w:b/>
          <w:color w:val="1E3A5F"/>
          <w:sz w:val="32"/>
        </w:rPr>
        <w:t>5/15/225 三级指标体系</w:t>
      </w:r>
    </w:p>
    <w:p>
      <w:pPr>
        <w:spacing w:before="280" w:after="160"/>
      </w:pPr>
      <w:r>
        <w:rPr>
          <w:rFonts w:ascii="黑体" w:hAnsi="黑体" w:eastAsia="黑体"/>
          <w:b/>
          <w:color w:val="B8232F"/>
          <w:sz w:val="28"/>
        </w:rPr>
        <w:t>5.3.1 5 维一级指标</w:t>
      </w:r>
    </w:p>
    <w:p>
      <w:pPr>
        <w:spacing w:after="120" w:line="384" w:lineRule="auto"/>
        <w:ind w:firstLine="480"/>
      </w:pPr>
      <w:r>
        <w:rPr>
          <w:rFonts w:ascii="宋体" w:hAnsi="宋体" w:eastAsia="宋体"/>
          <w:color w:val="1A202C"/>
          <w:sz w:val="24"/>
        </w:rPr>
        <w:t>5 个一级指标对应群众满意度的 5 大维度：</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维度</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名称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权重</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对应「人民城市」目标</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D1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公共服务可及性</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0.25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宜居 + 智慧</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D2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环境居住质量</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0.25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宜居 + 美丽</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D3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政治参与与回应</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0.20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文明</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D4</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经济发展共享</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0.20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创新</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D5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干部作风建设</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0.10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韧性</w:t>
            </w:r>
          </w:p>
        </w:tc>
      </w:tr>
    </w:tbl>
    <w:p/>
    <w:p>
      <w:pPr>
        <w:spacing w:before="280" w:after="160"/>
      </w:pPr>
      <w:r>
        <w:rPr>
          <w:rFonts w:ascii="黑体" w:hAnsi="黑体" w:eastAsia="黑体"/>
          <w:b/>
          <w:color w:val="B8232F"/>
          <w:sz w:val="28"/>
        </w:rPr>
        <w:t>5.3.2 15 个二级指标</w:t>
      </w:r>
    </w:p>
    <w:p>
      <w:pPr>
        <w:spacing w:after="120" w:line="384" w:lineRule="auto"/>
        <w:ind w:firstLine="480"/>
      </w:pPr>
      <w:r>
        <w:rPr>
          <w:rFonts w:ascii="宋体" w:hAnsi="宋体" w:eastAsia="宋体"/>
          <w:color w:val="1A202C"/>
          <w:sz w:val="24"/>
        </w:rPr>
        <w:t>每个一级维度下设 3 个二级指标，共 15 个二级指标。例如 D1 公共服务可及性下设：D1.1 教育服务可及性、D1.2 医疗服务可及性、D1.3 政务服务可及性。</w:t>
      </w:r>
    </w:p>
    <w:p>
      <w:pPr>
        <w:spacing w:before="280" w:after="160"/>
      </w:pPr>
      <w:r>
        <w:rPr>
          <w:rFonts w:ascii="黑体" w:hAnsi="黑体" w:eastAsia="黑体"/>
          <w:b/>
          <w:color w:val="B8232F"/>
          <w:sz w:val="28"/>
        </w:rPr>
        <w:t>5.3.3 225 个三级指标</w:t>
      </w:r>
    </w:p>
    <w:p>
      <w:pPr>
        <w:spacing w:after="120" w:line="384" w:lineRule="auto"/>
        <w:ind w:firstLine="480"/>
      </w:pPr>
      <w:r>
        <w:rPr>
          <w:rFonts w:ascii="宋体" w:hAnsi="宋体" w:eastAsia="宋体"/>
          <w:color w:val="1A202C"/>
          <w:sz w:val="24"/>
        </w:rPr>
        <w:t>每个二级指标下设 15 个三级测评指标，共 5×3×15=225 个三级指标。三级指标已对应到问卷题目，可直接收集数据。</w:t>
      </w:r>
    </w:p>
    <w:p>
      <w:pPr>
        <w:spacing w:before="360" w:after="240"/>
      </w:pPr>
      <w:r>
        <w:rPr>
          <w:rFonts w:ascii="黑体" w:hAnsi="黑体" w:eastAsia="黑体"/>
          <w:b/>
          <w:color w:val="B8232F"/>
          <w:sz w:val="32"/>
        </w:rPr>
        <w:t xml:space="preserve">5.4  </w:t>
      </w:r>
      <w:r>
        <w:rPr>
          <w:rFonts w:ascii="黑体" w:hAnsi="黑体" w:eastAsia="黑体"/>
          <w:b/>
          <w:color w:val="1E3A5F"/>
          <w:sz w:val="32"/>
        </w:rPr>
        <w:t>协同奖励函数 Synergy 推导</w:t>
      </w:r>
    </w:p>
    <w:p>
      <w:pPr>
        <w:spacing w:after="120" w:line="384" w:lineRule="auto"/>
        <w:ind w:firstLine="480"/>
      </w:pPr>
      <w:r>
        <w:rPr>
          <w:rFonts w:ascii="宋体" w:hAnsi="宋体" w:eastAsia="宋体"/>
          <w:color w:val="1A202C"/>
          <w:sz w:val="24"/>
        </w:rPr>
        <w:t>第 3.6 节已介绍 Synergy 函数的形式，本节进一步推导其在本研究模型中的应用。</w:t>
      </w:r>
    </w:p>
    <w:p>
      <w:pPr>
        <w:spacing w:before="280" w:after="160"/>
      </w:pPr>
      <w:r>
        <w:rPr>
          <w:rFonts w:ascii="黑体" w:hAnsi="黑体" w:eastAsia="黑体"/>
          <w:b/>
          <w:color w:val="B8232F"/>
          <w:sz w:val="28"/>
        </w:rPr>
        <w:t>5.4.1 完整 Synergy 方程</w:t>
      </w:r>
    </w:p>
    <w:p>
      <w:pPr>
        <w:spacing w:after="120" w:line="384" w:lineRule="auto"/>
        <w:ind w:firstLine="480"/>
      </w:pPr>
      <w:r>
        <w:rPr>
          <w:rFonts w:ascii="宋体" w:hAnsi="宋体" w:eastAsia="宋体"/>
          <w:color w:val="1A202C"/>
          <w:sz w:val="24"/>
        </w:rPr>
        <w:t>Synergy = (TriMin/100)² × 8 + (TriMin/max(TriAvg,1)) × TriAvg × 0.04</w:t>
      </w:r>
    </w:p>
    <w:p>
      <w:pPr>
        <w:spacing w:after="120" w:line="384" w:lineRule="auto"/>
        <w:ind w:firstLine="480"/>
      </w:pPr>
      <w:r>
        <w:rPr>
          <w:rFonts w:ascii="宋体" w:hAnsi="宋体" w:eastAsia="宋体"/>
          <w:color w:val="1A202C"/>
          <w:sz w:val="24"/>
        </w:rPr>
        <w:t>其中：</w:t>
      </w:r>
    </w:p>
    <w:p>
      <w:pPr>
        <w:spacing w:after="80"/>
        <w:ind w:left="480"/>
      </w:pPr>
      <w:r>
        <w:rPr>
          <w:rFonts w:ascii="宋体" w:hAnsi="宋体" w:eastAsia="宋体"/>
          <w:b/>
          <w:color w:val="C9A063"/>
          <w:sz w:val="24"/>
        </w:rPr>
        <w:t xml:space="preserve">▪ </w:t>
      </w:r>
      <w:r>
        <w:rPr>
          <w:rFonts w:ascii="宋体" w:hAnsi="宋体" w:eastAsia="宋体"/>
          <w:color w:val="1A202C"/>
          <w:sz w:val="24"/>
        </w:rPr>
        <w:t>TriMin = min(Score_Party, Score_Grid, Score_Brain)</w:t>
      </w:r>
    </w:p>
    <w:p>
      <w:pPr>
        <w:spacing w:after="80"/>
        <w:ind w:left="480"/>
      </w:pPr>
      <w:r>
        <w:rPr>
          <w:rFonts w:ascii="宋体" w:hAnsi="宋体" w:eastAsia="宋体"/>
          <w:b/>
          <w:color w:val="C9A063"/>
          <w:sz w:val="24"/>
        </w:rPr>
        <w:t xml:space="preserve">▪ </w:t>
      </w:r>
      <w:r>
        <w:rPr>
          <w:rFonts w:ascii="宋体" w:hAnsi="宋体" w:eastAsia="宋体"/>
          <w:color w:val="1A202C"/>
          <w:sz w:val="24"/>
        </w:rPr>
        <w:t>TriAvg = (Score_Party + Score_Grid + Score_Brain) / 3</w:t>
      </w:r>
    </w:p>
    <w:p>
      <w:pPr>
        <w:spacing w:after="80"/>
        <w:ind w:left="480"/>
      </w:pPr>
      <w:r>
        <w:rPr>
          <w:rFonts w:ascii="宋体" w:hAnsi="宋体" w:eastAsia="宋体"/>
          <w:b/>
          <w:color w:val="C9A063"/>
          <w:sz w:val="24"/>
        </w:rPr>
        <w:t xml:space="preserve">▪ </w:t>
      </w:r>
      <w:r>
        <w:rPr>
          <w:rFonts w:ascii="宋体" w:hAnsi="宋体" w:eastAsia="宋体"/>
          <w:color w:val="1A202C"/>
          <w:sz w:val="24"/>
        </w:rPr>
        <w:t>Score_Party = (A1 + A2 + A3) / 3</w:t>
      </w:r>
    </w:p>
    <w:p>
      <w:pPr>
        <w:spacing w:after="80"/>
        <w:ind w:left="480"/>
      </w:pPr>
      <w:r>
        <w:rPr>
          <w:rFonts w:ascii="宋体" w:hAnsi="宋体" w:eastAsia="宋体"/>
          <w:b/>
          <w:color w:val="C9A063"/>
          <w:sz w:val="24"/>
        </w:rPr>
        <w:t xml:space="preserve">▪ </w:t>
      </w:r>
      <w:r>
        <w:rPr>
          <w:rFonts w:ascii="宋体" w:hAnsi="宋体" w:eastAsia="宋体"/>
          <w:color w:val="1A202C"/>
          <w:sz w:val="24"/>
        </w:rPr>
        <w:t>Score_Grid = (B1 + B2 + B3) / 3</w:t>
      </w:r>
    </w:p>
    <w:p>
      <w:pPr>
        <w:spacing w:after="80"/>
        <w:ind w:left="480"/>
      </w:pPr>
      <w:r>
        <w:rPr>
          <w:rFonts w:ascii="宋体" w:hAnsi="宋体" w:eastAsia="宋体"/>
          <w:b/>
          <w:color w:val="C9A063"/>
          <w:sz w:val="24"/>
        </w:rPr>
        <w:t xml:space="preserve">▪ </w:t>
      </w:r>
      <w:r>
        <w:rPr>
          <w:rFonts w:ascii="宋体" w:hAnsi="宋体" w:eastAsia="宋体"/>
          <w:color w:val="1A202C"/>
          <w:sz w:val="24"/>
        </w:rPr>
        <w:t>Score_Brain = (C1 + C2 + C3) / 3</w:t>
      </w:r>
    </w:p>
    <w:p>
      <w:pPr>
        <w:spacing w:before="280" w:after="160"/>
      </w:pPr>
      <w:r>
        <w:rPr>
          <w:rFonts w:ascii="黑体" w:hAnsi="黑体" w:eastAsia="黑体"/>
          <w:b/>
          <w:color w:val="B8232F"/>
          <w:sz w:val="28"/>
        </w:rPr>
        <w:t>5.4.2 Synergy 的物理意义再阐释</w:t>
      </w:r>
    </w:p>
    <w:p>
      <w:pPr>
        <w:spacing w:after="120" w:line="384" w:lineRule="auto"/>
        <w:ind w:firstLine="480"/>
      </w:pPr>
      <w:r>
        <w:rPr>
          <w:rFonts w:ascii="宋体" w:hAnsi="宋体" w:eastAsia="宋体"/>
          <w:color w:val="1A202C"/>
          <w:sz w:val="24"/>
        </w:rPr>
        <w:t>黄金三角的物理意义可以从 4 个角度理解：</w:t>
      </w:r>
    </w:p>
    <w:p>
      <w:pPr>
        <w:spacing w:after="80"/>
        <w:ind w:left="480"/>
      </w:pPr>
      <w:r>
        <w:rPr>
          <w:rFonts w:ascii="宋体" w:hAnsi="宋体" w:eastAsia="宋体"/>
          <w:b/>
          <w:color w:val="B8232F"/>
          <w:sz w:val="24"/>
        </w:rPr>
        <w:t>（短板决定上限）</w:t>
      </w:r>
      <w:r>
        <w:rPr>
          <w:rFonts w:ascii="宋体" w:hAnsi="宋体" w:eastAsia="宋体"/>
          <w:color w:val="1A202C"/>
          <w:sz w:val="24"/>
        </w:rPr>
        <w:t>三大要素中的「最短板」决定协同潜力上限</w:t>
      </w:r>
    </w:p>
    <w:p>
      <w:pPr>
        <w:spacing w:after="80"/>
        <w:ind w:left="480"/>
      </w:pPr>
      <w:r>
        <w:rPr>
          <w:rFonts w:ascii="宋体" w:hAnsi="宋体" w:eastAsia="宋体"/>
          <w:b/>
          <w:color w:val="B8232F"/>
          <w:sz w:val="24"/>
        </w:rPr>
        <w:t>（均衡产生倍增）</w:t>
      </w:r>
      <w:r>
        <w:rPr>
          <w:rFonts w:ascii="宋体" w:hAnsi="宋体" w:eastAsia="宋体"/>
          <w:color w:val="1A202C"/>
          <w:sz w:val="24"/>
        </w:rPr>
        <w:t>三大要素越均衡，倍增效应越显著</w:t>
      </w:r>
    </w:p>
    <w:p>
      <w:pPr>
        <w:spacing w:after="80"/>
        <w:ind w:left="480"/>
      </w:pPr>
      <w:r>
        <w:rPr>
          <w:rFonts w:ascii="宋体" w:hAnsi="宋体" w:eastAsia="宋体"/>
          <w:b/>
          <w:color w:val="B8232F"/>
          <w:sz w:val="24"/>
        </w:rPr>
        <w:t>（稀缺资源更要均衡）</w:t>
      </w:r>
      <w:r>
        <w:rPr>
          <w:rFonts w:ascii="宋体" w:hAnsi="宋体" w:eastAsia="宋体"/>
          <w:color w:val="1A202C"/>
          <w:sz w:val="24"/>
        </w:rPr>
        <w:t>在资源约束下，平均分配的边际收益更大</w:t>
      </w:r>
    </w:p>
    <w:p>
      <w:pPr>
        <w:spacing w:after="80"/>
        <w:ind w:left="480"/>
      </w:pPr>
      <w:r>
        <w:rPr>
          <w:rFonts w:ascii="宋体" w:hAnsi="宋体" w:eastAsia="宋体"/>
          <w:b/>
          <w:color w:val="B8232F"/>
          <w:sz w:val="24"/>
        </w:rPr>
        <w:t>（卓越追求全面卓越）</w:t>
      </w:r>
      <w:r>
        <w:rPr>
          <w:rFonts w:ascii="宋体" w:hAnsi="宋体" w:eastAsia="宋体"/>
          <w:color w:val="1A202C"/>
          <w:sz w:val="24"/>
        </w:rPr>
        <w:t>只有三个支柱全部达到 80+，才能进入「卓越区间」</w:t>
      </w:r>
    </w:p>
    <w:p>
      <w:pPr>
        <w:spacing w:before="360" w:after="240"/>
      </w:pPr>
      <w:r>
        <w:rPr>
          <w:rFonts w:ascii="黑体" w:hAnsi="黑体" w:eastAsia="黑体"/>
          <w:b/>
          <w:color w:val="B8232F"/>
          <w:sz w:val="32"/>
        </w:rPr>
        <w:t xml:space="preserve">5.5  </w:t>
      </w:r>
      <w:r>
        <w:rPr>
          <w:rFonts w:ascii="黑体" w:hAnsi="黑体" w:eastAsia="黑体"/>
          <w:b/>
          <w:color w:val="1E3A5F"/>
          <w:sz w:val="32"/>
        </w:rPr>
        <w:t>模型参数设定与校准</w:t>
      </w:r>
    </w:p>
    <w:p>
      <w:pPr>
        <w:spacing w:before="280" w:after="160"/>
      </w:pPr>
      <w:r>
        <w:rPr>
          <w:rFonts w:ascii="黑体" w:hAnsi="黑体" w:eastAsia="黑体"/>
          <w:b/>
          <w:color w:val="B8232F"/>
          <w:sz w:val="28"/>
        </w:rPr>
        <w:t>5.5.1 全部参数清单</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参数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符号</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取值</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依据</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初始基线</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Stock₀</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65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河南调研基线</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时滞</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τ</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1.5 年</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一届政府学习周期</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饱和指数</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α</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经验校准</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饱和系数</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k_s</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0.55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经验校准</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信任飞轮系数</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k_t</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0.20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经验校准</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飞轮起步线</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θ</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65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与基线一致</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仿真年限</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T</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2025-2050（25 年）</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覆盖 5 届政府</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上限</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Max</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98</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理论上限保留 2 分</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协同系数 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k_s1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8</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经验校准</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协同系数 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k_s2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0.04</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经验校准</w:t>
            </w:r>
          </w:p>
        </w:tc>
      </w:tr>
    </w:tbl>
    <w:p/>
    <w:p>
      <w:pPr>
        <w:spacing w:before="280" w:after="160"/>
      </w:pPr>
      <w:r>
        <w:rPr>
          <w:rFonts w:ascii="黑体" w:hAnsi="黑体" w:eastAsia="黑体"/>
          <w:b/>
          <w:color w:val="B8232F"/>
          <w:sz w:val="28"/>
        </w:rPr>
        <w:t>5.5.2 校准方法</w:t>
      </w:r>
    </w:p>
    <w:p>
      <w:pPr>
        <w:spacing w:after="120" w:line="384" w:lineRule="auto"/>
        <w:ind w:firstLine="480"/>
      </w:pPr>
      <w:r>
        <w:rPr>
          <w:rFonts w:ascii="宋体" w:hAnsi="宋体" w:eastAsia="宋体"/>
          <w:color w:val="1A202C"/>
          <w:sz w:val="24"/>
        </w:rPr>
        <w:t>参数校准采用「目标拟合法」（Target Fitting）：以郑州 2020-2024 年实际治理水平数据为目标，反向调整模型参数，直至模型仿真结果与实际数据的均方根误差（RMSE）最小化。</w:t>
      </w:r>
    </w:p>
    <w:p>
      <w:pPr>
        <w:spacing w:before="360" w:after="240"/>
      </w:pPr>
      <w:r>
        <w:rPr>
          <w:rFonts w:ascii="黑体" w:hAnsi="黑体" w:eastAsia="黑体"/>
          <w:b/>
          <w:color w:val="B8232F"/>
          <w:sz w:val="32"/>
        </w:rPr>
        <w:t xml:space="preserve">5.6  </w:t>
      </w:r>
      <w:r>
        <w:rPr>
          <w:rFonts w:ascii="黑体" w:hAnsi="黑体" w:eastAsia="黑体"/>
          <w:b/>
          <w:color w:val="1E3A5F"/>
          <w:sz w:val="32"/>
        </w:rPr>
        <w:t>仿真程序架构</w:t>
      </w:r>
    </w:p>
    <w:p>
      <w:pPr>
        <w:spacing w:before="280" w:after="160"/>
      </w:pPr>
      <w:r>
        <w:rPr>
          <w:rFonts w:ascii="黑体" w:hAnsi="黑体" w:eastAsia="黑体"/>
          <w:b/>
          <w:color w:val="B8232F"/>
          <w:sz w:val="28"/>
        </w:rPr>
        <w:t>5.6.1 技术栈选择</w:t>
      </w:r>
    </w:p>
    <w:p>
      <w:pPr>
        <w:spacing w:after="120" w:line="384" w:lineRule="auto"/>
        <w:ind w:firstLine="480"/>
      </w:pPr>
      <w:r>
        <w:rPr>
          <w:rFonts w:ascii="宋体" w:hAnsi="宋体" w:eastAsia="宋体"/>
          <w:color w:val="1A202C"/>
          <w:sz w:val="24"/>
        </w:rPr>
        <w:t>本研究的仿真程序采用 JavaScript + Chart.js 技术栈，原因如下：</w:t>
      </w:r>
    </w:p>
    <w:p>
      <w:pPr>
        <w:spacing w:after="80"/>
        <w:ind w:left="480"/>
      </w:pPr>
      <w:r>
        <w:rPr>
          <w:rFonts w:ascii="宋体" w:hAnsi="宋体" w:eastAsia="宋体"/>
          <w:b/>
          <w:color w:val="C9A063"/>
          <w:sz w:val="24"/>
        </w:rPr>
        <w:t xml:space="preserve">▪ </w:t>
      </w:r>
      <w:r>
        <w:rPr>
          <w:rFonts w:ascii="宋体" w:hAnsi="宋体" w:eastAsia="宋体"/>
          <w:color w:val="1A202C"/>
          <w:sz w:val="24"/>
        </w:rPr>
        <w:t>跨平台兼容：可在任何现代浏览器运行</w:t>
      </w:r>
    </w:p>
    <w:p>
      <w:pPr>
        <w:spacing w:after="80"/>
        <w:ind w:left="480"/>
      </w:pPr>
      <w:r>
        <w:rPr>
          <w:rFonts w:ascii="宋体" w:hAnsi="宋体" w:eastAsia="宋体"/>
          <w:b/>
          <w:color w:val="C9A063"/>
          <w:sz w:val="24"/>
        </w:rPr>
        <w:t xml:space="preserve">▪ </w:t>
      </w:r>
      <w:r>
        <w:rPr>
          <w:rFonts w:ascii="宋体" w:hAnsi="宋体" w:eastAsia="宋体"/>
          <w:color w:val="1A202C"/>
          <w:sz w:val="24"/>
        </w:rPr>
        <w:t>免安装：直接打开 HTML 文件即可使用</w:t>
      </w:r>
    </w:p>
    <w:p>
      <w:pPr>
        <w:spacing w:after="80"/>
        <w:ind w:left="480"/>
      </w:pPr>
      <w:r>
        <w:rPr>
          <w:rFonts w:ascii="宋体" w:hAnsi="宋体" w:eastAsia="宋体"/>
          <w:b/>
          <w:color w:val="C9A063"/>
          <w:sz w:val="24"/>
        </w:rPr>
        <w:t xml:space="preserve">▪ </w:t>
      </w:r>
      <w:r>
        <w:rPr>
          <w:rFonts w:ascii="宋体" w:hAnsi="宋体" w:eastAsia="宋体"/>
          <w:color w:val="1A202C"/>
          <w:sz w:val="24"/>
        </w:rPr>
        <w:t>可视化优秀：Chart.js 4.5.0 提供丰富的图表类型</w:t>
      </w:r>
    </w:p>
    <w:p>
      <w:pPr>
        <w:spacing w:after="80"/>
        <w:ind w:left="480"/>
      </w:pPr>
      <w:r>
        <w:rPr>
          <w:rFonts w:ascii="宋体" w:hAnsi="宋体" w:eastAsia="宋体"/>
          <w:b/>
          <w:color w:val="C9A063"/>
          <w:sz w:val="24"/>
        </w:rPr>
        <w:t xml:space="preserve">▪ </w:t>
      </w:r>
      <w:r>
        <w:rPr>
          <w:rFonts w:ascii="宋体" w:hAnsi="宋体" w:eastAsia="宋体"/>
          <w:color w:val="1A202C"/>
          <w:sz w:val="24"/>
        </w:rPr>
        <w:t>AI 集成：可直接调用 DeepSeek、通义千问、文心一言等国产大模型 API</w:t>
      </w:r>
    </w:p>
    <w:p>
      <w:pPr>
        <w:spacing w:after="80"/>
        <w:ind w:left="480"/>
      </w:pPr>
      <w:r>
        <w:rPr>
          <w:rFonts w:ascii="宋体" w:hAnsi="宋体" w:eastAsia="宋体"/>
          <w:b/>
          <w:color w:val="C9A063"/>
          <w:sz w:val="24"/>
        </w:rPr>
        <w:t xml:space="preserve">▪ </w:t>
      </w:r>
      <w:r>
        <w:rPr>
          <w:rFonts w:ascii="宋体" w:hAnsi="宋体" w:eastAsia="宋体"/>
          <w:color w:val="1A202C"/>
          <w:sz w:val="24"/>
        </w:rPr>
        <w:t>开源：所有代码可自由下载、修改、二次开发</w:t>
      </w:r>
    </w:p>
    <w:p>
      <w:pPr>
        <w:spacing w:before="280" w:after="160"/>
      </w:pPr>
      <w:r>
        <w:rPr>
          <w:rFonts w:ascii="黑体" w:hAnsi="黑体" w:eastAsia="黑体"/>
          <w:b/>
          <w:color w:val="B8232F"/>
          <w:sz w:val="28"/>
        </w:rPr>
        <w:t>5.6.2 程序架构图</w:t>
      </w:r>
    </w:p>
    <w:p>
      <w:pPr>
        <w:spacing w:after="120" w:line="384" w:lineRule="auto"/>
        <w:ind w:firstLine="480"/>
      </w:pPr>
      <w:r>
        <w:rPr>
          <w:rFonts w:ascii="宋体" w:hAnsi="宋体" w:eastAsia="宋体"/>
          <w:color w:val="1A202C"/>
          <w:sz w:val="24"/>
        </w:rPr>
        <w:t>程序架构分为四层：</w:t>
      </w:r>
    </w:p>
    <w:p>
      <w:pPr>
        <w:spacing w:after="80"/>
        <w:ind w:left="480"/>
      </w:pPr>
      <w:r>
        <w:rPr>
          <w:rFonts w:ascii="宋体" w:hAnsi="宋体" w:eastAsia="宋体"/>
          <w:b/>
          <w:color w:val="B8232F"/>
          <w:sz w:val="24"/>
        </w:rPr>
        <w:t>（数据层）</w:t>
      </w:r>
      <w:r>
        <w:rPr>
          <w:rFonts w:ascii="宋体" w:hAnsi="宋体" w:eastAsia="宋体"/>
          <w:color w:val="1A202C"/>
          <w:sz w:val="24"/>
        </w:rPr>
        <w:t>LEVERS 对象（18 杠杆当前值）+ PRESETS 对象（8 个预设情景）</w:t>
      </w:r>
    </w:p>
    <w:p>
      <w:pPr>
        <w:spacing w:after="80"/>
        <w:ind w:left="480"/>
      </w:pPr>
      <w:r>
        <w:rPr>
          <w:rFonts w:ascii="宋体" w:hAnsi="宋体" w:eastAsia="宋体"/>
          <w:b/>
          <w:color w:val="B8232F"/>
          <w:sz w:val="24"/>
        </w:rPr>
        <w:t>（引擎层）</w:t>
      </w:r>
      <w:r>
        <w:rPr>
          <w:rFonts w:ascii="宋体" w:hAnsi="宋体" w:eastAsia="宋体"/>
          <w:color w:val="1A202C"/>
          <w:sz w:val="24"/>
        </w:rPr>
        <w:t>simulateTrajectory() 函数（系统动力学方程组）+ calcISUI()、calcRMC6() 函数</w:t>
      </w:r>
    </w:p>
    <w:p>
      <w:pPr>
        <w:spacing w:after="80"/>
        <w:ind w:left="480"/>
      </w:pPr>
      <w:r>
        <w:rPr>
          <w:rFonts w:ascii="宋体" w:hAnsi="宋体" w:eastAsia="宋体"/>
          <w:b/>
          <w:color w:val="B8232F"/>
          <w:sz w:val="24"/>
        </w:rPr>
        <w:t>（界面层）</w:t>
      </w:r>
      <w:r>
        <w:rPr>
          <w:rFonts w:ascii="宋体" w:hAnsi="宋体" w:eastAsia="宋体"/>
          <w:color w:val="1A202C"/>
          <w:sz w:val="24"/>
        </w:rPr>
        <w:t>18 个滑杆 + 8 张图表（Chart.js）+ 对标基线浮窗</w:t>
      </w:r>
    </w:p>
    <w:p>
      <w:pPr>
        <w:spacing w:after="80"/>
        <w:ind w:left="480"/>
      </w:pPr>
      <w:r>
        <w:rPr>
          <w:rFonts w:ascii="宋体" w:hAnsi="宋体" w:eastAsia="宋体"/>
          <w:b/>
          <w:color w:val="B8232F"/>
          <w:sz w:val="24"/>
        </w:rPr>
        <w:t>（AI 层）</w:t>
      </w:r>
      <w:r>
        <w:rPr>
          <w:rFonts w:ascii="宋体" w:hAnsi="宋体" w:eastAsia="宋体"/>
          <w:color w:val="1A202C"/>
          <w:sz w:val="24"/>
        </w:rPr>
        <w:t>callLLMDiagnosis() 函数（接入 DeepSeek/通义/文心）+ 本地规则引擎兜底</w:t>
      </w:r>
    </w:p>
    <w:p>
      <w:pPr>
        <w:spacing w:before="280" w:after="160"/>
      </w:pPr>
      <w:r>
        <w:rPr>
          <w:rFonts w:ascii="黑体" w:hAnsi="黑体" w:eastAsia="黑体"/>
          <w:b/>
          <w:color w:val="B8232F"/>
          <w:sz w:val="28"/>
        </w:rPr>
        <w:t>5.6.3 程序代码可访问性</w:t>
      </w:r>
    </w:p>
    <w:p>
      <w:pPr>
        <w:spacing w:after="120" w:line="384" w:lineRule="auto"/>
        <w:ind w:firstLine="480"/>
      </w:pPr>
      <w:r>
        <w:rPr>
          <w:rFonts w:ascii="宋体" w:hAnsi="宋体" w:eastAsia="宋体"/>
          <w:color w:val="1A202C"/>
          <w:sz w:val="24"/>
        </w:rPr>
        <w:t>本研究的全部程序代码已开源至 GitHub 仓库：https://github.com/gallen666/henan-governance</w:t>
      </w:r>
    </w:p>
    <w:p>
      <w:pPr>
        <w:spacing w:after="120" w:line="384" w:lineRule="auto"/>
        <w:ind w:firstLine="480"/>
      </w:pPr>
      <w:r>
        <w:rPr>
          <w:rFonts w:ascii="宋体" w:hAnsi="宋体" w:eastAsia="宋体"/>
          <w:color w:val="1A202C"/>
          <w:sz w:val="24"/>
        </w:rPr>
        <w:t>在线 Demo：https://gallen666.github.io/henan-governance/sandbox.html</w:t>
      </w:r>
    </w:p>
    <w:p>
      <w:pPr>
        <w:spacing w:before="360" w:after="240"/>
      </w:pPr>
      <w:r>
        <w:rPr>
          <w:rFonts w:ascii="黑体" w:hAnsi="黑体" w:eastAsia="黑体"/>
          <w:b/>
          <w:color w:val="B8232F"/>
          <w:sz w:val="32"/>
        </w:rPr>
        <w:t xml:space="preserve">5.7  </w:t>
      </w:r>
      <w:r>
        <w:rPr>
          <w:rFonts w:ascii="黑体" w:hAnsi="黑体" w:eastAsia="黑体"/>
          <w:b/>
          <w:color w:val="1E3A5F"/>
          <w:sz w:val="32"/>
        </w:rPr>
        <w:t>★ 方法论创新点 2：三层治理决策模型</w:t>
      </w:r>
    </w:p>
    <w:p>
      <w:pPr>
        <w:spacing w:after="120" w:line="384" w:lineRule="auto"/>
        <w:ind w:firstLine="480"/>
      </w:pPr>
      <w:r>
        <w:rPr>
          <w:rFonts w:ascii="宋体" w:hAnsi="宋体" w:eastAsia="宋体"/>
          <w:color w:val="1A202C"/>
          <w:sz w:val="24"/>
        </w:rPr>
        <w:t>基于以上工作，本研究提出本论文的第二个原创方法论：「18 杠杆 × 4 反馈环 × 5/15/225 指标」三层治理决策模型（Three-Layer Governance Decision Model, 3L-GDM）。</w:t>
      </w:r>
    </w:p>
    <w:p>
      <w:pPr>
        <w:spacing w:before="280" w:after="160"/>
      </w:pPr>
      <w:r>
        <w:rPr>
          <w:rFonts w:ascii="黑体" w:hAnsi="黑体" w:eastAsia="黑体"/>
          <w:b/>
          <w:color w:val="B8232F"/>
          <w:sz w:val="28"/>
        </w:rPr>
        <w:t>5.7.1 模型架构总图</w:t>
      </w:r>
    </w:p>
    <w:p>
      <w:pPr>
        <w:spacing w:after="120" w:line="384" w:lineRule="auto"/>
        <w:ind w:firstLine="480"/>
      </w:pPr>
      <w:r>
        <w:rPr>
          <w:rFonts w:ascii="宋体" w:hAnsi="宋体" w:eastAsia="宋体"/>
          <w:color w:val="1A202C"/>
          <w:sz w:val="24"/>
        </w:rPr>
        <w:t>3L-GDM 模型架构如下：</w:t>
      </w:r>
    </w:p>
    <w:p>
      <w:pPr>
        <w:spacing w:after="120" w:line="384" w:lineRule="auto"/>
        <w:ind w:firstLine="480"/>
      </w:pPr>
      <w:r>
        <w:rPr>
          <w:rFonts w:ascii="宋体" w:hAnsi="宋体" w:eastAsia="宋体"/>
          <w:color w:val="1A202C"/>
          <w:sz w:val="24"/>
        </w:rPr>
      </w:r>
    </w:p>
    <w:p>
      <w:pPr>
        <w:spacing w:after="120" w:line="384" w:lineRule="auto"/>
        <w:ind w:firstLine="480"/>
      </w:pPr>
      <w:r>
        <w:rPr>
          <w:rFonts w:ascii="宋体" w:hAnsi="宋体" w:eastAsia="宋体"/>
          <w:color w:val="1A202C"/>
          <w:sz w:val="24"/>
        </w:rPr>
        <w:t>■ 输入层（18 杠杆）：6 类政策杠杆，每类 3 个，共 18 个</w:t>
      </w:r>
    </w:p>
    <w:p>
      <w:pPr>
        <w:spacing w:after="120" w:line="384" w:lineRule="auto"/>
        <w:ind w:firstLine="480"/>
      </w:pPr>
      <w:r>
        <w:rPr>
          <w:rFonts w:ascii="宋体" w:hAnsi="宋体" w:eastAsia="宋体"/>
          <w:color w:val="1A202C"/>
          <w:sz w:val="24"/>
        </w:rPr>
        <w:t xml:space="preserve">        ↓</w:t>
      </w:r>
    </w:p>
    <w:p>
      <w:pPr>
        <w:spacing w:after="120" w:line="384" w:lineRule="auto"/>
        <w:ind w:firstLine="480"/>
      </w:pPr>
      <w:r>
        <w:rPr>
          <w:rFonts w:ascii="宋体" w:hAnsi="宋体" w:eastAsia="宋体"/>
          <w:color w:val="1A202C"/>
          <w:sz w:val="24"/>
        </w:rPr>
        <w:t>■ 传导层（4 反馈环）：R1 信任 + R2 数据 + B1 资源 + B2 能力</w:t>
      </w:r>
    </w:p>
    <w:p>
      <w:pPr>
        <w:spacing w:after="120" w:line="384" w:lineRule="auto"/>
        <w:ind w:firstLine="480"/>
      </w:pPr>
      <w:r>
        <w:rPr>
          <w:rFonts w:ascii="宋体" w:hAnsi="宋体" w:eastAsia="宋体"/>
          <w:color w:val="1A202C"/>
          <w:sz w:val="24"/>
        </w:rPr>
        <w:t xml:space="preserve">        ↓</w:t>
      </w:r>
    </w:p>
    <w:p>
      <w:pPr>
        <w:spacing w:after="120" w:line="384" w:lineRule="auto"/>
        <w:ind w:firstLine="480"/>
      </w:pPr>
      <w:r>
        <w:rPr>
          <w:rFonts w:ascii="宋体" w:hAnsi="宋体" w:eastAsia="宋体"/>
          <w:color w:val="1A202C"/>
          <w:sz w:val="24"/>
        </w:rPr>
        <w:t>■ 输出层（5/15/225 指标）：5 维 + 15 二级 + 225 三级满意度指标</w:t>
      </w:r>
    </w:p>
    <w:p>
      <w:pPr>
        <w:spacing w:after="120" w:line="384" w:lineRule="auto"/>
        <w:ind w:firstLine="480"/>
      </w:pPr>
      <w:r>
        <w:rPr>
          <w:rFonts w:ascii="宋体" w:hAnsi="宋体" w:eastAsia="宋体"/>
          <w:color w:val="1A202C"/>
          <w:sz w:val="24"/>
        </w:rPr>
        <w:t xml:space="preserve">        ↓</w:t>
      </w:r>
    </w:p>
    <w:p>
      <w:pPr>
        <w:spacing w:after="120" w:line="384" w:lineRule="auto"/>
        <w:ind w:firstLine="480"/>
      </w:pPr>
      <w:r>
        <w:rPr>
          <w:rFonts w:ascii="宋体" w:hAnsi="宋体" w:eastAsia="宋体"/>
          <w:color w:val="1A202C"/>
          <w:sz w:val="24"/>
        </w:rPr>
        <w:t>■ 同步输出：ISUI 6 维 + 现代化人民城市 6 目标</w:t>
      </w:r>
    </w:p>
    <w:p>
      <w:pPr>
        <w:spacing w:before="280" w:after="160"/>
      </w:pPr>
      <w:r>
        <w:rPr>
          <w:rFonts w:ascii="黑体" w:hAnsi="黑体" w:eastAsia="黑体"/>
          <w:b/>
          <w:color w:val="B8232F"/>
          <w:sz w:val="28"/>
        </w:rPr>
        <w:t>5.7.2 模型的 4 大特征</w:t>
      </w:r>
    </w:p>
    <w:p>
      <w:pPr>
        <w:spacing w:after="80"/>
        <w:ind w:left="480"/>
      </w:pPr>
      <w:r>
        <w:rPr>
          <w:rFonts w:ascii="宋体" w:hAnsi="宋体" w:eastAsia="宋体"/>
          <w:b/>
          <w:color w:val="B8232F"/>
          <w:sz w:val="24"/>
        </w:rPr>
        <w:t>（可推演性）</w:t>
      </w:r>
      <w:r>
        <w:rPr>
          <w:rFonts w:ascii="宋体" w:hAnsi="宋体" w:eastAsia="宋体"/>
          <w:color w:val="1A202C"/>
          <w:sz w:val="24"/>
        </w:rPr>
        <w:t>18 杠杆任何变化都能实时驱动 25 年情景仿真</w:t>
      </w:r>
    </w:p>
    <w:p>
      <w:pPr>
        <w:spacing w:after="80"/>
        <w:ind w:left="480"/>
      </w:pPr>
      <w:r>
        <w:rPr>
          <w:rFonts w:ascii="宋体" w:hAnsi="宋体" w:eastAsia="宋体"/>
          <w:b/>
          <w:color w:val="B8232F"/>
          <w:sz w:val="24"/>
        </w:rPr>
        <w:t>（可对标性）</w:t>
      </w:r>
      <w:r>
        <w:rPr>
          <w:rFonts w:ascii="宋体" w:hAnsi="宋体" w:eastAsia="宋体"/>
          <w:color w:val="1A202C"/>
          <w:sz w:val="24"/>
        </w:rPr>
        <w:t>输出同时包括 ISUI 6 维（国际可比）和 6 目标（中国对接）</w:t>
      </w:r>
    </w:p>
    <w:p>
      <w:pPr>
        <w:spacing w:after="80"/>
        <w:ind w:left="480"/>
      </w:pPr>
      <w:r>
        <w:rPr>
          <w:rFonts w:ascii="宋体" w:hAnsi="宋体" w:eastAsia="宋体"/>
          <w:b/>
          <w:color w:val="B8232F"/>
          <w:sz w:val="24"/>
        </w:rPr>
        <w:t>（可诊断性）</w:t>
      </w:r>
      <w:r>
        <w:rPr>
          <w:rFonts w:ascii="宋体" w:hAnsi="宋体" w:eastAsia="宋体"/>
          <w:color w:val="1A202C"/>
          <w:sz w:val="24"/>
        </w:rPr>
        <w:t>AI 大模型集成可自动生成 5 维深度诊断</w:t>
      </w:r>
    </w:p>
    <w:p>
      <w:pPr>
        <w:spacing w:after="80"/>
        <w:ind w:left="480"/>
      </w:pPr>
      <w:r>
        <w:rPr>
          <w:rFonts w:ascii="宋体" w:hAnsi="宋体" w:eastAsia="宋体"/>
          <w:b/>
          <w:color w:val="B8232F"/>
          <w:sz w:val="24"/>
        </w:rPr>
        <w:t>（可复用性）</w:t>
      </w:r>
      <w:r>
        <w:rPr>
          <w:rFonts w:ascii="宋体" w:hAnsi="宋体" w:eastAsia="宋体"/>
          <w:color w:val="1A202C"/>
          <w:sz w:val="24"/>
        </w:rPr>
        <w:t>全部代码开源，可被其他县市快速本地化</w:t>
      </w:r>
    </w:p>
    <w:p>
      <w:pPr>
        <w:spacing w:before="280" w:after="160"/>
      </w:pPr>
      <w:r>
        <w:rPr>
          <w:rFonts w:ascii="黑体" w:hAnsi="黑体" w:eastAsia="黑体"/>
          <w:b/>
          <w:color w:val="B8232F"/>
          <w:sz w:val="28"/>
        </w:rPr>
        <w:t>5.7.3 模型的国际意义</w:t>
      </w:r>
    </w:p>
    <w:p>
      <w:pPr>
        <w:spacing w:after="120" w:line="384" w:lineRule="auto"/>
        <w:ind w:firstLine="480"/>
      </w:pPr>
      <w:r>
        <w:rPr>
          <w:rFonts w:ascii="宋体" w:hAnsi="宋体" w:eastAsia="宋体"/>
          <w:color w:val="1A202C"/>
          <w:sz w:val="24"/>
        </w:rPr>
        <w:t>3L-GDM 模型不仅是中国治理研究的方法论创新，也具有重要的国际学术价值：</w:t>
      </w:r>
    </w:p>
    <w:p>
      <w:pPr>
        <w:spacing w:after="80"/>
        <w:ind w:left="480"/>
      </w:pPr>
      <w:r>
        <w:rPr>
          <w:rFonts w:ascii="宋体" w:hAnsi="宋体" w:eastAsia="宋体"/>
          <w:b/>
          <w:color w:val="C9A063"/>
          <w:sz w:val="24"/>
        </w:rPr>
        <w:t xml:space="preserve">▪ </w:t>
      </w:r>
      <w:r>
        <w:rPr>
          <w:rFonts w:ascii="宋体" w:hAnsi="宋体" w:eastAsia="宋体"/>
          <w:color w:val="1A202C"/>
          <w:sz w:val="24"/>
        </w:rPr>
        <w:t>首次把 En-ROADS 方法从气候领域迁移到治理领域，是「方法论跨领域迁移」的成功案例</w:t>
      </w:r>
    </w:p>
    <w:p>
      <w:pPr>
        <w:spacing w:after="80"/>
        <w:ind w:left="480"/>
      </w:pPr>
      <w:r>
        <w:rPr>
          <w:rFonts w:ascii="宋体" w:hAnsi="宋体" w:eastAsia="宋体"/>
          <w:b/>
          <w:color w:val="C9A063"/>
          <w:sz w:val="24"/>
        </w:rPr>
        <w:t xml:space="preserve">▪ </w:t>
      </w:r>
      <w:r>
        <w:rPr>
          <w:rFonts w:ascii="宋体" w:hAnsi="宋体" w:eastAsia="宋体"/>
          <w:color w:val="1A202C"/>
          <w:sz w:val="24"/>
        </w:rPr>
        <w:t>首次桥接中国本土理论（人民城市）与全球评估指数（ISUI），具有「东西方融合」的标志意义</w:t>
      </w:r>
    </w:p>
    <w:p>
      <w:pPr>
        <w:spacing w:after="80"/>
        <w:ind w:left="480"/>
      </w:pPr>
      <w:r>
        <w:rPr>
          <w:rFonts w:ascii="宋体" w:hAnsi="宋体" w:eastAsia="宋体"/>
          <w:b/>
          <w:color w:val="C9A063"/>
          <w:sz w:val="24"/>
        </w:rPr>
        <w:t xml:space="preserve">▪ </w:t>
      </w:r>
      <w:r>
        <w:rPr>
          <w:rFonts w:ascii="宋体" w:hAnsi="宋体" w:eastAsia="宋体"/>
          <w:color w:val="1A202C"/>
          <w:sz w:val="24"/>
        </w:rPr>
        <w:t>首次开源化的治理决策推演工具，可为发展中国家提供「负担得起的治理科学方法论」</w:t>
      </w:r>
    </w:p>
    <w:p>
      <w:r>
        <w:br w:type="page"/>
      </w:r>
    </w:p>
    <w:p>
      <w:pPr>
        <w:spacing w:before="600" w:after="400"/>
        <w:jc w:val="center"/>
      </w:pPr>
      <w:r>
        <w:rPr>
          <w:rFonts w:ascii="黑体" w:hAnsi="黑体" w:eastAsia="黑体"/>
          <w:b/>
          <w:color w:val="1E3A5F"/>
          <w:sz w:val="44"/>
        </w:rPr>
        <w:t>第 6 章</w:t>
      </w:r>
    </w:p>
    <w:p>
      <w:pPr>
        <w:spacing w:before="600" w:after="400"/>
        <w:jc w:val="center"/>
      </w:pPr>
      <w:r>
        <w:rPr>
          <w:rFonts w:ascii="黑体" w:hAnsi="黑体" w:eastAsia="黑体"/>
          <w:b/>
          <w:color w:val="1E3A5F"/>
          <w:sz w:val="44"/>
        </w:rPr>
        <w:t>河南实证：「党建+网格+大数据」郑州模式深度解析</w:t>
      </w:r>
    </w:p>
    <w:p>
      <w:pPr>
        <w:spacing w:after="120" w:line="384" w:lineRule="auto"/>
        <w:ind w:firstLine="480"/>
      </w:pPr>
      <w:r>
        <w:rPr>
          <w:rFonts w:ascii="宋体" w:hAnsi="宋体" w:eastAsia="宋体"/>
          <w:color w:val="1A202C"/>
          <w:sz w:val="24"/>
        </w:rPr>
        <w:t>本章以郑州市为典型案例（关键案例 key case），对其「党建+网格+大数据」模式进行深度实证研究。郑州作为河南省省会、国家中心城市、特大城市、米字形高铁枢纽，其治理实践具有典型意义。本章遵循 Yin（2018）的单案例深度研究设计（single-case study with embedded units），从四阶段演化、三网合一断点分析、AI 小郑边际贡献、满意度数据分析等多个角度对郑州模式进行剖析。</w:t>
      </w:r>
    </w:p>
    <w:p>
      <w:pPr>
        <w:spacing w:before="360" w:after="240"/>
      </w:pPr>
      <w:r>
        <w:rPr>
          <w:rFonts w:ascii="黑体" w:hAnsi="黑体" w:eastAsia="黑体"/>
          <w:b/>
          <w:color w:val="B8232F"/>
          <w:sz w:val="32"/>
        </w:rPr>
        <w:t xml:space="preserve">6.1  </w:t>
      </w:r>
      <w:r>
        <w:rPr>
          <w:rFonts w:ascii="黑体" w:hAnsi="黑体" w:eastAsia="黑体"/>
          <w:b/>
          <w:color w:val="1E3A5F"/>
          <w:sz w:val="32"/>
        </w:rPr>
        <w:t>郑州治理科技四阶段演化</w:t>
      </w:r>
    </w:p>
    <w:p>
      <w:pPr>
        <w:spacing w:after="120" w:line="384" w:lineRule="auto"/>
        <w:ind w:firstLine="480"/>
      </w:pPr>
      <w:r>
        <w:rPr>
          <w:rFonts w:ascii="宋体" w:hAnsi="宋体" w:eastAsia="宋体"/>
          <w:color w:val="1A202C"/>
          <w:sz w:val="24"/>
        </w:rPr>
        <w:t>郑州的治理科技演化可以划分为四个清晰的阶段，每个阶段都有标志性事件和数据。</w:t>
      </w:r>
    </w:p>
    <w:p>
      <w:pPr>
        <w:spacing w:before="280" w:after="160"/>
      </w:pPr>
      <w:r>
        <w:rPr>
          <w:rFonts w:ascii="黑体" w:hAnsi="黑体" w:eastAsia="黑体"/>
          <w:b/>
          <w:color w:val="B8232F"/>
          <w:sz w:val="28"/>
        </w:rPr>
        <w:t>6.1.1 阶段一：起步阶段（2020 年）</w:t>
      </w:r>
    </w:p>
    <w:p>
      <w:pPr>
        <w:spacing w:after="120" w:line="384" w:lineRule="auto"/>
        <w:ind w:firstLine="480"/>
      </w:pPr>
      <w:r>
        <w:rPr>
          <w:rFonts w:ascii="宋体" w:hAnsi="宋体" w:eastAsia="宋体"/>
          <w:color w:val="1A202C"/>
          <w:sz w:val="24"/>
        </w:rPr>
        <w:t>2020 年是郑州治理科技的起步之年。当年「郑好办」App 在主流应用市场上线，标志着郑州迈出数字政府建设的第一步。</w:t>
      </w:r>
    </w:p>
    <w:p>
      <w:pPr>
        <w:spacing w:after="120" w:line="384" w:lineRule="auto"/>
        <w:ind w:firstLine="480"/>
      </w:pPr>
      <w:r>
        <w:rPr>
          <w:rFonts w:ascii="宋体" w:hAnsi="宋体" w:eastAsia="宋体"/>
          <w:color w:val="1A202C"/>
          <w:sz w:val="24"/>
        </w:rPr>
        <w:t>起步阶段的核心特征：</w:t>
      </w:r>
    </w:p>
    <w:p>
      <w:pPr>
        <w:spacing w:after="80"/>
        <w:ind w:left="480"/>
      </w:pPr>
      <w:r>
        <w:rPr>
          <w:rFonts w:ascii="宋体" w:hAnsi="宋体" w:eastAsia="宋体"/>
          <w:b/>
          <w:color w:val="C9A063"/>
          <w:sz w:val="24"/>
        </w:rPr>
        <w:t xml:space="preserve">▪ </w:t>
      </w:r>
      <w:r>
        <w:rPr>
          <w:rFonts w:ascii="宋体" w:hAnsi="宋体" w:eastAsia="宋体"/>
          <w:color w:val="1A202C"/>
          <w:sz w:val="24"/>
        </w:rPr>
        <w:t>「郑好办」App 1.0 版本上线，首批服务事项 200+</w:t>
      </w:r>
    </w:p>
    <w:p>
      <w:pPr>
        <w:spacing w:after="80"/>
        <w:ind w:left="480"/>
      </w:pPr>
      <w:r>
        <w:rPr>
          <w:rFonts w:ascii="宋体" w:hAnsi="宋体" w:eastAsia="宋体"/>
          <w:b/>
          <w:color w:val="C9A063"/>
          <w:sz w:val="24"/>
        </w:rPr>
        <w:t xml:space="preserve">▪ </w:t>
      </w:r>
      <w:r>
        <w:rPr>
          <w:rFonts w:ascii="宋体" w:hAnsi="宋体" w:eastAsia="宋体"/>
          <w:color w:val="1A202C"/>
          <w:sz w:val="24"/>
        </w:rPr>
        <w:t>建设市级城运中心（数据中台）一期</w:t>
      </w:r>
    </w:p>
    <w:p>
      <w:pPr>
        <w:spacing w:after="80"/>
        <w:ind w:left="480"/>
      </w:pPr>
      <w:r>
        <w:rPr>
          <w:rFonts w:ascii="宋体" w:hAnsi="宋体" w:eastAsia="宋体"/>
          <w:b/>
          <w:color w:val="C9A063"/>
          <w:sz w:val="24"/>
        </w:rPr>
        <w:t xml:space="preserve">▪ </w:t>
      </w:r>
      <w:r>
        <w:rPr>
          <w:rFonts w:ascii="宋体" w:hAnsi="宋体" w:eastAsia="宋体"/>
          <w:color w:val="1A202C"/>
          <w:sz w:val="24"/>
        </w:rPr>
        <w:t>在网上政务服务能力评估中，郑州从「中」组别上升至「高」组别，全国排名第 16 位</w:t>
      </w:r>
    </w:p>
    <w:p>
      <w:pPr>
        <w:spacing w:after="80"/>
        <w:ind w:left="480"/>
      </w:pPr>
      <w:r>
        <w:rPr>
          <w:rFonts w:ascii="宋体" w:hAnsi="宋体" w:eastAsia="宋体"/>
          <w:b/>
          <w:color w:val="C9A063"/>
          <w:sz w:val="24"/>
        </w:rPr>
        <w:t xml:space="preserve">▪ </w:t>
      </w:r>
      <w:r>
        <w:rPr>
          <w:rFonts w:ascii="宋体" w:hAnsi="宋体" w:eastAsia="宋体"/>
          <w:color w:val="1A202C"/>
          <w:sz w:val="24"/>
        </w:rPr>
        <w:t>数字治理指数位列全国第 7（《中国城市数字治理报告 2020》）</w:t>
      </w:r>
    </w:p>
    <w:p>
      <w:pPr>
        <w:spacing w:after="120" w:line="384" w:lineRule="auto"/>
        <w:ind w:firstLine="480"/>
      </w:pPr>
      <w:r>
        <w:rPr>
          <w:rFonts w:ascii="宋体" w:hAnsi="宋体" w:eastAsia="宋体"/>
          <w:color w:val="1A202C"/>
          <w:sz w:val="24"/>
        </w:rPr>
        <w:t>这一阶段的关键挑战在于：跨部门数据孤岛严重，56 个委办局之间缺乏统一数据标准，导致「一网通办」难以推进。</w:t>
      </w:r>
    </w:p>
    <w:p>
      <w:pPr>
        <w:spacing w:before="280" w:after="160"/>
      </w:pPr>
      <w:r>
        <w:rPr>
          <w:rFonts w:ascii="黑体" w:hAnsi="黑体" w:eastAsia="黑体"/>
          <w:b/>
          <w:color w:val="B8232F"/>
          <w:sz w:val="28"/>
        </w:rPr>
        <w:t>6.1.2 阶段二：扩展阶段（2021-2023 年）</w:t>
      </w:r>
    </w:p>
    <w:p>
      <w:pPr>
        <w:spacing w:after="120" w:line="384" w:lineRule="auto"/>
        <w:ind w:firstLine="480"/>
      </w:pPr>
      <w:r>
        <w:rPr>
          <w:rFonts w:ascii="宋体" w:hAnsi="宋体" w:eastAsia="宋体"/>
          <w:color w:val="1A202C"/>
          <w:sz w:val="24"/>
        </w:rPr>
        <w:t>2022 年是郑州治理科技的扩展之年。当年「郑州城市大脑」二期工程启动，投资 9.3 亿元，建设 5 大平台。这一投入标志着郑州城市治理从「单点应用」走向「系统建设」。</w:t>
      </w:r>
    </w:p>
    <w:p>
      <w:pPr>
        <w:spacing w:after="120" w:line="384" w:lineRule="auto"/>
        <w:ind w:firstLine="480"/>
      </w:pPr>
      <w:r>
        <w:rPr>
          <w:rFonts w:ascii="宋体" w:hAnsi="宋体" w:eastAsia="宋体"/>
          <w:color w:val="1A202C"/>
          <w:sz w:val="24"/>
        </w:rPr>
        <w:t>扩展阶段的核心特征：</w:t>
      </w:r>
    </w:p>
    <w:p>
      <w:pPr>
        <w:spacing w:after="80"/>
        <w:ind w:left="480"/>
      </w:pPr>
      <w:r>
        <w:rPr>
          <w:rFonts w:ascii="宋体" w:hAnsi="宋体" w:eastAsia="宋体"/>
          <w:b/>
          <w:color w:val="C9A063"/>
          <w:sz w:val="24"/>
        </w:rPr>
        <w:t xml:space="preserve">▪ </w:t>
      </w:r>
      <w:r>
        <w:rPr>
          <w:rFonts w:ascii="宋体" w:hAnsi="宋体" w:eastAsia="宋体"/>
          <w:color w:val="1A202C"/>
          <w:sz w:val="24"/>
        </w:rPr>
        <w:t>118 个应用场景全面上线运行</w:t>
      </w:r>
    </w:p>
    <w:p>
      <w:pPr>
        <w:spacing w:after="80"/>
        <w:ind w:left="480"/>
      </w:pPr>
      <w:r>
        <w:rPr>
          <w:rFonts w:ascii="宋体" w:hAnsi="宋体" w:eastAsia="宋体"/>
          <w:b/>
          <w:color w:val="C9A063"/>
          <w:sz w:val="24"/>
        </w:rPr>
        <w:t xml:space="preserve">▪ </w:t>
      </w:r>
      <w:r>
        <w:rPr>
          <w:rFonts w:ascii="宋体" w:hAnsi="宋体" w:eastAsia="宋体"/>
          <w:color w:val="1A202C"/>
          <w:sz w:val="24"/>
        </w:rPr>
        <w:t>成为全国首个全场景数字化运营城市</w:t>
      </w:r>
    </w:p>
    <w:p>
      <w:pPr>
        <w:spacing w:after="80"/>
        <w:ind w:left="480"/>
      </w:pPr>
      <w:r>
        <w:rPr>
          <w:rFonts w:ascii="宋体" w:hAnsi="宋体" w:eastAsia="宋体"/>
          <w:b/>
          <w:color w:val="C9A063"/>
          <w:sz w:val="24"/>
        </w:rPr>
        <w:t xml:space="preserve">▪ </w:t>
      </w:r>
      <w:r>
        <w:rPr>
          <w:rFonts w:ascii="宋体" w:hAnsi="宋体" w:eastAsia="宋体"/>
          <w:color w:val="1A202C"/>
          <w:sz w:val="24"/>
        </w:rPr>
        <w:t>「郑好办」用户数突破 1,000 万</w:t>
      </w:r>
    </w:p>
    <w:p>
      <w:pPr>
        <w:spacing w:after="80"/>
        <w:ind w:left="480"/>
      </w:pPr>
      <w:r>
        <w:rPr>
          <w:rFonts w:ascii="宋体" w:hAnsi="宋体" w:eastAsia="宋体"/>
          <w:b/>
          <w:color w:val="C9A063"/>
          <w:sz w:val="24"/>
        </w:rPr>
        <w:t xml:space="preserve">▪ </w:t>
      </w:r>
      <w:r>
        <w:rPr>
          <w:rFonts w:ascii="宋体" w:hAnsi="宋体" w:eastAsia="宋体"/>
          <w:color w:val="1A202C"/>
          <w:sz w:val="24"/>
        </w:rPr>
        <w:t>服务事项扩展至 1,603 项</w:t>
      </w:r>
    </w:p>
    <w:p>
      <w:pPr>
        <w:spacing w:after="80"/>
        <w:ind w:left="480"/>
      </w:pPr>
      <w:r>
        <w:rPr>
          <w:rFonts w:ascii="宋体" w:hAnsi="宋体" w:eastAsia="宋体"/>
          <w:b/>
          <w:color w:val="C9A063"/>
          <w:sz w:val="24"/>
        </w:rPr>
        <w:t xml:space="preserve">▪ </w:t>
      </w:r>
      <w:r>
        <w:rPr>
          <w:rFonts w:ascii="宋体" w:hAnsi="宋体" w:eastAsia="宋体"/>
          <w:color w:val="1A202C"/>
          <w:sz w:val="24"/>
        </w:rPr>
        <w:t>公积金提取「一件事」改革：跨 6 部门联办，办结超 22 万笔，支取 32 亿元</w:t>
      </w:r>
    </w:p>
    <w:p>
      <w:pPr>
        <w:spacing w:before="280" w:after="160"/>
      </w:pPr>
      <w:r>
        <w:rPr>
          <w:rFonts w:ascii="黑体" w:hAnsi="黑体" w:eastAsia="黑体"/>
          <w:b/>
          <w:color w:val="B8232F"/>
          <w:sz w:val="28"/>
        </w:rPr>
        <w:t>6.1.3 阶段三：融合阶段（2024 年）</w:t>
      </w:r>
    </w:p>
    <w:p>
      <w:pPr>
        <w:spacing w:after="120" w:line="384" w:lineRule="auto"/>
        <w:ind w:firstLine="480"/>
      </w:pPr>
      <w:r>
        <w:rPr>
          <w:rFonts w:ascii="宋体" w:hAnsi="宋体" w:eastAsia="宋体"/>
          <w:color w:val="1A202C"/>
          <w:sz w:val="24"/>
        </w:rPr>
        <w:t>2024 年是郑州治理科技的关键转折之年。这一年发生了三件具有标志意义的大事：</w:t>
      </w:r>
    </w:p>
    <w:p>
      <w:pPr>
        <w:spacing w:after="120" w:line="384" w:lineRule="auto"/>
        <w:ind w:firstLine="480"/>
      </w:pPr>
      <w:r>
        <w:rPr>
          <w:rFonts w:ascii="宋体" w:hAnsi="宋体" w:eastAsia="宋体"/>
          <w:color w:val="1A202C"/>
          <w:sz w:val="24"/>
        </w:rPr>
        <w:t>事件一：2024 年 6 月 15 日，全市 12345 政务服务便民热线工单全面切换至网格化平台流转处置。这是「三网合一」的关键断点。</w:t>
      </w:r>
    </w:p>
    <w:p>
      <w:pPr>
        <w:spacing w:after="120" w:line="384" w:lineRule="auto"/>
        <w:ind w:firstLine="480"/>
      </w:pPr>
      <w:r>
        <w:rPr>
          <w:rFonts w:ascii="宋体" w:hAnsi="宋体" w:eastAsia="宋体"/>
          <w:color w:val="1A202C"/>
          <w:sz w:val="24"/>
        </w:rPr>
        <w:t>事件二：2024 年 7 月，社会治理行业大模型「AI 小郑」上线。这是国内首批面向社会治理的垂直大模型应用。</w:t>
      </w:r>
    </w:p>
    <w:p>
      <w:pPr>
        <w:spacing w:after="120" w:line="384" w:lineRule="auto"/>
        <w:ind w:firstLine="480"/>
      </w:pPr>
      <w:r>
        <w:rPr>
          <w:rFonts w:ascii="宋体" w:hAnsi="宋体" w:eastAsia="宋体"/>
          <w:color w:val="1A202C"/>
          <w:sz w:val="24"/>
        </w:rPr>
        <w:t>事件三：2024 年，郑州市治理实践获得「2024 世界智慧城市治理奖」（World Smart City Award · Governance），这是中国城市首次获得该奖项。</w:t>
      </w:r>
    </w:p>
    <w:p>
      <w:pPr>
        <w:spacing w:before="280" w:after="160"/>
      </w:pPr>
      <w:r>
        <w:rPr>
          <w:rFonts w:ascii="黑体" w:hAnsi="黑体" w:eastAsia="黑体"/>
          <w:b/>
          <w:color w:val="B8232F"/>
          <w:sz w:val="28"/>
        </w:rPr>
        <w:t>6.1.4 阶段四：智能阶段（2025 至今）</w:t>
      </w:r>
    </w:p>
    <w:p>
      <w:pPr>
        <w:spacing w:after="120" w:line="384" w:lineRule="auto"/>
        <w:ind w:firstLine="480"/>
      </w:pPr>
      <w:r>
        <w:rPr>
          <w:rFonts w:ascii="宋体" w:hAnsi="宋体" w:eastAsia="宋体"/>
          <w:color w:val="1A202C"/>
          <w:sz w:val="24"/>
        </w:rPr>
        <w:t>2025 年起，郑州治理科技进入「智能化」阶段，重点推进 AI 应用深化、ISUI 全维度对标、面向「十五五」规划编制。</w:t>
      </w:r>
    </w:p>
    <w:p>
      <w:pPr>
        <w:spacing w:after="120" w:line="384" w:lineRule="auto"/>
        <w:ind w:firstLine="480"/>
      </w:pPr>
      <w:r>
        <w:rPr>
          <w:rFonts w:ascii="宋体" w:hAnsi="宋体" w:eastAsia="宋体"/>
          <w:color w:val="1A202C"/>
          <w:sz w:val="24"/>
        </w:rPr>
        <w:t>2025 年 4 月，「郑好办」APP 6.0 鸿蒙版上线，标志着信创栈适配完成。2025 年 7 月，「郑好办」APP 6.0 在各主要应用市场正式发布，首次实现「政务」与「生活」两大核心板块的清晰分立。</w:t>
      </w:r>
    </w:p>
    <w:p>
      <w:pPr>
        <w:spacing w:before="280" w:after="160"/>
      </w:pPr>
      <w:r>
        <w:rPr>
          <w:rFonts w:ascii="黑体" w:hAnsi="黑体" w:eastAsia="黑体"/>
          <w:b/>
          <w:color w:val="B8232F"/>
          <w:sz w:val="28"/>
        </w:rPr>
        <w:t>6.1.5 四阶段量化对比</w:t>
      </w:r>
    </w:p>
    <w:tbl>
      <w:tblPr>
        <w:tblW w:type="auto" w:w="0"/>
        <w:tblLayout w:type="fixed"/>
        <w:tblLook w:firstColumn="1" w:firstRow="1" w:lastColumn="0" w:lastRow="0" w:noHBand="0" w:noVBand="1" w:val="04A0"/>
      </w:tblPr>
      <w:tblGrid>
        <w:gridCol w:w="1768"/>
        <w:gridCol w:w="1768"/>
        <w:gridCol w:w="1768"/>
        <w:gridCol w:w="1768"/>
        <w:gridCol w:w="1768"/>
      </w:tblGrid>
      <w:tr>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指标</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起步2020</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扩展2023</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融合2024</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智能2025</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服务事项</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200+</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1,603</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2,500+</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3,042</w:t>
            </w:r>
          </w:p>
        </w:tc>
      </w:tr>
      <w:tr>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注册用户（万）</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100</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1,097</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办理量（万件）</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1,189</w:t>
            </w:r>
          </w:p>
        </w:tc>
      </w:tr>
      <w:tr>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查询量（万人次）</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7,515</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网格数量（万）</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1</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10.7</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10.7</w:t>
            </w:r>
          </w:p>
        </w:tc>
      </w:tr>
      <w:tr>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AI 应用</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无</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无</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AI 小郑上线</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深度应用</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国家排名</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第 16</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全国前列</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r>
    </w:tbl>
    <w:p/>
    <w:p>
      <w:pPr>
        <w:spacing w:before="360" w:after="240"/>
      </w:pPr>
      <w:r>
        <w:rPr>
          <w:rFonts w:ascii="黑体" w:hAnsi="黑体" w:eastAsia="黑体"/>
          <w:b/>
          <w:color w:val="B8232F"/>
          <w:sz w:val="32"/>
        </w:rPr>
        <w:t xml:space="preserve">6.2  </w:t>
      </w:r>
      <w:r>
        <w:rPr>
          <w:rFonts w:ascii="黑体" w:hAnsi="黑体" w:eastAsia="黑体"/>
          <w:b/>
          <w:color w:val="1E3A5F"/>
          <w:sz w:val="32"/>
        </w:rPr>
        <w:t>三网合一断点分析（DID 方法应用）</w:t>
      </w:r>
    </w:p>
    <w:p>
      <w:pPr>
        <w:spacing w:after="120" w:line="384" w:lineRule="auto"/>
        <w:ind w:firstLine="480"/>
      </w:pPr>
      <w:r>
        <w:rPr>
          <w:rFonts w:ascii="宋体" w:hAnsi="宋体" w:eastAsia="宋体"/>
          <w:color w:val="1A202C"/>
          <w:sz w:val="24"/>
        </w:rPr>
        <w:t>2024 年 6 月 15 日「三网合一」是郑州治理科技演化中最具研究价值的关键节点。本节运用差分中差法（Difference-in-Differences, DID）对其进行因果识别。</w:t>
      </w:r>
    </w:p>
    <w:p>
      <w:pPr>
        <w:spacing w:before="280" w:after="160"/>
      </w:pPr>
      <w:r>
        <w:rPr>
          <w:rFonts w:ascii="黑体" w:hAnsi="黑体" w:eastAsia="黑体"/>
          <w:b/>
          <w:color w:val="B8232F"/>
          <w:sz w:val="28"/>
        </w:rPr>
        <w:t>6.2.1 三网合一的背景与设计</w:t>
      </w:r>
    </w:p>
    <w:p>
      <w:pPr>
        <w:spacing w:after="120" w:line="384" w:lineRule="auto"/>
        <w:ind w:firstLine="480"/>
      </w:pPr>
      <w:r>
        <w:rPr>
          <w:rFonts w:ascii="宋体" w:hAnsi="宋体" w:eastAsia="宋体"/>
          <w:color w:val="1A202C"/>
          <w:sz w:val="24"/>
        </w:rPr>
        <w:t>在 2024 年 6 月 15 日之前，郑州市存在三套相对独立的诉求处置体系：</w:t>
      </w:r>
    </w:p>
    <w:p>
      <w:pPr>
        <w:spacing w:after="80"/>
        <w:ind w:left="480"/>
      </w:pPr>
      <w:r>
        <w:rPr>
          <w:rFonts w:ascii="宋体" w:hAnsi="宋体" w:eastAsia="宋体"/>
          <w:b/>
          <w:color w:val="B8232F"/>
          <w:sz w:val="24"/>
        </w:rPr>
        <w:t>（12345 政务热线）</w:t>
      </w:r>
      <w:r>
        <w:rPr>
          <w:rFonts w:ascii="宋体" w:hAnsi="宋体" w:eastAsia="宋体"/>
          <w:color w:val="1A202C"/>
          <w:sz w:val="24"/>
        </w:rPr>
        <w:t>主要面向语音电话渠道，处置时间相对较慢</w:t>
      </w:r>
    </w:p>
    <w:p>
      <w:pPr>
        <w:spacing w:after="80"/>
        <w:ind w:left="480"/>
      </w:pPr>
      <w:r>
        <w:rPr>
          <w:rFonts w:ascii="宋体" w:hAnsi="宋体" w:eastAsia="宋体"/>
          <w:b/>
          <w:color w:val="B8232F"/>
          <w:sz w:val="24"/>
        </w:rPr>
        <w:t>（「郑好拍」平台）</w:t>
      </w:r>
      <w:r>
        <w:rPr>
          <w:rFonts w:ascii="宋体" w:hAnsi="宋体" w:eastAsia="宋体"/>
          <w:color w:val="1A202C"/>
          <w:sz w:val="24"/>
        </w:rPr>
        <w:t>面向移动端图片/视频上传，处置流程简单</w:t>
      </w:r>
    </w:p>
    <w:p>
      <w:pPr>
        <w:spacing w:after="80"/>
        <w:ind w:left="480"/>
      </w:pPr>
      <w:r>
        <w:rPr>
          <w:rFonts w:ascii="宋体" w:hAnsi="宋体" w:eastAsia="宋体"/>
          <w:b/>
          <w:color w:val="B8232F"/>
          <w:sz w:val="24"/>
        </w:rPr>
        <w:t>（网格化平台）</w:t>
      </w:r>
      <w:r>
        <w:rPr>
          <w:rFonts w:ascii="宋体" w:hAnsi="宋体" w:eastAsia="宋体"/>
          <w:color w:val="1A202C"/>
          <w:sz w:val="24"/>
        </w:rPr>
        <w:t>面向网格员现场巡查，处置时效高但范围有限</w:t>
      </w:r>
    </w:p>
    <w:p>
      <w:pPr>
        <w:spacing w:after="120" w:line="384" w:lineRule="auto"/>
        <w:ind w:firstLine="480"/>
      </w:pPr>
      <w:r>
        <w:rPr>
          <w:rFonts w:ascii="宋体" w:hAnsi="宋体" w:eastAsia="宋体"/>
          <w:color w:val="1A202C"/>
          <w:sz w:val="24"/>
        </w:rPr>
        <w:t>2024 年 6 月 15 日切换后，全部三套体系的工单统一在网格化平台流转处置，形成「一网受理、统一派单、网格响应、闭环管理」的新模式。</w:t>
      </w:r>
    </w:p>
    <w:p>
      <w:pPr>
        <w:spacing w:before="280" w:after="160"/>
      </w:pPr>
      <w:r>
        <w:rPr>
          <w:rFonts w:ascii="黑体" w:hAnsi="黑体" w:eastAsia="黑体"/>
          <w:b/>
          <w:color w:val="B8232F"/>
          <w:sz w:val="28"/>
        </w:rPr>
        <w:t>6.2.2 DID 模型设定</w:t>
      </w:r>
    </w:p>
    <w:p>
      <w:pPr>
        <w:spacing w:after="120" w:line="384" w:lineRule="auto"/>
        <w:ind w:firstLine="480"/>
      </w:pPr>
      <w:r>
        <w:rPr>
          <w:rFonts w:ascii="宋体" w:hAnsi="宋体" w:eastAsia="宋体"/>
          <w:color w:val="1A202C"/>
          <w:sz w:val="24"/>
        </w:rPr>
        <w:t>本研究将 2024 年 6 月 15 日作为政策干预时点（intervention time），运用 DID 模型估计三网合一对处置效率和满意度的因果效应。</w:t>
      </w:r>
    </w:p>
    <w:p>
      <w:pPr>
        <w:spacing w:after="120" w:line="384" w:lineRule="auto"/>
        <w:ind w:firstLine="480"/>
      </w:pPr>
      <w:r>
        <w:rPr>
          <w:rFonts w:ascii="宋体" w:hAnsi="宋体" w:eastAsia="宋体"/>
          <w:color w:val="1A202C"/>
          <w:sz w:val="24"/>
        </w:rPr>
        <w:t>DID 模型基本设定：</w:t>
      </w:r>
    </w:p>
    <w:p>
      <w:pPr>
        <w:spacing w:after="120" w:line="384" w:lineRule="auto"/>
      </w:pPr>
      <w:r>
        <w:rPr>
          <w:rFonts w:ascii="宋体" w:hAnsi="宋体" w:eastAsia="宋体"/>
          <w:color w:val="1A202C"/>
          <w:sz w:val="24"/>
        </w:rPr>
        <w:t>Y_it = α + β·Post_t + γ·Treat_i + δ·(Post_t × Treat_i) + Σ X_it + ε_it</w:t>
      </w:r>
    </w:p>
    <w:p>
      <w:pPr>
        <w:spacing w:after="120" w:line="384" w:lineRule="auto"/>
        <w:ind w:firstLine="480"/>
      </w:pPr>
      <w:r>
        <w:rPr>
          <w:rFonts w:ascii="宋体" w:hAnsi="宋体" w:eastAsia="宋体"/>
          <w:color w:val="1A202C"/>
          <w:sz w:val="24"/>
        </w:rPr>
        <w:t>其中：Y_it = 第 i 区在 t 时段的处置时间或满意度；Post_t = 政策实施虚拟变量；Treat_i = 实验组（郑州）；δ = DID 估计量（核心系数）；X_it = 控制变量集（人口、面积、经济等）；ε_it = 误差项</w:t>
      </w:r>
    </w:p>
    <w:p>
      <w:pPr>
        <w:spacing w:before="280" w:after="160"/>
      </w:pPr>
      <w:r>
        <w:rPr>
          <w:rFonts w:ascii="黑体" w:hAnsi="黑体" w:eastAsia="黑体"/>
          <w:b/>
          <w:color w:val="B8232F"/>
          <w:sz w:val="28"/>
        </w:rPr>
        <w:t>6.2.3 DID 估计结果</w:t>
      </w:r>
    </w:p>
    <w:tbl>
      <w:tblPr>
        <w:tblW w:type="auto" w:w="0"/>
        <w:tblLayout w:type="fixed"/>
        <w:tblLook w:firstColumn="1" w:firstRow="1" w:lastColumn="0" w:lastRow="0" w:noHBand="0" w:noVBand="1" w:val="04A0"/>
      </w:tblPr>
      <w:tblGrid>
        <w:gridCol w:w="1473"/>
        <w:gridCol w:w="1473"/>
        <w:gridCol w:w="1473"/>
        <w:gridCol w:w="1473"/>
        <w:gridCol w:w="1473"/>
        <w:gridCol w:w="1473"/>
      </w:tblGrid>
      <w:tr>
        <w:tc>
          <w:tcPr>
            <w:tcW w:type="dxa" w:w="141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因变量</w:t>
            </w:r>
          </w:p>
        </w:tc>
        <w:tc>
          <w:tcPr>
            <w:tcW w:type="dxa" w:w="141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DID 系数 δ</w:t>
            </w:r>
          </w:p>
        </w:tc>
        <w:tc>
          <w:tcPr>
            <w:tcW w:type="dxa" w:w="141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标准误</w:t>
            </w:r>
          </w:p>
        </w:tc>
        <w:tc>
          <w:tcPr>
            <w:tcW w:type="dxa" w:w="141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t 值</w:t>
            </w:r>
          </w:p>
        </w:tc>
        <w:tc>
          <w:tcPr>
            <w:tcW w:type="dxa" w:w="141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显著性</w:t>
            </w:r>
          </w:p>
        </w:tc>
        <w:tc>
          <w:tcPr>
            <w:tcW w:type="dxa" w:w="141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经济意义</w:t>
            </w:r>
          </w:p>
        </w:tc>
      </w:tr>
      <w:tr>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处置时间（小时）</w:t>
            </w:r>
          </w:p>
        </w:tc>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-14.2</w:t>
            </w:r>
          </w:p>
        </w:tc>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2.7</w:t>
            </w:r>
          </w:p>
        </w:tc>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-5.26</w:t>
            </w:r>
          </w:p>
        </w:tc>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缩短 14.2 小时</w:t>
            </w:r>
          </w:p>
        </w:tc>
      </w:tr>
      <w:tr>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满意率（%）</w:t>
            </w:r>
          </w:p>
        </w:tc>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+4.2</w:t>
            </w:r>
          </w:p>
        </w:tc>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0.9</w:t>
            </w:r>
          </w:p>
        </w:tc>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+4.67</w:t>
            </w:r>
          </w:p>
        </w:tc>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上升 4.2 个百分点</w:t>
            </w:r>
          </w:p>
        </w:tc>
      </w:tr>
      <w:tr>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群众投诉率（%）</w:t>
            </w:r>
          </w:p>
        </w:tc>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-1.8</w:t>
            </w:r>
          </w:p>
        </w:tc>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0.5</w:t>
            </w:r>
          </w:p>
        </w:tc>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-3.60</w:t>
            </w:r>
          </w:p>
        </w:tc>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417"/>
            <w:tcBorders>
              <w:top w:val="single" w:sz="4" w:color="CCCCCC"/>
              <w:left w:val="single" w:sz="4" w:color="CCCCCC"/>
              <w:bottom w:val="single" w:sz="4" w:color="CCCCCC"/>
              <w:right w:val="single" w:sz="4" w:color="CCCCCC"/>
            </w:tcBorders>
          </w:tcPr>
          <w:p>
            <w:r/>
            <w:r>
              <w:rPr>
                <w:rFonts w:ascii="宋体" w:hAnsi="宋体" w:eastAsia="宋体"/>
                <w:color w:val="1A202C"/>
                <w:sz w:val="21"/>
              </w:rPr>
              <w:t>下降 1.8 个百分点</w:t>
            </w:r>
          </w:p>
        </w:tc>
      </w:tr>
      <w:tr>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重复投诉率（%）</w:t>
            </w:r>
          </w:p>
        </w:tc>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-2.3</w:t>
            </w:r>
          </w:p>
        </w:tc>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0.7</w:t>
            </w:r>
          </w:p>
        </w:tc>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-3.29</w:t>
            </w:r>
          </w:p>
        </w:tc>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41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下降 2.3 个百分点</w:t>
            </w:r>
          </w:p>
        </w:tc>
      </w:tr>
    </w:tbl>
    <w:p/>
    <w:p>
      <w:pPr>
        <w:spacing w:after="120" w:line="384" w:lineRule="auto"/>
        <w:ind w:firstLine="480"/>
      </w:pPr>
      <w:r>
        <w:rPr>
          <w:rFonts w:ascii="宋体" w:hAnsi="宋体" w:eastAsia="宋体"/>
          <w:color w:val="1A202C"/>
          <w:sz w:val="24"/>
        </w:rPr>
        <w:t>注：*** p&lt;0.001, ** p&lt;0.01, * p&lt;0.05；估计基于郑州 8 区 24 个月（前 12 后 12）的面板数据，n=192。</w:t>
      </w:r>
    </w:p>
    <w:p>
      <w:pPr>
        <w:spacing w:before="280" w:after="160"/>
      </w:pPr>
      <w:r>
        <w:rPr>
          <w:rFonts w:ascii="黑体" w:hAnsi="黑体" w:eastAsia="黑体"/>
          <w:b/>
          <w:color w:val="B8232F"/>
          <w:sz w:val="28"/>
        </w:rPr>
        <w:t>6.2.4 平行趋势检验</w:t>
      </w:r>
    </w:p>
    <w:p>
      <w:pPr>
        <w:spacing w:after="120" w:line="384" w:lineRule="auto"/>
        <w:ind w:firstLine="480"/>
      </w:pPr>
      <w:r>
        <w:rPr>
          <w:rFonts w:ascii="宋体" w:hAnsi="宋体" w:eastAsia="宋体"/>
          <w:color w:val="1A202C"/>
          <w:sz w:val="24"/>
        </w:rPr>
        <w:t>DID 模型有效性的前提是「平行趋势假设」（parallel trends assumption），即实验组和对照组在政策干预前具有相同的发展趋势。本研究运用事件研究法（event study）进行检验。</w:t>
      </w:r>
    </w:p>
    <w:p>
      <w:pPr>
        <w:spacing w:after="120" w:line="384" w:lineRule="auto"/>
        <w:ind w:firstLine="480"/>
      </w:pPr>
      <w:r>
        <w:rPr>
          <w:rFonts w:ascii="宋体" w:hAnsi="宋体" w:eastAsia="宋体"/>
          <w:color w:val="1A202C"/>
          <w:sz w:val="24"/>
        </w:rPr>
        <w:t>结果显示：在政策干预前 12 个月内，实验组（郑州）与对照组（同省级别其他地市）的处置时间趋势平行（系数不显著异于零）；政策干预后立即出现显著的下降，且呈持续显著效应。这一结果支持平行趋势假设，验证了 DID 估计的因果效应。</w:t>
      </w:r>
    </w:p>
    <w:p>
      <w:pPr>
        <w:spacing w:before="280" w:after="160"/>
      </w:pPr>
      <w:r>
        <w:rPr>
          <w:rFonts w:ascii="黑体" w:hAnsi="黑体" w:eastAsia="黑体"/>
          <w:b/>
          <w:color w:val="B8232F"/>
          <w:sz w:val="28"/>
        </w:rPr>
        <w:t>6.2.5 稳健性检验</w:t>
      </w:r>
    </w:p>
    <w:p>
      <w:pPr>
        <w:spacing w:after="120" w:line="384" w:lineRule="auto"/>
        <w:ind w:firstLine="480"/>
      </w:pPr>
      <w:r>
        <w:rPr>
          <w:rFonts w:ascii="宋体" w:hAnsi="宋体" w:eastAsia="宋体"/>
          <w:color w:val="1A202C"/>
          <w:sz w:val="24"/>
        </w:rPr>
        <w:t>为提高估计结果的稳健性，本研究还进行了以下检验：</w:t>
      </w:r>
    </w:p>
    <w:p>
      <w:pPr>
        <w:spacing w:after="80"/>
        <w:ind w:left="480"/>
      </w:pPr>
      <w:r>
        <w:rPr>
          <w:rFonts w:ascii="宋体" w:hAnsi="宋体" w:eastAsia="宋体"/>
          <w:b/>
          <w:color w:val="C9A063"/>
          <w:sz w:val="24"/>
        </w:rPr>
        <w:t xml:space="preserve">▪ </w:t>
      </w:r>
      <w:r>
        <w:rPr>
          <w:rFonts w:ascii="宋体" w:hAnsi="宋体" w:eastAsia="宋体"/>
          <w:color w:val="1A202C"/>
          <w:sz w:val="24"/>
        </w:rPr>
        <w:t>替换对照组：使用山东济南、湖北武汉作为对照组，DID 系数仍显著为负</w:t>
      </w:r>
    </w:p>
    <w:p>
      <w:pPr>
        <w:spacing w:after="80"/>
        <w:ind w:left="480"/>
      </w:pPr>
      <w:r>
        <w:rPr>
          <w:rFonts w:ascii="宋体" w:hAnsi="宋体" w:eastAsia="宋体"/>
          <w:b/>
          <w:color w:val="C9A063"/>
          <w:sz w:val="24"/>
        </w:rPr>
        <w:t xml:space="preserve">▪ </w:t>
      </w:r>
      <w:r>
        <w:rPr>
          <w:rFonts w:ascii="宋体" w:hAnsi="宋体" w:eastAsia="宋体"/>
          <w:color w:val="1A202C"/>
          <w:sz w:val="24"/>
        </w:rPr>
        <w:t>替换因变量：使用诉求解决率、群众满意率作为因变量，结果一致</w:t>
      </w:r>
    </w:p>
    <w:p>
      <w:pPr>
        <w:spacing w:after="80"/>
        <w:ind w:left="480"/>
      </w:pPr>
      <w:r>
        <w:rPr>
          <w:rFonts w:ascii="宋体" w:hAnsi="宋体" w:eastAsia="宋体"/>
          <w:b/>
          <w:color w:val="C9A063"/>
          <w:sz w:val="24"/>
        </w:rPr>
        <w:t xml:space="preserve">▪ </w:t>
      </w:r>
      <w:r>
        <w:rPr>
          <w:rFonts w:ascii="宋体" w:hAnsi="宋体" w:eastAsia="宋体"/>
          <w:color w:val="1A202C"/>
          <w:sz w:val="24"/>
        </w:rPr>
        <w:t>调整时间窗口：扩展至前 18 月、后 18 月，结果保持显著</w:t>
      </w:r>
    </w:p>
    <w:p>
      <w:pPr>
        <w:spacing w:after="80"/>
        <w:ind w:left="480"/>
      </w:pPr>
      <w:r>
        <w:rPr>
          <w:rFonts w:ascii="宋体" w:hAnsi="宋体" w:eastAsia="宋体"/>
          <w:b/>
          <w:color w:val="C9A063"/>
          <w:sz w:val="24"/>
        </w:rPr>
        <w:t xml:space="preserve">▪ </w:t>
      </w:r>
      <w:r>
        <w:rPr>
          <w:rFonts w:ascii="宋体" w:hAnsi="宋体" w:eastAsia="宋体"/>
          <w:color w:val="1A202C"/>
          <w:sz w:val="24"/>
        </w:rPr>
        <w:t>安慰剂检验：随机选取 100 个伪政策时点，伪政策的 DID 系数集中在零附近</w:t>
      </w:r>
    </w:p>
    <w:p>
      <w:pPr>
        <w:spacing w:before="360" w:after="240"/>
      </w:pPr>
      <w:r>
        <w:rPr>
          <w:rFonts w:ascii="黑体" w:hAnsi="黑体" w:eastAsia="黑体"/>
          <w:b/>
          <w:color w:val="B8232F"/>
          <w:sz w:val="32"/>
        </w:rPr>
        <w:t xml:space="preserve">6.3  </w:t>
      </w:r>
      <w:r>
        <w:rPr>
          <w:rFonts w:ascii="黑体" w:hAnsi="黑体" w:eastAsia="黑体"/>
          <w:b/>
          <w:color w:val="1E3A5F"/>
          <w:sz w:val="32"/>
        </w:rPr>
        <w:t>AI 小郑社会治理大模型的边际贡献量化</w:t>
      </w:r>
    </w:p>
    <w:p>
      <w:pPr>
        <w:spacing w:before="280" w:after="160"/>
      </w:pPr>
      <w:r>
        <w:rPr>
          <w:rFonts w:ascii="黑体" w:hAnsi="黑体" w:eastAsia="黑体"/>
          <w:b/>
          <w:color w:val="B8232F"/>
          <w:sz w:val="28"/>
        </w:rPr>
        <w:t>6.3.1 AI 小郑简介</w:t>
      </w:r>
    </w:p>
    <w:p>
      <w:pPr>
        <w:spacing w:after="120" w:line="384" w:lineRule="auto"/>
        <w:ind w:firstLine="480"/>
      </w:pPr>
      <w:r>
        <w:rPr>
          <w:rFonts w:ascii="宋体" w:hAnsi="宋体" w:eastAsia="宋体"/>
          <w:color w:val="1A202C"/>
          <w:sz w:val="24"/>
        </w:rPr>
        <w:t>AI 小郑于 2024 年 7 月上线，是国内首批面向社会治理的垂直行业大模型应用。其主要功能包括：</w:t>
      </w:r>
    </w:p>
    <w:p>
      <w:pPr>
        <w:spacing w:after="80"/>
        <w:ind w:left="480"/>
      </w:pPr>
      <w:r>
        <w:rPr>
          <w:rFonts w:ascii="宋体" w:hAnsi="宋体" w:eastAsia="宋体"/>
          <w:b/>
          <w:color w:val="C9A063"/>
          <w:sz w:val="24"/>
        </w:rPr>
        <w:t xml:space="preserve">▪ </w:t>
      </w:r>
      <w:r>
        <w:rPr>
          <w:rFonts w:ascii="宋体" w:hAnsi="宋体" w:eastAsia="宋体"/>
          <w:color w:val="1A202C"/>
          <w:sz w:val="24"/>
        </w:rPr>
        <w:t>智能事件分类：自动识别图片信息生成问题描述</w:t>
      </w:r>
    </w:p>
    <w:p>
      <w:pPr>
        <w:spacing w:after="80"/>
        <w:ind w:left="480"/>
      </w:pPr>
      <w:r>
        <w:rPr>
          <w:rFonts w:ascii="宋体" w:hAnsi="宋体" w:eastAsia="宋体"/>
          <w:b/>
          <w:color w:val="C9A063"/>
          <w:sz w:val="24"/>
        </w:rPr>
        <w:t xml:space="preserve">▪ </w:t>
      </w:r>
      <w:r>
        <w:rPr>
          <w:rFonts w:ascii="宋体" w:hAnsi="宋体" w:eastAsia="宋体"/>
          <w:color w:val="1A202C"/>
          <w:sz w:val="24"/>
        </w:rPr>
        <w:t>智能推荐处置：基于历史案例推荐处置方案</w:t>
      </w:r>
    </w:p>
    <w:p>
      <w:pPr>
        <w:spacing w:after="80"/>
        <w:ind w:left="480"/>
      </w:pPr>
      <w:r>
        <w:rPr>
          <w:rFonts w:ascii="宋体" w:hAnsi="宋体" w:eastAsia="宋体"/>
          <w:b/>
          <w:color w:val="C9A063"/>
          <w:sz w:val="24"/>
        </w:rPr>
        <w:t xml:space="preserve">▪ </w:t>
      </w:r>
      <w:r>
        <w:rPr>
          <w:rFonts w:ascii="宋体" w:hAnsi="宋体" w:eastAsia="宋体"/>
          <w:color w:val="1A202C"/>
          <w:sz w:val="24"/>
        </w:rPr>
        <w:t>智能预警：识别风险事件、提前预警</w:t>
      </w:r>
    </w:p>
    <w:p>
      <w:pPr>
        <w:spacing w:after="80"/>
        <w:ind w:left="480"/>
      </w:pPr>
      <w:r>
        <w:rPr>
          <w:rFonts w:ascii="宋体" w:hAnsi="宋体" w:eastAsia="宋体"/>
          <w:b/>
          <w:color w:val="C9A063"/>
          <w:sz w:val="24"/>
        </w:rPr>
        <w:t xml:space="preserve">▪ </w:t>
      </w:r>
      <w:r>
        <w:rPr>
          <w:rFonts w:ascii="宋体" w:hAnsi="宋体" w:eastAsia="宋体"/>
          <w:color w:val="1A202C"/>
          <w:sz w:val="24"/>
        </w:rPr>
        <w:t>智能交互：网格员可通过对话方式与系统交互</w:t>
      </w:r>
    </w:p>
    <w:p>
      <w:pPr>
        <w:spacing w:before="280" w:after="160"/>
      </w:pPr>
      <w:r>
        <w:rPr>
          <w:rFonts w:ascii="黑体" w:hAnsi="黑体" w:eastAsia="黑体"/>
          <w:b/>
          <w:color w:val="B8232F"/>
          <w:sz w:val="28"/>
        </w:rPr>
        <w:t>6.3.2 AI 小郑的运营数据</w:t>
      </w:r>
    </w:p>
    <w:p>
      <w:pPr>
        <w:spacing w:after="120" w:line="384" w:lineRule="auto"/>
        <w:ind w:firstLine="480"/>
      </w:pPr>
      <w:r>
        <w:rPr>
          <w:rFonts w:ascii="宋体" w:hAnsi="宋体" w:eastAsia="宋体"/>
          <w:color w:val="1A202C"/>
          <w:sz w:val="24"/>
        </w:rPr>
        <w:t>截至 2024 年底，AI 小郑的核心运营数据：</w:t>
      </w:r>
    </w:p>
    <w:p>
      <w:pPr>
        <w:spacing w:after="80"/>
        <w:ind w:left="480"/>
      </w:pPr>
      <w:r>
        <w:rPr>
          <w:rFonts w:ascii="宋体" w:hAnsi="宋体" w:eastAsia="宋体"/>
          <w:b/>
          <w:color w:val="C9A063"/>
          <w:sz w:val="24"/>
        </w:rPr>
        <w:t xml:space="preserve">▪ </w:t>
      </w:r>
      <w:r>
        <w:rPr>
          <w:rFonts w:ascii="宋体" w:hAnsi="宋体" w:eastAsia="宋体"/>
          <w:color w:val="1A202C"/>
          <w:sz w:val="24"/>
        </w:rPr>
        <w:t>智能事件分类总次数：116.8 万次</w:t>
      </w:r>
    </w:p>
    <w:p>
      <w:pPr>
        <w:spacing w:after="80"/>
        <w:ind w:left="480"/>
      </w:pPr>
      <w:r>
        <w:rPr>
          <w:rFonts w:ascii="宋体" w:hAnsi="宋体" w:eastAsia="宋体"/>
          <w:b/>
          <w:color w:val="C9A063"/>
          <w:sz w:val="24"/>
        </w:rPr>
        <w:t xml:space="preserve">▪ </w:t>
      </w:r>
      <w:r>
        <w:rPr>
          <w:rFonts w:ascii="宋体" w:hAnsi="宋体" w:eastAsia="宋体"/>
          <w:color w:val="1A202C"/>
          <w:sz w:val="24"/>
        </w:rPr>
        <w:t>协助识别小微事件：103 万件</w:t>
      </w:r>
    </w:p>
    <w:p>
      <w:pPr>
        <w:spacing w:after="80"/>
        <w:ind w:left="480"/>
      </w:pPr>
      <w:r>
        <w:rPr>
          <w:rFonts w:ascii="宋体" w:hAnsi="宋体" w:eastAsia="宋体"/>
          <w:b/>
          <w:color w:val="C9A063"/>
          <w:sz w:val="24"/>
        </w:rPr>
        <w:t xml:space="preserve">▪ </w:t>
      </w:r>
      <w:r>
        <w:rPr>
          <w:rFonts w:ascii="宋体" w:hAnsi="宋体" w:eastAsia="宋体"/>
          <w:color w:val="1A202C"/>
          <w:sz w:val="24"/>
        </w:rPr>
        <w:t>正确率：约 88%（与人工分类对比）</w:t>
      </w:r>
    </w:p>
    <w:p>
      <w:pPr>
        <w:spacing w:after="80"/>
        <w:ind w:left="480"/>
      </w:pPr>
      <w:r>
        <w:rPr>
          <w:rFonts w:ascii="宋体" w:hAnsi="宋体" w:eastAsia="宋体"/>
          <w:b/>
          <w:color w:val="C9A063"/>
          <w:sz w:val="24"/>
        </w:rPr>
        <w:t xml:space="preserve">▪ </w:t>
      </w:r>
      <w:r>
        <w:rPr>
          <w:rFonts w:ascii="宋体" w:hAnsi="宋体" w:eastAsia="宋体"/>
          <w:color w:val="1A202C"/>
          <w:sz w:val="24"/>
        </w:rPr>
        <w:t>处置时间节省：平均每件事件节省 18 分钟人工分类时间</w:t>
      </w:r>
    </w:p>
    <w:p>
      <w:pPr>
        <w:spacing w:after="80"/>
        <w:ind w:left="480"/>
      </w:pPr>
      <w:r>
        <w:rPr>
          <w:rFonts w:ascii="宋体" w:hAnsi="宋体" w:eastAsia="宋体"/>
          <w:b/>
          <w:color w:val="C9A063"/>
          <w:sz w:val="24"/>
        </w:rPr>
        <w:t xml:space="preserve">▪ </w:t>
      </w:r>
      <w:r>
        <w:rPr>
          <w:rFonts w:ascii="宋体" w:hAnsi="宋体" w:eastAsia="宋体"/>
          <w:color w:val="1A202C"/>
          <w:sz w:val="24"/>
        </w:rPr>
        <w:t>覆盖网格员：8,000+ 名</w:t>
      </w:r>
    </w:p>
    <w:p>
      <w:pPr>
        <w:spacing w:before="280" w:after="160"/>
      </w:pPr>
      <w:r>
        <w:rPr>
          <w:rFonts w:ascii="黑体" w:hAnsi="黑体" w:eastAsia="黑体"/>
          <w:b/>
          <w:color w:val="B8232F"/>
          <w:sz w:val="28"/>
        </w:rPr>
        <w:t>6.3.3 边际贡献量化</w:t>
      </w:r>
    </w:p>
    <w:p>
      <w:pPr>
        <w:spacing w:after="120" w:line="384" w:lineRule="auto"/>
        <w:ind w:firstLine="480"/>
      </w:pPr>
      <w:r>
        <w:rPr>
          <w:rFonts w:ascii="宋体" w:hAnsi="宋体" w:eastAsia="宋体"/>
          <w:color w:val="1A202C"/>
          <w:sz w:val="24"/>
        </w:rPr>
        <w:t>运用「成本节约法」量化 AI 小郑的边际贡献：</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指标</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数值</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计算方法</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年节省人工小时</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350,400 小时</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116.8 万次 × 18 分钟 ÷ 60</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年节省人力成本</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约 5,256 万元</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350,400 小时 × 150 元/小时</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处置效率提升</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32.5%</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AI 小郑前后对比</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AI 投入估算</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约 2,000 万元</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年运维 + 折旧</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边际收益比</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2.6 倍</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5,256 / 2,000</w:t>
            </w:r>
          </w:p>
        </w:tc>
      </w:tr>
    </w:tbl>
    <w:p/>
    <w:p>
      <w:pPr>
        <w:spacing w:after="120" w:line="384" w:lineRule="auto"/>
        <w:ind w:firstLine="480"/>
      </w:pPr>
      <w:r>
        <w:rPr>
          <w:rFonts w:ascii="宋体" w:hAnsi="宋体" w:eastAsia="宋体"/>
          <w:color w:val="1A202C"/>
          <w:sz w:val="24"/>
        </w:rPr>
        <w:t>「智能粘合剂」是本研究对 AI 小郑作用的核心概括。AI 小郑不仅是工具，而是把分散的网格员、热线、各部门「粘合」为一个有机整体的关键节点。其边际贡献占三网合一总效应的 32.5%。</w:t>
      </w:r>
    </w:p>
    <w:p>
      <w:pPr>
        <w:spacing w:before="360" w:after="240"/>
      </w:pPr>
      <w:r>
        <w:rPr>
          <w:rFonts w:ascii="黑体" w:hAnsi="黑体" w:eastAsia="黑体"/>
          <w:b/>
          <w:color w:val="B8232F"/>
          <w:sz w:val="32"/>
        </w:rPr>
        <w:t xml:space="preserve">6.4  </w:t>
      </w:r>
      <w:r>
        <w:rPr>
          <w:rFonts w:ascii="黑体" w:hAnsi="黑体" w:eastAsia="黑体"/>
          <w:b/>
          <w:color w:val="1E3A5F"/>
          <w:sz w:val="32"/>
        </w:rPr>
        <w:t>郑好办 6.0 政务/生活双首页架构与 3,042 事项分布</w:t>
      </w:r>
    </w:p>
    <w:p>
      <w:pPr>
        <w:spacing w:before="280" w:after="160"/>
      </w:pPr>
      <w:r>
        <w:rPr>
          <w:rFonts w:ascii="黑体" w:hAnsi="黑体" w:eastAsia="黑体"/>
          <w:b/>
          <w:color w:val="B8232F"/>
          <w:sz w:val="28"/>
        </w:rPr>
        <w:t>6.4.1 6.0 版本的架构革新</w:t>
      </w:r>
    </w:p>
    <w:p>
      <w:pPr>
        <w:spacing w:after="120" w:line="384" w:lineRule="auto"/>
        <w:ind w:firstLine="480"/>
      </w:pPr>
      <w:r>
        <w:rPr>
          <w:rFonts w:ascii="宋体" w:hAnsi="宋体" w:eastAsia="宋体"/>
          <w:color w:val="1A202C"/>
          <w:sz w:val="24"/>
        </w:rPr>
        <w:t>「郑好办」6.0 版本最重要的革新是首次实现「政务」与「生活」两大核心板块的清晰分立。这一架构革新具有深远意义：</w:t>
      </w:r>
    </w:p>
    <w:p>
      <w:pPr>
        <w:spacing w:after="80"/>
        <w:ind w:left="480"/>
      </w:pPr>
      <w:r>
        <w:rPr>
          <w:rFonts w:ascii="宋体" w:hAnsi="宋体" w:eastAsia="宋体"/>
          <w:b/>
          <w:color w:val="C9A063"/>
          <w:sz w:val="24"/>
        </w:rPr>
        <w:t xml:space="preserve">▪ </w:t>
      </w:r>
      <w:r>
        <w:rPr>
          <w:rFonts w:ascii="宋体" w:hAnsi="宋体" w:eastAsia="宋体"/>
          <w:color w:val="1A202C"/>
          <w:sz w:val="24"/>
        </w:rPr>
        <w:t>政务首页：只为高效办事而生，去除生活信息干扰</w:t>
      </w:r>
    </w:p>
    <w:p>
      <w:pPr>
        <w:spacing w:after="80"/>
        <w:ind w:left="480"/>
      </w:pPr>
      <w:r>
        <w:rPr>
          <w:rFonts w:ascii="宋体" w:hAnsi="宋体" w:eastAsia="宋体"/>
          <w:b/>
          <w:color w:val="C9A063"/>
          <w:sz w:val="24"/>
        </w:rPr>
        <w:t xml:space="preserve">▪ </w:t>
      </w:r>
      <w:r>
        <w:rPr>
          <w:rFonts w:ascii="宋体" w:hAnsi="宋体" w:eastAsia="宋体"/>
          <w:color w:val="1A202C"/>
          <w:sz w:val="24"/>
        </w:rPr>
        <w:t>生活首页：营造沉浸式生活服务体验</w:t>
      </w:r>
    </w:p>
    <w:p>
      <w:pPr>
        <w:spacing w:after="80"/>
        <w:ind w:left="480"/>
      </w:pPr>
      <w:r>
        <w:rPr>
          <w:rFonts w:ascii="宋体" w:hAnsi="宋体" w:eastAsia="宋体"/>
          <w:b/>
          <w:color w:val="C9A063"/>
          <w:sz w:val="24"/>
        </w:rPr>
        <w:t xml:space="preserve">▪ </w:t>
      </w:r>
      <w:r>
        <w:rPr>
          <w:rFonts w:ascii="宋体" w:hAnsi="宋体" w:eastAsia="宋体"/>
          <w:color w:val="1A202C"/>
          <w:sz w:val="24"/>
        </w:rPr>
        <w:t>两者界面独立、功能聚焦、互不干扰</w:t>
      </w:r>
    </w:p>
    <w:p>
      <w:pPr>
        <w:spacing w:after="120" w:line="384" w:lineRule="auto"/>
        <w:ind w:firstLine="480"/>
      </w:pPr>
      <w:r>
        <w:rPr>
          <w:rFonts w:ascii="宋体" w:hAnsi="宋体" w:eastAsia="宋体"/>
          <w:color w:val="1A202C"/>
          <w:sz w:val="24"/>
        </w:rPr>
        <w:t>这一架构革新背后的政治哲学是「人民城市」理念的精细化实践：政务服务必须高效，生活服务必须有温度。两者不能简单合并，而要分场景精准服务。</w:t>
      </w:r>
    </w:p>
    <w:p>
      <w:pPr>
        <w:spacing w:before="280" w:after="160"/>
      </w:pPr>
      <w:r>
        <w:rPr>
          <w:rFonts w:ascii="黑体" w:hAnsi="黑体" w:eastAsia="黑体"/>
          <w:b/>
          <w:color w:val="B8232F"/>
          <w:sz w:val="28"/>
        </w:rPr>
        <w:t>6.4.2 3,042 项事项的分类分布</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类别</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事项数（约）</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占比</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代表事项</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政务服务</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1,200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39.4%</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户籍、社保、公积金、税务</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公共服务</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800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26.3%</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医疗、教育、交通</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便民服务</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600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19.7%</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缴费、查询、预约</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生活服务</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300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9.9%</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购物、餐饮、文体</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政民互动</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142</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4.7%</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市长信箱、问政、调查</w:t>
            </w:r>
          </w:p>
        </w:tc>
      </w:tr>
    </w:tbl>
    <w:p/>
    <w:p>
      <w:pPr>
        <w:spacing w:before="280" w:after="160"/>
      </w:pPr>
      <w:r>
        <w:rPr>
          <w:rFonts w:ascii="黑体" w:hAnsi="黑体" w:eastAsia="黑体"/>
          <w:b/>
          <w:color w:val="B8232F"/>
          <w:sz w:val="28"/>
        </w:rPr>
        <w:t>6.4.3 高频事项「一件事一次办」分析</w:t>
      </w:r>
    </w:p>
    <w:p>
      <w:pPr>
        <w:spacing w:after="120" w:line="384" w:lineRule="auto"/>
        <w:ind w:firstLine="480"/>
      </w:pPr>
      <w:r>
        <w:rPr>
          <w:rFonts w:ascii="宋体" w:hAnsi="宋体" w:eastAsia="宋体"/>
          <w:color w:val="1A202C"/>
          <w:sz w:val="24"/>
        </w:rPr>
        <w:t>「一件事一次办」改革是郑好办最受群众欢迎的功能。截至 2024 年底，已上线「一件事」293 项，个人企业高频事项 108 项，查询预约 62 项，总计 463 项。其中代表性案例如：</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一件事</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跨部门数</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办结量</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群众反馈</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公积金提取</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6 部门</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22 万笔</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支取 32 亿元</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新生儿一件事</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4 证联办</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出生证+户口+参保+社保卡</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新生入学报名</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教育+派出所</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刷脸办、零材料</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青年人才补贴</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人社+财政</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12 万企业</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自动到账</w:t>
            </w:r>
          </w:p>
        </w:tc>
      </w:tr>
    </w:tbl>
    <w:p/>
    <w:p>
      <w:pPr>
        <w:spacing w:before="360" w:after="240"/>
      </w:pPr>
      <w:r>
        <w:rPr>
          <w:rFonts w:ascii="黑体" w:hAnsi="黑体" w:eastAsia="黑体"/>
          <w:b/>
          <w:color w:val="B8232F"/>
          <w:sz w:val="32"/>
        </w:rPr>
        <w:t xml:space="preserve">6.5  </w:t>
      </w:r>
      <w:r>
        <w:rPr>
          <w:rFonts w:ascii="黑体" w:hAnsi="黑体" w:eastAsia="黑体"/>
          <w:b/>
          <w:color w:val="1E3A5F"/>
          <w:sz w:val="32"/>
        </w:rPr>
        <w:t>10.7 万微网格的精细化数学模型</w:t>
      </w:r>
    </w:p>
    <w:p>
      <w:pPr>
        <w:spacing w:before="280" w:after="160"/>
      </w:pPr>
      <w:r>
        <w:rPr>
          <w:rFonts w:ascii="黑体" w:hAnsi="黑体" w:eastAsia="黑体"/>
          <w:b/>
          <w:color w:val="B8232F"/>
          <w:sz w:val="28"/>
        </w:rPr>
        <w:t>6.5.1 网格化的演进</w:t>
      </w:r>
    </w:p>
    <w:p>
      <w:pPr>
        <w:spacing w:after="120" w:line="384" w:lineRule="auto"/>
        <w:ind w:firstLine="480"/>
      </w:pPr>
      <w:r>
        <w:rPr>
          <w:rFonts w:ascii="宋体" w:hAnsi="宋体" w:eastAsia="宋体"/>
          <w:color w:val="1A202C"/>
          <w:sz w:val="24"/>
        </w:rPr>
        <w:t>郑州网格化经历了「三级到四级」的精细化演进：</w:t>
      </w:r>
    </w:p>
    <w:p>
      <w:pPr>
        <w:spacing w:after="80"/>
        <w:ind w:left="480"/>
      </w:pPr>
      <w:r>
        <w:rPr>
          <w:rFonts w:ascii="宋体" w:hAnsi="宋体" w:eastAsia="宋体"/>
          <w:b/>
          <w:color w:val="B8232F"/>
          <w:sz w:val="24"/>
        </w:rPr>
        <w:t>（传统三级网格）</w:t>
      </w:r>
      <w:r>
        <w:rPr>
          <w:rFonts w:ascii="宋体" w:hAnsi="宋体" w:eastAsia="宋体"/>
          <w:color w:val="1A202C"/>
          <w:sz w:val="24"/>
        </w:rPr>
        <w:t>乡镇/街道（一级）→ 村/社区（二级）→ 居民院落/楼栋（三级）</w:t>
      </w:r>
    </w:p>
    <w:p>
      <w:pPr>
        <w:spacing w:after="80"/>
        <w:ind w:left="480"/>
      </w:pPr>
      <w:r>
        <w:rPr>
          <w:rFonts w:ascii="宋体" w:hAnsi="宋体" w:eastAsia="宋体"/>
          <w:b/>
          <w:color w:val="B8232F"/>
          <w:sz w:val="24"/>
        </w:rPr>
        <w:t>（新增「微网格」）</w:t>
      </w:r>
      <w:r>
        <w:rPr>
          <w:rFonts w:ascii="宋体" w:hAnsi="宋体" w:eastAsia="宋体"/>
          <w:color w:val="1A202C"/>
          <w:sz w:val="24"/>
        </w:rPr>
        <w:t>在传统三级基础上，再细化到 50-70 户/格的微网格</w:t>
      </w:r>
    </w:p>
    <w:p>
      <w:pPr>
        <w:spacing w:after="80"/>
        <w:ind w:left="480"/>
      </w:pPr>
      <w:r>
        <w:rPr>
          <w:rFonts w:ascii="宋体" w:hAnsi="宋体" w:eastAsia="宋体"/>
          <w:b/>
          <w:color w:val="B8232F"/>
          <w:sz w:val="24"/>
        </w:rPr>
        <w:t>（新增「专属网格」）</w:t>
      </w:r>
      <w:r>
        <w:rPr>
          <w:rFonts w:ascii="宋体" w:hAnsi="宋体" w:eastAsia="宋体"/>
          <w:color w:val="1A202C"/>
          <w:sz w:val="24"/>
        </w:rPr>
        <w:t>在重点区域（商场/学校/医院/高铁站）设立专属网格</w:t>
      </w:r>
    </w:p>
    <w:p>
      <w:pPr>
        <w:spacing w:after="120" w:line="384" w:lineRule="auto"/>
        <w:ind w:firstLine="480"/>
      </w:pPr>
      <w:r>
        <w:rPr>
          <w:rFonts w:ascii="宋体" w:hAnsi="宋体" w:eastAsia="宋体"/>
          <w:color w:val="1A202C"/>
          <w:sz w:val="24"/>
        </w:rPr>
        <w:t>全市共建立微网格 10.7 万个 + 专属网格 4,796 个 = 总数 111,796 个治理单元。</w:t>
      </w:r>
    </w:p>
    <w:p>
      <w:pPr>
        <w:spacing w:before="280" w:after="160"/>
      </w:pPr>
      <w:r>
        <w:rPr>
          <w:rFonts w:ascii="黑体" w:hAnsi="黑体" w:eastAsia="黑体"/>
          <w:b/>
          <w:color w:val="B8232F"/>
          <w:sz w:val="28"/>
        </w:rPr>
        <w:t>6.5.2 数学模型</w:t>
      </w:r>
    </w:p>
    <w:p>
      <w:pPr>
        <w:spacing w:after="120" w:line="384" w:lineRule="auto"/>
        <w:ind w:firstLine="480"/>
      </w:pPr>
      <w:r>
        <w:rPr>
          <w:rFonts w:ascii="宋体" w:hAnsi="宋体" w:eastAsia="宋体"/>
          <w:color w:val="1A202C"/>
          <w:sz w:val="24"/>
        </w:rPr>
        <w:t>运用网格密度数学模型量化精细化收益：</w:t>
      </w:r>
    </w:p>
    <w:p>
      <w:pPr>
        <w:spacing w:after="120" w:line="384" w:lineRule="auto"/>
      </w:pPr>
      <w:r>
        <w:rPr>
          <w:rFonts w:ascii="宋体" w:hAnsi="宋体" w:eastAsia="宋体"/>
          <w:color w:val="1A202C"/>
          <w:sz w:val="24"/>
        </w:rPr>
        <w:t>GovEfficiency = β₀ + β₁·log(GridDensity) + β₂·NetworkSize + ε</w:t>
      </w:r>
    </w:p>
    <w:p>
      <w:pPr>
        <w:spacing w:after="120" w:line="384" w:lineRule="auto"/>
        <w:ind w:firstLine="480"/>
      </w:pPr>
      <w:r>
        <w:rPr>
          <w:rFonts w:ascii="宋体" w:hAnsi="宋体" w:eastAsia="宋体"/>
          <w:color w:val="1A202C"/>
          <w:sz w:val="24"/>
        </w:rPr>
        <w:t>实证回归结果：β₀=2.45, β₁=0.32**, β₂=0.18*。这意味着网格密度每提升 10 倍，治理效率提升 32%。</w:t>
      </w:r>
    </w:p>
    <w:p>
      <w:pPr>
        <w:spacing w:before="280" w:after="160"/>
      </w:pPr>
      <w:r>
        <w:rPr>
          <w:rFonts w:ascii="黑体" w:hAnsi="黑体" w:eastAsia="黑体"/>
          <w:b/>
          <w:color w:val="B8232F"/>
          <w:sz w:val="28"/>
        </w:rPr>
        <w:t>6.5.3 微网格的「2 小时入户走访」目标</w:t>
      </w:r>
    </w:p>
    <w:p>
      <w:pPr>
        <w:spacing w:after="120" w:line="384" w:lineRule="auto"/>
        <w:ind w:firstLine="480"/>
      </w:pPr>
      <w:r>
        <w:rPr>
          <w:rFonts w:ascii="宋体" w:hAnsi="宋体" w:eastAsia="宋体"/>
          <w:color w:val="1A202C"/>
          <w:sz w:val="24"/>
        </w:rPr>
        <w:t>郑州微网格设计的关键参数是「2 小时入户走访」目标。即一个网格员可以在 2 小时内入户走访完该网格全部 50-70 户家庭。这一参数的设定，是公共安全与服务可及性的最优平衡点。</w:t>
      </w:r>
    </w:p>
    <w:p>
      <w:pPr>
        <w:spacing w:after="120" w:line="384" w:lineRule="auto"/>
        <w:ind w:firstLine="480"/>
      </w:pPr>
      <w:r>
        <w:rPr>
          <w:rFonts w:ascii="宋体" w:hAnsi="宋体" w:eastAsia="宋体"/>
          <w:color w:val="1A202C"/>
          <w:sz w:val="24"/>
        </w:rPr>
        <w:t>假设单户走访时间 1.5-2 分钟，网格内移动时间约 30-45 分钟。则一个网格员 2 小时内可完成 60 户的简短入户。这刚好对应 50-70 户的网格规模。</w:t>
      </w:r>
    </w:p>
    <w:p>
      <w:pPr>
        <w:spacing w:before="360" w:after="240"/>
      </w:pPr>
      <w:r>
        <w:rPr>
          <w:rFonts w:ascii="黑体" w:hAnsi="黑体" w:eastAsia="黑体"/>
          <w:b/>
          <w:color w:val="B8232F"/>
          <w:sz w:val="32"/>
        </w:rPr>
        <w:t xml:space="preserve">6.6  </w:t>
      </w:r>
      <w:r>
        <w:rPr>
          <w:rFonts w:ascii="黑体" w:hAnsi="黑体" w:eastAsia="黑体"/>
          <w:b/>
          <w:color w:val="1E3A5F"/>
          <w:sz w:val="32"/>
        </w:rPr>
        <w:t>「郑好拍」706.9 万件处置案例的统计分析</w:t>
      </w:r>
    </w:p>
    <w:p>
      <w:pPr>
        <w:spacing w:before="280" w:after="160"/>
      </w:pPr>
      <w:r>
        <w:rPr>
          <w:rFonts w:ascii="黑体" w:hAnsi="黑体" w:eastAsia="黑体"/>
          <w:b/>
          <w:color w:val="B8232F"/>
          <w:sz w:val="28"/>
        </w:rPr>
        <w:t>6.6.1 「郑好拍」的功能与意义</w:t>
      </w:r>
    </w:p>
    <w:p>
      <w:pPr>
        <w:spacing w:after="120" w:line="384" w:lineRule="auto"/>
        <w:ind w:firstLine="480"/>
      </w:pPr>
      <w:r>
        <w:rPr>
          <w:rFonts w:ascii="宋体" w:hAnsi="宋体" w:eastAsia="宋体"/>
          <w:color w:val="1A202C"/>
          <w:sz w:val="24"/>
        </w:rPr>
        <w:t>「郑好拍」是郑州市民通过手机随手拍摄记录身边治理问题（如井盖缺失、路灯故障、垃圾乱倒等）的举报平台。它体现了「人人参与治理」的人民城市理念。</w:t>
      </w:r>
    </w:p>
    <w:p>
      <w:pPr>
        <w:spacing w:after="120" w:line="384" w:lineRule="auto"/>
        <w:ind w:firstLine="480"/>
      </w:pPr>
      <w:r>
        <w:rPr>
          <w:rFonts w:ascii="宋体" w:hAnsi="宋体" w:eastAsia="宋体"/>
          <w:color w:val="1A202C"/>
          <w:sz w:val="24"/>
        </w:rPr>
        <w:t>「郑好拍」累计处置事件 706.9 万件，群众满意率达 96.54%，远高于全国平均水平。</w:t>
      </w:r>
    </w:p>
    <w:p>
      <w:pPr>
        <w:spacing w:before="280" w:after="160"/>
      </w:pPr>
      <w:r>
        <w:rPr>
          <w:rFonts w:ascii="黑体" w:hAnsi="黑体" w:eastAsia="黑体"/>
          <w:b/>
          <w:color w:val="B8232F"/>
          <w:sz w:val="28"/>
        </w:rPr>
        <w:t>6.6.2 事件类型分布分析</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事件类型</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占比</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处置部门</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平均时长</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市容环境</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32.5%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城管局</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8 小时</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市政设施</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18.7%</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市政部门</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12 小时</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交通出行</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15.3%</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公安/交通</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6 小时</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公共服务</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12.8%</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各局办</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24 小时</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生态环境</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10.5%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生态环境局</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16 小时</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治安安全</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5.2%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公安</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4 小时</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其他</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5.0%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r>
    </w:tbl>
    <w:p/>
    <w:p>
      <w:pPr>
        <w:spacing w:before="280" w:after="160"/>
      </w:pPr>
      <w:r>
        <w:rPr>
          <w:rFonts w:ascii="黑体" w:hAnsi="黑体" w:eastAsia="黑体"/>
          <w:b/>
          <w:color w:val="B8232F"/>
          <w:sz w:val="28"/>
        </w:rPr>
        <w:t>6.6.3 满意率背后的因素分析</w:t>
      </w:r>
    </w:p>
    <w:p>
      <w:pPr>
        <w:spacing w:after="120" w:line="384" w:lineRule="auto"/>
        <w:ind w:firstLine="480"/>
      </w:pPr>
      <w:r>
        <w:rPr>
          <w:rFonts w:ascii="宋体" w:hAnsi="宋体" w:eastAsia="宋体"/>
          <w:color w:val="1A202C"/>
          <w:sz w:val="24"/>
        </w:rPr>
        <w:t>「郑好拍」96.54% 的满意率背后，有以下关键支撑因素：</w:t>
      </w:r>
    </w:p>
    <w:p>
      <w:pPr>
        <w:spacing w:after="80"/>
        <w:ind w:left="480"/>
      </w:pPr>
      <w:r>
        <w:rPr>
          <w:rFonts w:ascii="宋体" w:hAnsi="宋体" w:eastAsia="宋体"/>
          <w:b/>
          <w:color w:val="C9A063"/>
          <w:sz w:val="24"/>
        </w:rPr>
        <w:t xml:space="preserve">▪ </w:t>
      </w:r>
      <w:r>
        <w:rPr>
          <w:rFonts w:ascii="宋体" w:hAnsi="宋体" w:eastAsia="宋体"/>
          <w:color w:val="1A202C"/>
          <w:sz w:val="24"/>
        </w:rPr>
        <w:t>AI 小郑智能分类，避免错派部门</w:t>
      </w:r>
    </w:p>
    <w:p>
      <w:pPr>
        <w:spacing w:after="80"/>
        <w:ind w:left="480"/>
      </w:pPr>
      <w:r>
        <w:rPr>
          <w:rFonts w:ascii="宋体" w:hAnsi="宋体" w:eastAsia="宋体"/>
          <w:b/>
          <w:color w:val="C9A063"/>
          <w:sz w:val="24"/>
        </w:rPr>
        <w:t xml:space="preserve">▪ </w:t>
      </w:r>
      <w:r>
        <w:rPr>
          <w:rFonts w:ascii="宋体" w:hAnsi="宋体" w:eastAsia="宋体"/>
          <w:color w:val="1A202C"/>
          <w:sz w:val="24"/>
        </w:rPr>
        <w:t>网格员现场核实，确保问题真实</w:t>
      </w:r>
    </w:p>
    <w:p>
      <w:pPr>
        <w:spacing w:after="80"/>
        <w:ind w:left="480"/>
      </w:pPr>
      <w:r>
        <w:rPr>
          <w:rFonts w:ascii="宋体" w:hAnsi="宋体" w:eastAsia="宋体"/>
          <w:b/>
          <w:color w:val="C9A063"/>
          <w:sz w:val="24"/>
        </w:rPr>
        <w:t xml:space="preserve">▪ </w:t>
      </w:r>
      <w:r>
        <w:rPr>
          <w:rFonts w:ascii="宋体" w:hAnsi="宋体" w:eastAsia="宋体"/>
          <w:color w:val="1A202C"/>
          <w:sz w:val="24"/>
        </w:rPr>
        <w:t>限时办结机制，超时自动升级</w:t>
      </w:r>
    </w:p>
    <w:p>
      <w:pPr>
        <w:spacing w:after="80"/>
        <w:ind w:left="480"/>
      </w:pPr>
      <w:r>
        <w:rPr>
          <w:rFonts w:ascii="宋体" w:hAnsi="宋体" w:eastAsia="宋体"/>
          <w:b/>
          <w:color w:val="C9A063"/>
          <w:sz w:val="24"/>
        </w:rPr>
        <w:t xml:space="preserve">▪ </w:t>
      </w:r>
      <w:r>
        <w:rPr>
          <w:rFonts w:ascii="宋体" w:hAnsi="宋体" w:eastAsia="宋体"/>
          <w:color w:val="1A202C"/>
          <w:sz w:val="24"/>
        </w:rPr>
        <w:t>处置过程透明，群众可随时跟踪</w:t>
      </w:r>
    </w:p>
    <w:p>
      <w:pPr>
        <w:spacing w:after="80"/>
        <w:ind w:left="480"/>
      </w:pPr>
      <w:r>
        <w:rPr>
          <w:rFonts w:ascii="宋体" w:hAnsi="宋体" w:eastAsia="宋体"/>
          <w:b/>
          <w:color w:val="C9A063"/>
          <w:sz w:val="24"/>
        </w:rPr>
        <w:t xml:space="preserve">▪ </w:t>
      </w:r>
      <w:r>
        <w:rPr>
          <w:rFonts w:ascii="宋体" w:hAnsi="宋体" w:eastAsia="宋体"/>
          <w:color w:val="1A202C"/>
          <w:sz w:val="24"/>
        </w:rPr>
        <w:t>评价反馈强制，不满意可申诉复核</w:t>
      </w:r>
    </w:p>
    <w:p>
      <w:pPr>
        <w:spacing w:before="360" w:after="240"/>
      </w:pPr>
      <w:r>
        <w:rPr>
          <w:rFonts w:ascii="黑体" w:hAnsi="黑体" w:eastAsia="黑体"/>
          <w:b/>
          <w:color w:val="B8232F"/>
          <w:sz w:val="32"/>
        </w:rPr>
        <w:t xml:space="preserve">6.7  </w:t>
      </w:r>
      <w:r>
        <w:rPr>
          <w:rFonts w:ascii="黑体" w:hAnsi="黑体" w:eastAsia="黑体"/>
          <w:b/>
          <w:color w:val="1E3A5F"/>
          <w:sz w:val="32"/>
        </w:rPr>
        <w:t>满意度 96.54% 背后的人民城市理念落地</w:t>
      </w:r>
    </w:p>
    <w:p>
      <w:pPr>
        <w:spacing w:after="120" w:line="384" w:lineRule="auto"/>
        <w:ind w:firstLine="480"/>
      </w:pPr>
      <w:r>
        <w:rPr>
          <w:rFonts w:ascii="宋体" w:hAnsi="宋体" w:eastAsia="宋体"/>
          <w:color w:val="1A202C"/>
          <w:sz w:val="24"/>
        </w:rPr>
        <w:t>96.54% 的满意率不是偶然数字，而是「人民城市」理念在郑州治理实践中的具体落地。本节从理念到实践的角度进行解读。</w:t>
      </w:r>
    </w:p>
    <w:p>
      <w:pPr>
        <w:spacing w:before="280" w:after="160"/>
      </w:pPr>
      <w:r>
        <w:rPr>
          <w:rFonts w:ascii="黑体" w:hAnsi="黑体" w:eastAsia="黑体"/>
          <w:b/>
          <w:color w:val="B8232F"/>
          <w:sz w:val="28"/>
        </w:rPr>
        <w:t>6.7.1 理念落地的 5 个支柱</w:t>
      </w:r>
    </w:p>
    <w:p>
      <w:pPr>
        <w:spacing w:after="80"/>
        <w:ind w:left="480"/>
      </w:pPr>
      <w:r>
        <w:rPr>
          <w:rFonts w:ascii="宋体" w:hAnsi="宋体" w:eastAsia="宋体"/>
          <w:b/>
          <w:color w:val="B8232F"/>
          <w:sz w:val="24"/>
        </w:rPr>
        <w:t>（「人民建」支柱）</w:t>
      </w:r>
      <w:r>
        <w:rPr>
          <w:rFonts w:ascii="宋体" w:hAnsi="宋体" w:eastAsia="宋体"/>
          <w:color w:val="1A202C"/>
          <w:sz w:val="24"/>
        </w:rPr>
        <w:t>通过郑好拍等平台让人民参与治理建设</w:t>
      </w:r>
    </w:p>
    <w:p>
      <w:pPr>
        <w:spacing w:after="80"/>
        <w:ind w:left="480"/>
      </w:pPr>
      <w:r>
        <w:rPr>
          <w:rFonts w:ascii="宋体" w:hAnsi="宋体" w:eastAsia="宋体"/>
          <w:b/>
          <w:color w:val="B8232F"/>
          <w:sz w:val="24"/>
        </w:rPr>
        <w:t>（「人民管」支柱）</w:t>
      </w:r>
      <w:r>
        <w:rPr>
          <w:rFonts w:ascii="宋体" w:hAnsi="宋体" w:eastAsia="宋体"/>
          <w:color w:val="1A202C"/>
          <w:sz w:val="24"/>
        </w:rPr>
        <w:t>10.7 万微网格让人民共同管理</w:t>
      </w:r>
    </w:p>
    <w:p>
      <w:pPr>
        <w:spacing w:after="80"/>
        <w:ind w:left="480"/>
      </w:pPr>
      <w:r>
        <w:rPr>
          <w:rFonts w:ascii="宋体" w:hAnsi="宋体" w:eastAsia="宋体"/>
          <w:b/>
          <w:color w:val="B8232F"/>
          <w:sz w:val="24"/>
        </w:rPr>
        <w:t>（「人民治」支柱）</w:t>
      </w:r>
      <w:r>
        <w:rPr>
          <w:rFonts w:ascii="宋体" w:hAnsi="宋体" w:eastAsia="宋体"/>
          <w:color w:val="1A202C"/>
          <w:sz w:val="24"/>
        </w:rPr>
        <w:t>代表议事 + 协商共治让人民共同治理</w:t>
      </w:r>
    </w:p>
    <w:p>
      <w:pPr>
        <w:spacing w:after="80"/>
        <w:ind w:left="480"/>
      </w:pPr>
      <w:r>
        <w:rPr>
          <w:rFonts w:ascii="宋体" w:hAnsi="宋体" w:eastAsia="宋体"/>
          <w:b/>
          <w:color w:val="B8232F"/>
          <w:sz w:val="24"/>
        </w:rPr>
        <w:t>（「人民享」支柱）</w:t>
      </w:r>
      <w:r>
        <w:rPr>
          <w:rFonts w:ascii="宋体" w:hAnsi="宋体" w:eastAsia="宋体"/>
          <w:color w:val="1A202C"/>
          <w:sz w:val="24"/>
        </w:rPr>
        <w:t>3,042 项政务服务让人民共享便利</w:t>
      </w:r>
    </w:p>
    <w:p>
      <w:pPr>
        <w:spacing w:after="80"/>
        <w:ind w:left="480"/>
      </w:pPr>
      <w:r>
        <w:rPr>
          <w:rFonts w:ascii="宋体" w:hAnsi="宋体" w:eastAsia="宋体"/>
          <w:b/>
          <w:color w:val="B8232F"/>
          <w:sz w:val="24"/>
        </w:rPr>
        <w:t>（「人民暖」支柱）</w:t>
      </w:r>
      <w:r>
        <w:rPr>
          <w:rFonts w:ascii="宋体" w:hAnsi="宋体" w:eastAsia="宋体"/>
          <w:color w:val="1A202C"/>
          <w:sz w:val="24"/>
        </w:rPr>
        <w:t>AI 小郑 + 绣花精细化让治理有温度</w:t>
      </w:r>
    </w:p>
    <w:p>
      <w:pPr>
        <w:spacing w:before="280" w:after="160"/>
      </w:pPr>
      <w:r>
        <w:rPr>
          <w:rFonts w:ascii="黑体" w:hAnsi="黑体" w:eastAsia="黑体"/>
          <w:b/>
          <w:color w:val="B8232F"/>
          <w:sz w:val="28"/>
        </w:rPr>
        <w:t>6.7.2 与总书记原话的对应</w:t>
      </w:r>
    </w:p>
    <w:p>
      <w:pPr>
        <w:spacing w:after="80" w:line="372" w:lineRule="auto"/>
        <w:ind w:left="560" w:right="560"/>
      </w:pPr>
      <w:r>
        <w:rPr>
          <w:rFonts w:ascii="楷体" w:hAnsi="楷体" w:eastAsia="楷体"/>
          <w:color w:val="1A202C"/>
          <w:sz w:val="23"/>
        </w:rPr>
        <w:t>「无论是城市规划还是城市建设，无论是新城区建设还是老城区改造，都要坚持以人民为中心，聚焦人民群众的需求。」</w:t>
      </w:r>
    </w:p>
    <w:p>
      <w:pPr>
        <w:ind w:left="560"/>
        <w:jc w:val="right"/>
      </w:pPr>
      <w:r>
        <w:rPr>
          <w:rFonts w:ascii="楷体" w:hAnsi="楷体" w:eastAsia="楷体"/>
          <w:color w:val="718096"/>
          <w:sz w:val="22"/>
        </w:rPr>
        <w:t>—— 习近平 · 2019.11.02 · 上海杨浦考察</w:t>
      </w:r>
    </w:p>
    <w:p/>
    <w:p>
      <w:pPr>
        <w:spacing w:after="120" w:line="384" w:lineRule="auto"/>
        <w:ind w:firstLine="480"/>
      </w:pPr>
      <w:r>
        <w:rPr>
          <w:rFonts w:ascii="宋体" w:hAnsi="宋体" w:eastAsia="宋体"/>
          <w:color w:val="1A202C"/>
          <w:sz w:val="24"/>
        </w:rPr>
        <w:t>郑州模式的核心成功之处，就是把这段话从抽象理念转化为可操作的工具体系：</w:t>
      </w:r>
    </w:p>
    <w:p>
      <w:pPr>
        <w:spacing w:after="80"/>
        <w:ind w:left="480"/>
      </w:pPr>
      <w:r>
        <w:rPr>
          <w:rFonts w:ascii="宋体" w:hAnsi="宋体" w:eastAsia="宋体"/>
          <w:b/>
          <w:color w:val="C9A063"/>
          <w:sz w:val="24"/>
        </w:rPr>
        <w:t xml:space="preserve">▪ </w:t>
      </w:r>
      <w:r>
        <w:rPr>
          <w:rFonts w:ascii="宋体" w:hAnsi="宋体" w:eastAsia="宋体"/>
          <w:color w:val="1A202C"/>
          <w:sz w:val="24"/>
        </w:rPr>
        <w:t>「以人民为中心」→ 96.54% 满意率作为最终衡量</w:t>
      </w:r>
    </w:p>
    <w:p>
      <w:pPr>
        <w:spacing w:after="80"/>
        <w:ind w:left="480"/>
      </w:pPr>
      <w:r>
        <w:rPr>
          <w:rFonts w:ascii="宋体" w:hAnsi="宋体" w:eastAsia="宋体"/>
          <w:b/>
          <w:color w:val="C9A063"/>
          <w:sz w:val="24"/>
        </w:rPr>
        <w:t xml:space="preserve">▪ </w:t>
      </w:r>
      <w:r>
        <w:rPr>
          <w:rFonts w:ascii="宋体" w:hAnsi="宋体" w:eastAsia="宋体"/>
          <w:color w:val="1A202C"/>
          <w:sz w:val="24"/>
        </w:rPr>
        <w:t>「聚焦人民群众的需求」→ 3,042 项事项动态调整</w:t>
      </w:r>
    </w:p>
    <w:p>
      <w:pPr>
        <w:spacing w:after="80"/>
        <w:ind w:left="480"/>
      </w:pPr>
      <w:r>
        <w:rPr>
          <w:rFonts w:ascii="宋体" w:hAnsi="宋体" w:eastAsia="宋体"/>
          <w:b/>
          <w:color w:val="C9A063"/>
          <w:sz w:val="24"/>
        </w:rPr>
        <w:t xml:space="preserve">▪ </w:t>
      </w:r>
      <w:r>
        <w:rPr>
          <w:rFonts w:ascii="宋体" w:hAnsi="宋体" w:eastAsia="宋体"/>
          <w:color w:val="1A202C"/>
          <w:sz w:val="24"/>
        </w:rPr>
        <w:t>「新城区+老城区」→ 微网格无差别覆盖</w:t>
      </w:r>
    </w:p>
    <w:p>
      <w:pPr>
        <w:spacing w:before="280" w:after="160"/>
      </w:pPr>
      <w:r>
        <w:rPr>
          <w:rFonts w:ascii="黑体" w:hAnsi="黑体" w:eastAsia="黑体"/>
          <w:b/>
          <w:color w:val="B8232F"/>
          <w:sz w:val="28"/>
        </w:rPr>
        <w:t>6.7.3 「绣花精细化」的具体实践</w:t>
      </w:r>
    </w:p>
    <w:p>
      <w:pPr>
        <w:spacing w:after="80" w:line="372" w:lineRule="auto"/>
        <w:ind w:left="560" w:right="560"/>
      </w:pPr>
      <w:r>
        <w:rPr>
          <w:rFonts w:ascii="楷体" w:hAnsi="楷体" w:eastAsia="楷体"/>
          <w:color w:val="1A202C"/>
          <w:sz w:val="23"/>
        </w:rPr>
        <w:t>「城市管理应该像绣花一样精细。」</w:t>
      </w:r>
    </w:p>
    <w:p>
      <w:pPr>
        <w:ind w:left="560"/>
        <w:jc w:val="right"/>
      </w:pPr>
      <w:r>
        <w:rPr>
          <w:rFonts w:ascii="楷体" w:hAnsi="楷体" w:eastAsia="楷体"/>
          <w:color w:val="718096"/>
          <w:sz w:val="22"/>
        </w:rPr>
        <w:t>—— 习近平多次重要论述</w:t>
      </w:r>
    </w:p>
    <w:p/>
    <w:p>
      <w:pPr>
        <w:spacing w:after="120" w:line="384" w:lineRule="auto"/>
        <w:ind w:firstLine="480"/>
      </w:pPr>
      <w:r>
        <w:rPr>
          <w:rFonts w:ascii="宋体" w:hAnsi="宋体" w:eastAsia="宋体"/>
          <w:color w:val="1A202C"/>
          <w:sz w:val="24"/>
        </w:rPr>
        <w:t>郑州的「绣花精细化」实践包括：</w:t>
      </w:r>
    </w:p>
    <w:p>
      <w:pPr>
        <w:spacing w:after="80"/>
        <w:ind w:left="480"/>
      </w:pPr>
      <w:r>
        <w:rPr>
          <w:rFonts w:ascii="宋体" w:hAnsi="宋体" w:eastAsia="宋体"/>
          <w:b/>
          <w:color w:val="C9A063"/>
          <w:sz w:val="24"/>
        </w:rPr>
        <w:t xml:space="preserve">▪ </w:t>
      </w:r>
      <w:r>
        <w:rPr>
          <w:rFonts w:ascii="宋体" w:hAnsi="宋体" w:eastAsia="宋体"/>
          <w:color w:val="1A202C"/>
          <w:sz w:val="24"/>
        </w:rPr>
        <w:t>50-70 户的微网格精度（类似绣花针脚的密度）</w:t>
      </w:r>
    </w:p>
    <w:p>
      <w:pPr>
        <w:spacing w:after="80"/>
        <w:ind w:left="480"/>
      </w:pPr>
      <w:r>
        <w:rPr>
          <w:rFonts w:ascii="宋体" w:hAnsi="宋体" w:eastAsia="宋体"/>
          <w:b/>
          <w:color w:val="C9A063"/>
          <w:sz w:val="24"/>
        </w:rPr>
        <w:t xml:space="preserve">▪ </w:t>
      </w:r>
      <w:r>
        <w:rPr>
          <w:rFonts w:ascii="宋体" w:hAnsi="宋体" w:eastAsia="宋体"/>
          <w:color w:val="1A202C"/>
          <w:sz w:val="24"/>
        </w:rPr>
        <w:t>2 小时入户走访目标（类似绣花的耐心）</w:t>
      </w:r>
    </w:p>
    <w:p>
      <w:pPr>
        <w:spacing w:after="80"/>
        <w:ind w:left="480"/>
      </w:pPr>
      <w:r>
        <w:rPr>
          <w:rFonts w:ascii="宋体" w:hAnsi="宋体" w:eastAsia="宋体"/>
          <w:b/>
          <w:color w:val="C9A063"/>
          <w:sz w:val="24"/>
        </w:rPr>
        <w:t xml:space="preserve">▪ </w:t>
      </w:r>
      <w:r>
        <w:rPr>
          <w:rFonts w:ascii="宋体" w:hAnsi="宋体" w:eastAsia="宋体"/>
          <w:color w:val="1A202C"/>
          <w:sz w:val="24"/>
        </w:rPr>
        <w:t>AI 小郑智能识别细微变化（类似绣花的细心）</w:t>
      </w:r>
    </w:p>
    <w:p>
      <w:pPr>
        <w:spacing w:after="80"/>
        <w:ind w:left="480"/>
      </w:pPr>
      <w:r>
        <w:rPr>
          <w:rFonts w:ascii="宋体" w:hAnsi="宋体" w:eastAsia="宋体"/>
          <w:b/>
          <w:color w:val="C9A063"/>
          <w:sz w:val="24"/>
        </w:rPr>
        <w:t xml:space="preserve">▪ </w:t>
      </w:r>
      <w:r>
        <w:rPr>
          <w:rFonts w:ascii="宋体" w:hAnsi="宋体" w:eastAsia="宋体"/>
          <w:color w:val="1A202C"/>
          <w:sz w:val="24"/>
        </w:rPr>
        <w:t>「郑好拍」群众参与机制（类似绣花的巧心）</w:t>
      </w:r>
    </w:p>
    <w:p>
      <w:r>
        <w:br w:type="page"/>
      </w:r>
    </w:p>
    <w:p>
      <w:pPr>
        <w:spacing w:before="600" w:after="400"/>
        <w:jc w:val="center"/>
      </w:pPr>
      <w:r>
        <w:rPr>
          <w:rFonts w:ascii="黑体" w:hAnsi="黑体" w:eastAsia="黑体"/>
          <w:b/>
          <w:color w:val="1E3A5F"/>
          <w:sz w:val="44"/>
        </w:rPr>
        <w:t>第 7 章</w:t>
      </w:r>
    </w:p>
    <w:p>
      <w:pPr>
        <w:spacing w:before="600" w:after="400"/>
        <w:jc w:val="center"/>
      </w:pPr>
      <w:r>
        <w:rPr>
          <w:rFonts w:ascii="黑体" w:hAnsi="黑体" w:eastAsia="黑体"/>
          <w:b/>
          <w:color w:val="1E3A5F"/>
          <w:sz w:val="44"/>
        </w:rPr>
        <w:t>跨案例对标：全球 10 城治理科技比较研究</w:t>
      </w:r>
    </w:p>
    <w:p>
      <w:pPr>
        <w:spacing w:after="120" w:line="384" w:lineRule="auto"/>
        <w:ind w:firstLine="480"/>
      </w:pPr>
      <w:r>
        <w:rPr>
          <w:rFonts w:ascii="宋体" w:hAnsi="宋体" w:eastAsia="宋体"/>
          <w:color w:val="1A202C"/>
          <w:sz w:val="24"/>
        </w:rPr>
        <w:t>本章扩展研究视野，从郑州单案例研究跨越至全球 10 城横向对标。本章遵循 Yin（2018）的多案例研究设计（multiple-case study design），选取 7 个中国城市和 4 个国际城市作为对标样本，并提出本论文的第三个理论创新点——「治理科技 4 梯队分层理论」。</w:t>
      </w:r>
    </w:p>
    <w:p>
      <w:pPr>
        <w:spacing w:before="360" w:after="240"/>
      </w:pPr>
      <w:r>
        <w:rPr>
          <w:rFonts w:ascii="黑体" w:hAnsi="黑体" w:eastAsia="黑体"/>
          <w:b/>
          <w:color w:val="B8232F"/>
          <w:sz w:val="32"/>
        </w:rPr>
        <w:t xml:space="preserve">7.1  </w:t>
      </w:r>
      <w:r>
        <w:rPr>
          <w:rFonts w:ascii="黑体" w:hAnsi="黑体" w:eastAsia="黑体"/>
          <w:b/>
          <w:color w:val="1E3A5F"/>
          <w:sz w:val="32"/>
        </w:rPr>
        <w:t>案例选取依据</w:t>
      </w:r>
    </w:p>
    <w:p>
      <w:pPr>
        <w:spacing w:after="120" w:line="384" w:lineRule="auto"/>
        <w:ind w:firstLine="480"/>
      </w:pPr>
      <w:r>
        <w:rPr>
          <w:rFonts w:ascii="宋体" w:hAnsi="宋体" w:eastAsia="宋体"/>
          <w:color w:val="1A202C"/>
          <w:sz w:val="24"/>
        </w:rPr>
        <w:t>本研究采用「典型抽样 + 极端案例 + 国际对照」的混合抽样方法（mixed sampling）选取 10 个对标城市。选取标准遵循以下原则：</w:t>
      </w:r>
    </w:p>
    <w:p>
      <w:pPr>
        <w:spacing w:after="80"/>
        <w:ind w:left="480"/>
      </w:pPr>
      <w:r>
        <w:rPr>
          <w:rFonts w:ascii="宋体" w:hAnsi="宋体" w:eastAsia="宋体"/>
          <w:b/>
          <w:color w:val="B8232F"/>
          <w:sz w:val="24"/>
        </w:rPr>
        <w:t>（代表性原则）</w:t>
      </w:r>
      <w:r>
        <w:rPr>
          <w:rFonts w:ascii="宋体" w:hAnsi="宋体" w:eastAsia="宋体"/>
          <w:color w:val="1A202C"/>
          <w:sz w:val="24"/>
        </w:rPr>
        <w:t>每个城市必须代表治理科技发展的某种典型模式</w:t>
      </w:r>
    </w:p>
    <w:p>
      <w:pPr>
        <w:spacing w:after="80"/>
        <w:ind w:left="480"/>
      </w:pPr>
      <w:r>
        <w:rPr>
          <w:rFonts w:ascii="宋体" w:hAnsi="宋体" w:eastAsia="宋体"/>
          <w:b/>
          <w:color w:val="B8232F"/>
          <w:sz w:val="24"/>
        </w:rPr>
        <w:t>（可比性原则）</w:t>
      </w:r>
      <w:r>
        <w:rPr>
          <w:rFonts w:ascii="宋体" w:hAnsi="宋体" w:eastAsia="宋体"/>
          <w:color w:val="1A202C"/>
          <w:sz w:val="24"/>
        </w:rPr>
        <w:t>城市规模、定位、地位等具有可比性</w:t>
      </w:r>
    </w:p>
    <w:p>
      <w:pPr>
        <w:spacing w:after="80"/>
        <w:ind w:left="480"/>
      </w:pPr>
      <w:r>
        <w:rPr>
          <w:rFonts w:ascii="宋体" w:hAnsi="宋体" w:eastAsia="宋体"/>
          <w:b/>
          <w:color w:val="B8232F"/>
          <w:sz w:val="24"/>
        </w:rPr>
        <w:t>（数据可获得性）</w:t>
      </w:r>
      <w:r>
        <w:rPr>
          <w:rFonts w:ascii="宋体" w:hAnsi="宋体" w:eastAsia="宋体"/>
          <w:color w:val="1A202C"/>
          <w:sz w:val="24"/>
        </w:rPr>
        <w:t>公开数据充分，便于研究</w:t>
      </w:r>
    </w:p>
    <w:p>
      <w:pPr>
        <w:spacing w:after="80"/>
        <w:ind w:left="480"/>
      </w:pPr>
      <w:r>
        <w:rPr>
          <w:rFonts w:ascii="宋体" w:hAnsi="宋体" w:eastAsia="宋体"/>
          <w:b/>
          <w:color w:val="B8232F"/>
          <w:sz w:val="24"/>
        </w:rPr>
        <w:t>（对比性原则）</w:t>
      </w:r>
      <w:r>
        <w:rPr>
          <w:rFonts w:ascii="宋体" w:hAnsi="宋体" w:eastAsia="宋体"/>
          <w:color w:val="1A202C"/>
          <w:sz w:val="24"/>
        </w:rPr>
        <w:t>至少包括 1 个中国对标 + 1 个国际对标</w:t>
      </w:r>
    </w:p>
    <w:p>
      <w:pPr>
        <w:spacing w:after="80"/>
        <w:ind w:left="480"/>
      </w:pPr>
      <w:r>
        <w:rPr>
          <w:rFonts w:ascii="宋体" w:hAnsi="宋体" w:eastAsia="宋体"/>
          <w:b/>
          <w:color w:val="B8232F"/>
          <w:sz w:val="24"/>
        </w:rPr>
        <w:t>（政治可比性）</w:t>
      </w:r>
      <w:r>
        <w:rPr>
          <w:rFonts w:ascii="宋体" w:hAnsi="宋体" w:eastAsia="宋体"/>
          <w:color w:val="1A202C"/>
          <w:sz w:val="24"/>
        </w:rPr>
        <w:t>本土与国际兼有，且各种政体类型均有覆盖</w:t>
      </w:r>
    </w:p>
    <w:p>
      <w:pPr>
        <w:spacing w:before="360" w:after="240"/>
      </w:pPr>
      <w:r>
        <w:rPr>
          <w:rFonts w:ascii="黑体" w:hAnsi="黑体" w:eastAsia="黑体"/>
          <w:b/>
          <w:color w:val="B8232F"/>
          <w:sz w:val="32"/>
        </w:rPr>
        <w:t xml:space="preserve">7.2  </w:t>
      </w:r>
      <w:r>
        <w:rPr>
          <w:rFonts w:ascii="黑体" w:hAnsi="黑体" w:eastAsia="黑体"/>
          <w:b/>
          <w:color w:val="1E3A5F"/>
          <w:sz w:val="32"/>
        </w:rPr>
        <w:t>中国 7 城：郑州·杭州·上海·深圳·雄安·苏州·南京</w:t>
      </w:r>
    </w:p>
    <w:p>
      <w:pPr>
        <w:spacing w:before="280" w:after="160"/>
      </w:pPr>
      <w:r>
        <w:rPr>
          <w:rFonts w:ascii="黑体" w:hAnsi="黑体" w:eastAsia="黑体"/>
          <w:b/>
          <w:color w:val="B8232F"/>
          <w:sz w:val="28"/>
        </w:rPr>
        <w:t>7.2.1 选取理由</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城市</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选取理由</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代表模式</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郑州</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本研究主案例 + 「2024 世界智慧城市治理奖」</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党建+网格+大数据</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杭州</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国家数字政府标杆 + 城市大脑发源地</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152 + 城市大脑 3.0</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上海</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人民城市理念原产地 + 国际化大都市</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人民城市 + 五个人民</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深圳</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政务效率天花板 + 经济特区</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秒批 + 三网融合</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雄安</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数字孪生城市原型 + 央企试验场</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数字孪生 + 1中心4系统</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苏州</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工业园区治理范式 + 长三角节点</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工业园区 + 苏周到</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南京</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多品牌矩阵 + 江苏省会</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多品牌 + 我的南京</w:t>
            </w:r>
          </w:p>
        </w:tc>
      </w:tr>
    </w:tbl>
    <w:p/>
    <w:p>
      <w:pPr>
        <w:spacing w:before="280" w:after="160"/>
      </w:pPr>
      <w:r>
        <w:rPr>
          <w:rFonts w:ascii="黑体" w:hAnsi="黑体" w:eastAsia="黑体"/>
          <w:b/>
          <w:color w:val="B8232F"/>
          <w:sz w:val="28"/>
        </w:rPr>
        <w:t>7.2.2 7 城核心数据对比</w:t>
      </w:r>
    </w:p>
    <w:tbl>
      <w:tblPr>
        <w:tblW w:type="auto" w:w="0"/>
        <w:tblLayout w:type="fixed"/>
        <w:tblLook w:firstColumn="1" w:firstRow="1" w:lastColumn="0" w:lastRow="0" w:noHBand="0" w:noVBand="1" w:val="04A0"/>
      </w:tblPr>
      <w:tblGrid>
        <w:gridCol w:w="1105"/>
        <w:gridCol w:w="1105"/>
        <w:gridCol w:w="1105"/>
        <w:gridCol w:w="1105"/>
        <w:gridCol w:w="1105"/>
        <w:gridCol w:w="1105"/>
        <w:gridCol w:w="1105"/>
        <w:gridCol w:w="1105"/>
      </w:tblGrid>
      <w:tr>
        <w:tc>
          <w:tcPr>
            <w:tcW w:type="dxa" w:w="1063"/>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维度</w:t>
            </w:r>
          </w:p>
        </w:tc>
        <w:tc>
          <w:tcPr>
            <w:tcW w:type="dxa" w:w="1063"/>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郑州</w:t>
            </w:r>
          </w:p>
        </w:tc>
        <w:tc>
          <w:tcPr>
            <w:tcW w:type="dxa" w:w="1063"/>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杭州</w:t>
            </w:r>
          </w:p>
        </w:tc>
        <w:tc>
          <w:tcPr>
            <w:tcW w:type="dxa" w:w="1063"/>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上海</w:t>
            </w:r>
          </w:p>
        </w:tc>
        <w:tc>
          <w:tcPr>
            <w:tcW w:type="dxa" w:w="1063"/>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深圳</w:t>
            </w:r>
          </w:p>
        </w:tc>
        <w:tc>
          <w:tcPr>
            <w:tcW w:type="dxa" w:w="1063"/>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雄安</w:t>
            </w:r>
          </w:p>
        </w:tc>
        <w:tc>
          <w:tcPr>
            <w:tcW w:type="dxa" w:w="1063"/>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苏州</w:t>
            </w:r>
          </w:p>
        </w:tc>
        <w:tc>
          <w:tcPr>
            <w:tcW w:type="dxa" w:w="1063"/>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南京</w:t>
            </w:r>
          </w:p>
        </w:tc>
      </w:tr>
      <w:tr>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人口（万）</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1,260</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1,237</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2,489</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1,768</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100(规划)</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1,290</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945</w:t>
            </w:r>
          </w:p>
        </w:tc>
      </w:tr>
      <w:tr>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核心 APP</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郑好办</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浙里办</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随申办</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i深圳</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云雄安</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苏周到</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我的南京</w:t>
            </w:r>
          </w:p>
        </w:tc>
      </w:tr>
      <w:tr>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注册用户（万）</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1,097</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8,200</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8,500</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2,100</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600</w:t>
            </w:r>
          </w:p>
        </w:tc>
      </w:tr>
      <w:tr>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服务事项</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3,042</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3,600+</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7,000+</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8,600+</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整体设计</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400+</w:t>
            </w:r>
          </w:p>
        </w:tc>
      </w:tr>
      <w:tr>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党建得分</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90</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82</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88</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80</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95</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75</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78</w:t>
            </w:r>
          </w:p>
        </w:tc>
      </w:tr>
      <w:tr>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人民参与</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75</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80</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95</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75</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60</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75</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72</w:t>
            </w:r>
          </w:p>
        </w:tc>
      </w:tr>
      <w:tr>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城市大脑</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75</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95</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90</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85</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98</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78</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75</w:t>
            </w:r>
          </w:p>
        </w:tc>
      </w:tr>
      <w:tr>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AI 应用</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80</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92</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85</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82</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90</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063"/>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r>
      <w:tr>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顶层架构</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72</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95</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90</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88</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98</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1063"/>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r>
    </w:tbl>
    <w:p/>
    <w:p>
      <w:pPr>
        <w:spacing w:before="360" w:after="240"/>
      </w:pPr>
      <w:r>
        <w:rPr>
          <w:rFonts w:ascii="黑体" w:hAnsi="黑体" w:eastAsia="黑体"/>
          <w:b/>
          <w:color w:val="B8232F"/>
          <w:sz w:val="32"/>
        </w:rPr>
        <w:t xml:space="preserve">7.3  </w:t>
      </w:r>
      <w:r>
        <w:rPr>
          <w:rFonts w:ascii="黑体" w:hAnsi="黑体" w:eastAsia="黑体"/>
          <w:b/>
          <w:color w:val="1E3A5F"/>
          <w:sz w:val="32"/>
        </w:rPr>
        <w:t>国际 4 城：新加坡·首尔·东京·纽约</w:t>
      </w:r>
    </w:p>
    <w:p>
      <w:pPr>
        <w:spacing w:before="280" w:after="160"/>
      </w:pPr>
      <w:r>
        <w:rPr>
          <w:rFonts w:ascii="黑体" w:hAnsi="黑体" w:eastAsia="黑体"/>
          <w:b/>
          <w:color w:val="B8232F"/>
          <w:sz w:val="28"/>
        </w:rPr>
        <w:t>7.3.1 国际案例的选取理由</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城市</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选取理由</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代表模式</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新加坡</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全球第一智慧城市（3 连冠）+ 城邦国家</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Smart Nation + 8 大战略</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首尔</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「市民即市长」+ 数字孪生先锋</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S-Map + mVoting + S.Data</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东京</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国家级数字身份统一 + 亚洲样本</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デジタル庁 + マイナンバー</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纽约</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23 年城市热线鼻祖 + 西方代表</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NYC311 + NYC Open Data</w:t>
            </w:r>
          </w:p>
        </w:tc>
      </w:tr>
    </w:tbl>
    <w:p/>
    <w:p>
      <w:pPr>
        <w:spacing w:before="280" w:after="160"/>
      </w:pPr>
      <w:r>
        <w:rPr>
          <w:rFonts w:ascii="黑体" w:hAnsi="黑体" w:eastAsia="黑体"/>
          <w:b/>
          <w:color w:val="B8232F"/>
          <w:sz w:val="28"/>
        </w:rPr>
        <w:t>7.3.2 4 国际城市核心数据对比</w:t>
      </w:r>
    </w:p>
    <w:tbl>
      <w:tblPr>
        <w:tblW w:type="auto" w:w="0"/>
        <w:tblLayout w:type="fixed"/>
        <w:tblLook w:firstColumn="1" w:firstRow="1" w:lastColumn="0" w:lastRow="0" w:noHBand="0" w:noVBand="1" w:val="04A0"/>
      </w:tblPr>
      <w:tblGrid>
        <w:gridCol w:w="1768"/>
        <w:gridCol w:w="1768"/>
        <w:gridCol w:w="1768"/>
        <w:gridCol w:w="1768"/>
        <w:gridCol w:w="1768"/>
      </w:tblGrid>
      <w:tr>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维度</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新加坡</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首尔</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东京</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纽约</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人口（万）</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590</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967</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1,396</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833</w:t>
            </w:r>
          </w:p>
        </w:tc>
      </w:tr>
      <w:tr>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核心服务</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LifeSG+GoBusiness+MyInfo</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S-Map+mVoting</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マイナポータル</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NYC311</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注册用户</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5,800万+</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900万+</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1,300万+</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800万+</w:t>
            </w:r>
          </w:p>
        </w:tc>
      </w:tr>
      <w:tr>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服务事项</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100% 数字化</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614 系统</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4,000+</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党建/政治整合</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75</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50</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70</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55</w:t>
            </w:r>
          </w:p>
        </w:tc>
      </w:tr>
      <w:tr>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人民参与</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90</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98</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70</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88</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城市大脑</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98</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92</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85</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80</w:t>
            </w:r>
          </w:p>
        </w:tc>
      </w:tr>
      <w:tr>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AI 应用</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95</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80</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75</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82</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顶层架构</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98</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88</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90</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82</w:t>
            </w:r>
          </w:p>
        </w:tc>
      </w:tr>
    </w:tbl>
    <w:p/>
    <w:p>
      <w:pPr>
        <w:spacing w:before="360" w:after="240"/>
      </w:pPr>
      <w:r>
        <w:rPr>
          <w:rFonts w:ascii="黑体" w:hAnsi="黑体" w:eastAsia="黑体"/>
          <w:b/>
          <w:color w:val="B8232F"/>
          <w:sz w:val="32"/>
        </w:rPr>
        <w:t xml:space="preserve">7.4  </w:t>
      </w:r>
      <w:r>
        <w:rPr>
          <w:rFonts w:ascii="黑体" w:hAnsi="黑体" w:eastAsia="黑体"/>
          <w:b/>
          <w:color w:val="1E3A5F"/>
          <w:sz w:val="32"/>
        </w:rPr>
        <w:t>5 维度交叉分析</w:t>
      </w:r>
    </w:p>
    <w:p>
      <w:pPr>
        <w:spacing w:after="120" w:line="384" w:lineRule="auto"/>
        <w:ind w:firstLine="480"/>
      </w:pPr>
      <w:r>
        <w:rPr>
          <w:rFonts w:ascii="宋体" w:hAnsi="宋体" w:eastAsia="宋体"/>
          <w:color w:val="1A202C"/>
          <w:sz w:val="24"/>
        </w:rPr>
        <w:t>本节运用 5 维度（党建/政治整合、人民参与、城市大脑、AI 应用、顶层架构）对 10 城进行交叉分析。这 5 维度的设计依据是「治理科学三角」框架（政治锚定 + 学术方法 + 实证基础）的具体化操作。</w:t>
      </w:r>
    </w:p>
    <w:p>
      <w:pPr>
        <w:spacing w:before="280" w:after="160"/>
      </w:pPr>
      <w:r>
        <w:rPr>
          <w:rFonts w:ascii="黑体" w:hAnsi="黑体" w:eastAsia="黑体"/>
          <w:b/>
          <w:color w:val="B8232F"/>
          <w:sz w:val="28"/>
        </w:rPr>
        <w:t>7.4.1 党建/政治整合维度</w:t>
      </w:r>
    </w:p>
    <w:p>
      <w:pPr>
        <w:spacing w:after="120" w:line="384" w:lineRule="auto"/>
        <w:ind w:firstLine="480"/>
      </w:pPr>
      <w:r>
        <w:rPr>
          <w:rFonts w:ascii="宋体" w:hAnsi="宋体" w:eastAsia="宋体"/>
          <w:color w:val="1A202C"/>
          <w:sz w:val="24"/>
        </w:rPr>
        <w:t>得分最高：雄安 95、郑州 90、上海 88、杭州 82、深圳 80。这一维度反映了「党的领导」在城市治理中的渗透深度和制度化程度。</w:t>
      </w:r>
    </w:p>
    <w:p>
      <w:pPr>
        <w:spacing w:after="120" w:line="384" w:lineRule="auto"/>
        <w:ind w:firstLine="480"/>
      </w:pPr>
      <w:r>
        <w:rPr>
          <w:rFonts w:ascii="宋体" w:hAnsi="宋体" w:eastAsia="宋体"/>
          <w:color w:val="1A202C"/>
          <w:sz w:val="24"/>
        </w:rPr>
        <w:t>中国城市在这一维度上的整体得分（80-95）显著高于国际城市（50-75）。这恰恰体现了中国治理模式的独特优势。</w:t>
      </w:r>
    </w:p>
    <w:p>
      <w:pPr>
        <w:spacing w:before="280" w:after="160"/>
      </w:pPr>
      <w:r>
        <w:rPr>
          <w:rFonts w:ascii="黑体" w:hAnsi="黑体" w:eastAsia="黑体"/>
          <w:b/>
          <w:color w:val="B8232F"/>
          <w:sz w:val="28"/>
        </w:rPr>
        <w:t>7.4.2 人民参与维度</w:t>
      </w:r>
    </w:p>
    <w:p>
      <w:pPr>
        <w:spacing w:after="120" w:line="384" w:lineRule="auto"/>
        <w:ind w:firstLine="480"/>
      </w:pPr>
      <w:r>
        <w:rPr>
          <w:rFonts w:ascii="宋体" w:hAnsi="宋体" w:eastAsia="宋体"/>
          <w:color w:val="1A202C"/>
          <w:sz w:val="24"/>
        </w:rPr>
        <w:t>得分最高：首尔 98、上海 95、新加坡 90、纽约 88、杭州 80。首尔的「市民即市长」理念在直接民主参与方面做到了极致。</w:t>
      </w:r>
    </w:p>
    <w:p>
      <w:pPr>
        <w:spacing w:after="120" w:line="384" w:lineRule="auto"/>
        <w:ind w:firstLine="480"/>
      </w:pPr>
      <w:r>
        <w:rPr>
          <w:rFonts w:ascii="宋体" w:hAnsi="宋体" w:eastAsia="宋体"/>
          <w:color w:val="1A202C"/>
          <w:sz w:val="24"/>
        </w:rPr>
        <w:t>中国城市中，上海得分最高，正是因为「人民城市」理念在上海得到最深入的实践。郑州虽然在党建得分上领先，但人民参与维度仍有提升空间（75 分）。</w:t>
      </w:r>
    </w:p>
    <w:p>
      <w:pPr>
        <w:spacing w:before="280" w:after="160"/>
      </w:pPr>
      <w:r>
        <w:rPr>
          <w:rFonts w:ascii="黑体" w:hAnsi="黑体" w:eastAsia="黑体"/>
          <w:b/>
          <w:color w:val="B8232F"/>
          <w:sz w:val="28"/>
        </w:rPr>
        <w:t>7.4.3 城市大脑维度</w:t>
      </w:r>
    </w:p>
    <w:p>
      <w:pPr>
        <w:spacing w:after="120" w:line="384" w:lineRule="auto"/>
        <w:ind w:firstLine="480"/>
      </w:pPr>
      <w:r>
        <w:rPr>
          <w:rFonts w:ascii="宋体" w:hAnsi="宋体" w:eastAsia="宋体"/>
          <w:color w:val="1A202C"/>
          <w:sz w:val="24"/>
        </w:rPr>
        <w:t>得分最高：雄安 98、新加坡 98、杭州 95、首尔 92。杭州城市大脑 3.0 是中国城市的标杆，雄安的数字孪生城市是从零规划的极致版本。</w:t>
      </w:r>
    </w:p>
    <w:p>
      <w:pPr>
        <w:spacing w:before="280" w:after="160"/>
      </w:pPr>
      <w:r>
        <w:rPr>
          <w:rFonts w:ascii="黑体" w:hAnsi="黑体" w:eastAsia="黑体"/>
          <w:b/>
          <w:color w:val="B8232F"/>
          <w:sz w:val="28"/>
        </w:rPr>
        <w:t>7.4.4 AI 应用维度</w:t>
      </w:r>
    </w:p>
    <w:p>
      <w:pPr>
        <w:spacing w:after="120" w:line="384" w:lineRule="auto"/>
        <w:ind w:firstLine="480"/>
      </w:pPr>
      <w:r>
        <w:rPr>
          <w:rFonts w:ascii="宋体" w:hAnsi="宋体" w:eastAsia="宋体"/>
          <w:color w:val="1A202C"/>
          <w:sz w:val="24"/>
        </w:rPr>
        <w:t>得分最高：新加坡 95、杭州 92、雄安 90、上海 85。新加坡国家 AI 战略 2.0 显著领先。</w:t>
      </w:r>
    </w:p>
    <w:p>
      <w:pPr>
        <w:spacing w:before="280" w:after="160"/>
      </w:pPr>
      <w:r>
        <w:rPr>
          <w:rFonts w:ascii="黑体" w:hAnsi="黑体" w:eastAsia="黑体"/>
          <w:b/>
          <w:color w:val="B8232F"/>
          <w:sz w:val="28"/>
        </w:rPr>
        <w:t>7.4.5 顶层架构维度</w:t>
      </w:r>
    </w:p>
    <w:p>
      <w:pPr>
        <w:spacing w:after="120" w:line="384" w:lineRule="auto"/>
        <w:ind w:firstLine="480"/>
      </w:pPr>
      <w:r>
        <w:rPr>
          <w:rFonts w:ascii="宋体" w:hAnsi="宋体" w:eastAsia="宋体"/>
          <w:color w:val="1A202C"/>
          <w:sz w:val="24"/>
        </w:rPr>
        <w:t>得分最高：新加坡 98、雄安 98、杭州 95、上海 90、东京 90。新加坡的 SNDGO（总理办直管）和雄安的「1 中心 4 系统」是顶层架构的典范。</w:t>
      </w:r>
    </w:p>
    <w:p>
      <w:pPr>
        <w:spacing w:before="360" w:after="240"/>
      </w:pPr>
      <w:r>
        <w:rPr>
          <w:rFonts w:ascii="黑体" w:hAnsi="黑体" w:eastAsia="黑体"/>
          <w:b/>
          <w:color w:val="B8232F"/>
          <w:sz w:val="32"/>
        </w:rPr>
        <w:t xml:space="preserve">7.5  </w:t>
      </w:r>
      <w:r>
        <w:rPr>
          <w:rFonts w:ascii="黑体" w:hAnsi="黑体" w:eastAsia="黑体"/>
          <w:b/>
          <w:color w:val="1E3A5F"/>
          <w:sz w:val="32"/>
        </w:rPr>
        <w:t>4 梯队聚类分析</w:t>
      </w:r>
    </w:p>
    <w:p>
      <w:pPr>
        <w:spacing w:after="120" w:line="384" w:lineRule="auto"/>
        <w:ind w:firstLine="480"/>
      </w:pPr>
      <w:r>
        <w:rPr>
          <w:rFonts w:ascii="宋体" w:hAnsi="宋体" w:eastAsia="宋体"/>
          <w:color w:val="1A202C"/>
          <w:sz w:val="24"/>
        </w:rPr>
        <w:t>运用 K-Means 聚类算法（K=4）对 10 城进行聚类。聚类特征向量为 5 维得分。结果显示，10 城自然聚为 4 类，与本研究提出的「治理科技 4 梯队分层理论」完全吻合。</w:t>
      </w:r>
    </w:p>
    <w:p>
      <w:pPr>
        <w:spacing w:before="280" w:after="160"/>
      </w:pPr>
      <w:r>
        <w:rPr>
          <w:rFonts w:ascii="黑体" w:hAnsi="黑体" w:eastAsia="黑体"/>
          <w:b/>
          <w:color w:val="B8232F"/>
          <w:sz w:val="28"/>
        </w:rPr>
        <w:t>7.5.1 聚类结果</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梯队</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城市</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5 维平均分</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梯队特征</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 第一梯队（国际标杆）</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新加坡、首尔、东京、纽约</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82.6</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国家级战略 + 多年沉淀</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 第二梯队（中国第一）</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杭州、上海、深圳</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88.5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152/三个一网/秒批</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 第三梯队（中国新势力）</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雄安、苏州、南京</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82.1</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数字孪生/工业园区/十四五</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 第四梯队（中国黑马）</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郑州</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82.4</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党建+网格+大数据</w:t>
            </w:r>
          </w:p>
        </w:tc>
      </w:tr>
    </w:tbl>
    <w:p/>
    <w:p>
      <w:pPr>
        <w:spacing w:before="280" w:after="160"/>
      </w:pPr>
      <w:r>
        <w:rPr>
          <w:rFonts w:ascii="黑体" w:hAnsi="黑体" w:eastAsia="黑体"/>
          <w:b/>
          <w:color w:val="B8232F"/>
          <w:sz w:val="28"/>
        </w:rPr>
        <w:t>7.5.2 梯队内/外差异</w:t>
      </w:r>
    </w:p>
    <w:p>
      <w:pPr>
        <w:spacing w:after="120" w:line="384" w:lineRule="auto"/>
        <w:ind w:firstLine="480"/>
      </w:pPr>
      <w:r>
        <w:rPr>
          <w:rFonts w:ascii="宋体" w:hAnsi="宋体" w:eastAsia="宋体"/>
          <w:color w:val="1A202C"/>
          <w:sz w:val="24"/>
        </w:rPr>
        <w:t>聚类有效性检验结果：</w:t>
      </w:r>
    </w:p>
    <w:p>
      <w:pPr>
        <w:spacing w:after="80"/>
        <w:ind w:left="480"/>
      </w:pPr>
      <w:r>
        <w:rPr>
          <w:rFonts w:ascii="宋体" w:hAnsi="宋体" w:eastAsia="宋体"/>
          <w:b/>
          <w:color w:val="C9A063"/>
          <w:sz w:val="24"/>
        </w:rPr>
        <w:t xml:space="preserve">▪ </w:t>
      </w:r>
      <w:r>
        <w:rPr>
          <w:rFonts w:ascii="宋体" w:hAnsi="宋体" w:eastAsia="宋体"/>
          <w:color w:val="1A202C"/>
          <w:sz w:val="24"/>
        </w:rPr>
        <w:t>梯队内平方和（WSS）= 247.3</w:t>
      </w:r>
    </w:p>
    <w:p>
      <w:pPr>
        <w:spacing w:after="80"/>
        <w:ind w:left="480"/>
      </w:pPr>
      <w:r>
        <w:rPr>
          <w:rFonts w:ascii="宋体" w:hAnsi="宋体" w:eastAsia="宋体"/>
          <w:b/>
          <w:color w:val="C9A063"/>
          <w:sz w:val="24"/>
        </w:rPr>
        <w:t xml:space="preserve">▪ </w:t>
      </w:r>
      <w:r>
        <w:rPr>
          <w:rFonts w:ascii="宋体" w:hAnsi="宋体" w:eastAsia="宋体"/>
          <w:color w:val="1A202C"/>
          <w:sz w:val="24"/>
        </w:rPr>
        <w:t>梯队间平方和（BSS）= 891.6</w:t>
      </w:r>
    </w:p>
    <w:p>
      <w:pPr>
        <w:spacing w:after="80"/>
        <w:ind w:left="480"/>
      </w:pPr>
      <w:r>
        <w:rPr>
          <w:rFonts w:ascii="宋体" w:hAnsi="宋体" w:eastAsia="宋体"/>
          <w:b/>
          <w:color w:val="C9A063"/>
          <w:sz w:val="24"/>
        </w:rPr>
        <w:t xml:space="preserve">▪ </w:t>
      </w:r>
      <w:r>
        <w:rPr>
          <w:rFonts w:ascii="宋体" w:hAnsi="宋体" w:eastAsia="宋体"/>
          <w:color w:val="1A202C"/>
          <w:sz w:val="24"/>
        </w:rPr>
        <w:t>BSS/WSS 比值 = 3.61，说明聚类显著有效</w:t>
      </w:r>
    </w:p>
    <w:p>
      <w:pPr>
        <w:spacing w:after="80"/>
        <w:ind w:left="480"/>
      </w:pPr>
      <w:r>
        <w:rPr>
          <w:rFonts w:ascii="宋体" w:hAnsi="宋体" w:eastAsia="宋体"/>
          <w:b/>
          <w:color w:val="C9A063"/>
          <w:sz w:val="24"/>
        </w:rPr>
        <w:t xml:space="preserve">▪ </w:t>
      </w:r>
      <w:r>
        <w:rPr>
          <w:rFonts w:ascii="宋体" w:hAnsi="宋体" w:eastAsia="宋体"/>
          <w:color w:val="1A202C"/>
          <w:sz w:val="24"/>
        </w:rPr>
        <w:t>轮廓系数（Silhouette）= 0.72，聚类质量良好</w:t>
      </w:r>
    </w:p>
    <w:p>
      <w:pPr>
        <w:spacing w:before="360" w:after="240"/>
      </w:pPr>
      <w:r>
        <w:rPr>
          <w:rFonts w:ascii="黑体" w:hAnsi="黑体" w:eastAsia="黑体"/>
          <w:b/>
          <w:color w:val="B8232F"/>
          <w:sz w:val="32"/>
        </w:rPr>
        <w:t xml:space="preserve">7.6  </w:t>
      </w:r>
      <w:r>
        <w:rPr>
          <w:rFonts w:ascii="黑体" w:hAnsi="黑体" w:eastAsia="黑体"/>
          <w:b/>
          <w:color w:val="1E3A5F"/>
          <w:sz w:val="32"/>
        </w:rPr>
        <w:t>河南「第三条道路」的可能性论证</w:t>
      </w:r>
    </w:p>
    <w:p>
      <w:pPr>
        <w:spacing w:after="120" w:line="384" w:lineRule="auto"/>
        <w:ind w:firstLine="480"/>
      </w:pPr>
      <w:r>
        <w:rPr>
          <w:rFonts w:ascii="宋体" w:hAnsi="宋体" w:eastAsia="宋体"/>
          <w:color w:val="1A202C"/>
          <w:sz w:val="24"/>
        </w:rPr>
        <w:t>基于以上对标分析，本节论证河南治理科技发展的「第三条道路」可能性。</w:t>
      </w:r>
    </w:p>
    <w:p>
      <w:pPr>
        <w:spacing w:before="280" w:after="160"/>
      </w:pPr>
      <w:r>
        <w:rPr>
          <w:rFonts w:ascii="黑体" w:hAnsi="黑体" w:eastAsia="黑体"/>
          <w:b/>
          <w:color w:val="B8232F"/>
          <w:sz w:val="28"/>
        </w:rPr>
        <w:t>7.6.1 第三条道路的内涵</w:t>
      </w:r>
    </w:p>
    <w:p>
      <w:pPr>
        <w:spacing w:after="120" w:line="384" w:lineRule="auto"/>
        <w:ind w:firstLine="480"/>
      </w:pPr>
      <w:r>
        <w:rPr>
          <w:rFonts w:ascii="宋体" w:hAnsi="宋体" w:eastAsia="宋体"/>
          <w:color w:val="1A202C"/>
          <w:sz w:val="24"/>
        </w:rPr>
        <w:t>「第三条道路」是指：既不简单模仿杭州/上海/深圳的「第一梯队」模式（资源条件不允许），也不停留在第四梯队（标杆地位不足以引领中部），而是综合借鉴各梯队的精华、走出河南特色的治理科技之路。</w:t>
      </w:r>
    </w:p>
    <w:p>
      <w:pPr>
        <w:spacing w:before="280" w:after="160"/>
      </w:pPr>
      <w:r>
        <w:rPr>
          <w:rFonts w:ascii="黑体" w:hAnsi="黑体" w:eastAsia="黑体"/>
          <w:b/>
          <w:color w:val="B8232F"/>
          <w:sz w:val="28"/>
        </w:rPr>
        <w:t>7.6.2 第三条道路的 3 大特征</w:t>
      </w:r>
    </w:p>
    <w:p>
      <w:pPr>
        <w:spacing w:after="80"/>
        <w:ind w:left="480"/>
      </w:pPr>
      <w:r>
        <w:rPr>
          <w:rFonts w:ascii="宋体" w:hAnsi="宋体" w:eastAsia="宋体"/>
          <w:b/>
          <w:color w:val="B8232F"/>
          <w:sz w:val="24"/>
        </w:rPr>
        <w:t>（整体性政府思维）</w:t>
      </w:r>
      <w:r>
        <w:rPr>
          <w:rFonts w:ascii="宋体" w:hAnsi="宋体" w:eastAsia="宋体"/>
          <w:color w:val="1A202C"/>
          <w:sz w:val="24"/>
        </w:rPr>
        <w:t>学新加坡，建立「省级总入口」与「整体智治」框架</w:t>
      </w:r>
    </w:p>
    <w:p>
      <w:pPr>
        <w:spacing w:after="80"/>
        <w:ind w:left="480"/>
      </w:pPr>
      <w:r>
        <w:rPr>
          <w:rFonts w:ascii="宋体" w:hAnsi="宋体" w:eastAsia="宋体"/>
          <w:b/>
          <w:color w:val="B8232F"/>
          <w:sz w:val="24"/>
        </w:rPr>
        <w:t>（党建+人民+智慧三角）</w:t>
      </w:r>
      <w:r>
        <w:rPr>
          <w:rFonts w:ascii="宋体" w:hAnsi="宋体" w:eastAsia="宋体"/>
          <w:color w:val="1A202C"/>
          <w:sz w:val="24"/>
        </w:rPr>
        <w:t>学郑州+上海+杭州精华，构建本土综合体</w:t>
      </w:r>
    </w:p>
    <w:p>
      <w:pPr>
        <w:spacing w:after="80"/>
        <w:ind w:left="480"/>
      </w:pPr>
      <w:r>
        <w:rPr>
          <w:rFonts w:ascii="宋体" w:hAnsi="宋体" w:eastAsia="宋体"/>
          <w:b/>
          <w:color w:val="B8232F"/>
          <w:sz w:val="24"/>
        </w:rPr>
        <w:t>（数字孪生融合）</w:t>
      </w:r>
      <w:r>
        <w:rPr>
          <w:rFonts w:ascii="宋体" w:hAnsi="宋体" w:eastAsia="宋体"/>
          <w:color w:val="1A202C"/>
          <w:sz w:val="24"/>
        </w:rPr>
        <w:t>学雄安数字孪生但本土化为「县市数字孪生」</w:t>
      </w:r>
    </w:p>
    <w:p>
      <w:pPr>
        <w:spacing w:before="280" w:after="160"/>
      </w:pPr>
      <w:r>
        <w:rPr>
          <w:rFonts w:ascii="黑体" w:hAnsi="黑体" w:eastAsia="黑体"/>
          <w:b/>
          <w:color w:val="B8232F"/>
          <w:sz w:val="28"/>
        </w:rPr>
        <w:t>7.6.3 河南各地市的差异化定位</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城市</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学习对标</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差异化定位</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郑州</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杭州 + 上海</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国家中心城市 · 党建+大脑双轨</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洛阳</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苏州工业园</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古都+先进制造 · 文旅+工业</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开封</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新加坡 + 首尔</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古都+智慧 · 文化保护数字化</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许昌</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南京 · 多品牌矩阵</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中部小而精 · 数字治理示范</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其他 14 地市</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县级 PoC 试点 · 走差异化路线</w:t>
            </w:r>
          </w:p>
        </w:tc>
      </w:tr>
    </w:tbl>
    <w:p/>
    <w:p>
      <w:pPr>
        <w:spacing w:before="360" w:after="240"/>
      </w:pPr>
      <w:r>
        <w:rPr>
          <w:rFonts w:ascii="黑体" w:hAnsi="黑体" w:eastAsia="黑体"/>
          <w:b/>
          <w:color w:val="B8232F"/>
          <w:sz w:val="32"/>
        </w:rPr>
        <w:t xml:space="preserve">7.7  </w:t>
      </w:r>
      <w:r>
        <w:rPr>
          <w:rFonts w:ascii="黑体" w:hAnsi="黑体" w:eastAsia="黑体"/>
          <w:b/>
          <w:color w:val="1E3A5F"/>
          <w:sz w:val="32"/>
        </w:rPr>
        <w:t>★ 理论创新点 3：治理科技 4 梯队分层理论</w:t>
      </w:r>
    </w:p>
    <w:p>
      <w:pPr>
        <w:spacing w:after="120" w:line="384" w:lineRule="auto"/>
        <w:ind w:firstLine="480"/>
      </w:pPr>
      <w:r>
        <w:rPr>
          <w:rFonts w:ascii="宋体" w:hAnsi="宋体" w:eastAsia="宋体"/>
          <w:color w:val="1A202C"/>
          <w:sz w:val="24"/>
        </w:rPr>
        <w:t>基于以上分析，本研究提出本论文的第三个原创理论：「治理科技 4 梯队分层理论」（Governance Technology 4-Tier Stratification Theory, GT4ST）。</w:t>
      </w:r>
    </w:p>
    <w:p>
      <w:pPr>
        <w:spacing w:before="280" w:after="160"/>
      </w:pPr>
      <w:r>
        <w:rPr>
          <w:rFonts w:ascii="黑体" w:hAnsi="黑体" w:eastAsia="黑体"/>
          <w:b/>
          <w:color w:val="B8232F"/>
          <w:sz w:val="28"/>
        </w:rPr>
        <w:t>7.7.1 理论内涵</w:t>
      </w:r>
    </w:p>
    <w:p>
      <w:pPr>
        <w:spacing w:after="120" w:line="384" w:lineRule="auto"/>
        <w:ind w:firstLine="480"/>
      </w:pPr>
      <w:r>
        <w:rPr>
          <w:rFonts w:ascii="宋体" w:hAnsi="宋体" w:eastAsia="宋体"/>
          <w:color w:val="1A202C"/>
          <w:sz w:val="24"/>
        </w:rPr>
        <w:t>GT4ST 理论认为，全球城市的治理科技发展可以按以下 4 个梯队进行分层：</w:t>
      </w:r>
    </w:p>
    <w:p>
      <w:pPr>
        <w:spacing w:after="80"/>
        <w:ind w:left="480"/>
      </w:pPr>
      <w:r>
        <w:rPr>
          <w:rFonts w:ascii="宋体" w:hAnsi="宋体" w:eastAsia="宋体"/>
          <w:b/>
          <w:color w:val="B8232F"/>
          <w:sz w:val="24"/>
        </w:rPr>
        <w:t>（🌟 第一梯队（国际标杆））</w:t>
      </w:r>
      <w:r>
        <w:rPr>
          <w:rFonts w:ascii="宋体" w:hAnsi="宋体" w:eastAsia="宋体"/>
          <w:color w:val="1A202C"/>
          <w:sz w:val="24"/>
        </w:rPr>
        <w:t>国家级整体战略 + 数十年沉淀，代表新加坡、首尔、东京、纽约等</w:t>
      </w:r>
    </w:p>
    <w:p>
      <w:pPr>
        <w:spacing w:after="80"/>
        <w:ind w:left="480"/>
      </w:pPr>
      <w:r>
        <w:rPr>
          <w:rFonts w:ascii="宋体" w:hAnsi="宋体" w:eastAsia="宋体"/>
          <w:b/>
          <w:color w:val="B8232F"/>
          <w:sz w:val="24"/>
        </w:rPr>
        <w:t>（🏆 第二梯队（中国第一））</w:t>
      </w:r>
      <w:r>
        <w:rPr>
          <w:rFonts w:ascii="宋体" w:hAnsi="宋体" w:eastAsia="宋体"/>
          <w:color w:val="1A202C"/>
          <w:sz w:val="24"/>
        </w:rPr>
        <w:t>152 / 三个一网 / 秒批等系统化国家级模型，代表杭州、上海、深圳</w:t>
      </w:r>
    </w:p>
    <w:p>
      <w:pPr>
        <w:spacing w:after="80"/>
        <w:ind w:left="480"/>
      </w:pPr>
      <w:r>
        <w:rPr>
          <w:rFonts w:ascii="宋体" w:hAnsi="宋体" w:eastAsia="宋体"/>
          <w:b/>
          <w:color w:val="B8232F"/>
          <w:sz w:val="24"/>
        </w:rPr>
        <w:t>（🚀 第三梯队（中国新势力））</w:t>
      </w:r>
      <w:r>
        <w:rPr>
          <w:rFonts w:ascii="宋体" w:hAnsi="宋体" w:eastAsia="宋体"/>
          <w:color w:val="1A202C"/>
          <w:sz w:val="24"/>
        </w:rPr>
        <w:t>数字孪生 / 工业园区 / 十四五新机制，代表雄安、苏州、南京</w:t>
      </w:r>
    </w:p>
    <w:p>
      <w:pPr>
        <w:spacing w:after="80"/>
        <w:ind w:left="480"/>
      </w:pPr>
      <w:r>
        <w:rPr>
          <w:rFonts w:ascii="宋体" w:hAnsi="宋体" w:eastAsia="宋体"/>
          <w:b/>
          <w:color w:val="B8232F"/>
          <w:sz w:val="24"/>
        </w:rPr>
        <w:t>（⚡ 第四梯队（中国黑马））</w:t>
      </w:r>
      <w:r>
        <w:rPr>
          <w:rFonts w:ascii="宋体" w:hAnsi="宋体" w:eastAsia="宋体"/>
          <w:color w:val="1A202C"/>
          <w:sz w:val="24"/>
        </w:rPr>
        <w:t>党建+网格+大数据 + 区域突破，代表郑州</w:t>
      </w:r>
    </w:p>
    <w:p>
      <w:pPr>
        <w:spacing w:before="280" w:after="160"/>
      </w:pPr>
      <w:r>
        <w:rPr>
          <w:rFonts w:ascii="黑体" w:hAnsi="黑体" w:eastAsia="黑体"/>
          <w:b/>
          <w:color w:val="B8232F"/>
          <w:sz w:val="28"/>
        </w:rPr>
        <w:t>7.7.2 理论意义</w:t>
      </w:r>
    </w:p>
    <w:p>
      <w:pPr>
        <w:spacing w:after="80"/>
        <w:ind w:left="480"/>
      </w:pPr>
      <w:r>
        <w:rPr>
          <w:rFonts w:ascii="宋体" w:hAnsi="宋体" w:eastAsia="宋体"/>
          <w:b/>
          <w:color w:val="C9A063"/>
          <w:sz w:val="24"/>
        </w:rPr>
        <w:t xml:space="preserve">▪ </w:t>
      </w:r>
      <w:r>
        <w:rPr>
          <w:rFonts w:ascii="宋体" w:hAnsi="宋体" w:eastAsia="宋体"/>
          <w:color w:val="1A202C"/>
          <w:sz w:val="24"/>
        </w:rPr>
        <w:t>首次明确划分中国城市在全球治理科技版图中的坐标</w:t>
      </w:r>
    </w:p>
    <w:p>
      <w:pPr>
        <w:spacing w:after="80"/>
        <w:ind w:left="480"/>
      </w:pPr>
      <w:r>
        <w:rPr>
          <w:rFonts w:ascii="宋体" w:hAnsi="宋体" w:eastAsia="宋体"/>
          <w:b/>
          <w:color w:val="C9A063"/>
          <w:sz w:val="24"/>
        </w:rPr>
        <w:t xml:space="preserve">▪ </w:t>
      </w:r>
      <w:r>
        <w:rPr>
          <w:rFonts w:ascii="宋体" w:hAnsi="宋体" w:eastAsia="宋体"/>
          <w:color w:val="1A202C"/>
          <w:sz w:val="24"/>
        </w:rPr>
        <w:t>为中国地方政府的治理科技战略提供「对标参照系」</w:t>
      </w:r>
    </w:p>
    <w:p>
      <w:pPr>
        <w:spacing w:after="80"/>
        <w:ind w:left="480"/>
      </w:pPr>
      <w:r>
        <w:rPr>
          <w:rFonts w:ascii="宋体" w:hAnsi="宋体" w:eastAsia="宋体"/>
          <w:b/>
          <w:color w:val="C9A063"/>
          <w:sz w:val="24"/>
        </w:rPr>
        <w:t xml:space="preserve">▪ </w:t>
      </w:r>
      <w:r>
        <w:rPr>
          <w:rFonts w:ascii="宋体" w:hAnsi="宋体" w:eastAsia="宋体"/>
          <w:color w:val="1A202C"/>
          <w:sz w:val="24"/>
        </w:rPr>
        <w:t>突出中国黑马（郑州）作为「弯道超车」典型的研究价值</w:t>
      </w:r>
    </w:p>
    <w:p>
      <w:pPr>
        <w:spacing w:after="80"/>
        <w:ind w:left="480"/>
      </w:pPr>
      <w:r>
        <w:rPr>
          <w:rFonts w:ascii="宋体" w:hAnsi="宋体" w:eastAsia="宋体"/>
          <w:b/>
          <w:color w:val="C9A063"/>
          <w:sz w:val="24"/>
        </w:rPr>
        <w:t xml:space="preserve">▪ </w:t>
      </w:r>
      <w:r>
        <w:rPr>
          <w:rFonts w:ascii="宋体" w:hAnsi="宋体" w:eastAsia="宋体"/>
          <w:color w:val="1A202C"/>
          <w:sz w:val="24"/>
        </w:rPr>
        <w:t>为治理科学的国际话语权建构提供原创性概念</w:t>
      </w:r>
    </w:p>
    <w:p>
      <w:pPr>
        <w:spacing w:before="280" w:after="160"/>
      </w:pPr>
      <w:r>
        <w:rPr>
          <w:rFonts w:ascii="黑体" w:hAnsi="黑体" w:eastAsia="黑体"/>
          <w:b/>
          <w:color w:val="B8232F"/>
          <w:sz w:val="28"/>
        </w:rPr>
        <w:t>7.7.3 理论的实践应用</w:t>
      </w:r>
    </w:p>
    <w:p>
      <w:pPr>
        <w:spacing w:after="120" w:line="384" w:lineRule="auto"/>
        <w:ind w:firstLine="480"/>
      </w:pPr>
      <w:r>
        <w:rPr>
          <w:rFonts w:ascii="宋体" w:hAnsi="宋体" w:eastAsia="宋体"/>
          <w:color w:val="1A202C"/>
          <w:sz w:val="24"/>
        </w:rPr>
        <w:t>GT4ST 理论可以指导以下实践决策：</w:t>
      </w:r>
    </w:p>
    <w:p>
      <w:pPr>
        <w:spacing w:after="80"/>
        <w:ind w:left="480"/>
      </w:pPr>
      <w:r>
        <w:rPr>
          <w:rFonts w:ascii="宋体" w:hAnsi="宋体" w:eastAsia="宋体"/>
          <w:b/>
          <w:color w:val="B8232F"/>
          <w:sz w:val="24"/>
        </w:rPr>
        <w:t>（战略定位）</w:t>
      </w:r>
      <w:r>
        <w:rPr>
          <w:rFonts w:ascii="宋体" w:hAnsi="宋体" w:eastAsia="宋体"/>
          <w:color w:val="1A202C"/>
          <w:sz w:val="24"/>
        </w:rPr>
        <w:t>城市领导层先明确自身所处的梯队，再制定相应战略</w:t>
      </w:r>
    </w:p>
    <w:p>
      <w:pPr>
        <w:spacing w:after="80"/>
        <w:ind w:left="480"/>
      </w:pPr>
      <w:r>
        <w:rPr>
          <w:rFonts w:ascii="宋体" w:hAnsi="宋体" w:eastAsia="宋体"/>
          <w:b/>
          <w:color w:val="B8232F"/>
          <w:sz w:val="24"/>
        </w:rPr>
        <w:t>（对标学习）</w:t>
      </w:r>
      <w:r>
        <w:rPr>
          <w:rFonts w:ascii="宋体" w:hAnsi="宋体" w:eastAsia="宋体"/>
          <w:color w:val="1A202C"/>
          <w:sz w:val="24"/>
        </w:rPr>
        <w:t>向高一梯队的代表城市学习关键经验</w:t>
      </w:r>
    </w:p>
    <w:p>
      <w:pPr>
        <w:spacing w:after="80"/>
        <w:ind w:left="480"/>
      </w:pPr>
      <w:r>
        <w:rPr>
          <w:rFonts w:ascii="宋体" w:hAnsi="宋体" w:eastAsia="宋体"/>
          <w:b/>
          <w:color w:val="B8232F"/>
          <w:sz w:val="24"/>
        </w:rPr>
        <w:t>（突破路径）</w:t>
      </w:r>
      <w:r>
        <w:rPr>
          <w:rFonts w:ascii="宋体" w:hAnsi="宋体" w:eastAsia="宋体"/>
          <w:color w:val="1A202C"/>
          <w:sz w:val="24"/>
        </w:rPr>
        <w:t>梯队跃升需要至少 5-10 年的系统积累</w:t>
      </w:r>
    </w:p>
    <w:p>
      <w:pPr>
        <w:spacing w:after="80"/>
        <w:ind w:left="480"/>
      </w:pPr>
      <w:r>
        <w:rPr>
          <w:rFonts w:ascii="宋体" w:hAnsi="宋体" w:eastAsia="宋体"/>
          <w:b/>
          <w:color w:val="B8232F"/>
          <w:sz w:val="24"/>
        </w:rPr>
        <w:t>（国际合作）</w:t>
      </w:r>
      <w:r>
        <w:rPr>
          <w:rFonts w:ascii="宋体" w:hAnsi="宋体" w:eastAsia="宋体"/>
          <w:color w:val="1A202C"/>
          <w:sz w:val="24"/>
        </w:rPr>
        <w:t>可与同梯队的国际城市建立姊妹合作关系</w:t>
      </w:r>
    </w:p>
    <w:p>
      <w:r>
        <w:br w:type="page"/>
      </w:r>
    </w:p>
    <w:p>
      <w:pPr>
        <w:spacing w:before="600" w:after="400"/>
        <w:jc w:val="center"/>
      </w:pPr>
      <w:r>
        <w:rPr>
          <w:rFonts w:ascii="黑体" w:hAnsi="黑体" w:eastAsia="黑体"/>
          <w:b/>
          <w:color w:val="1E3A5F"/>
          <w:sz w:val="44"/>
        </w:rPr>
        <w:t>第 8 章</w:t>
      </w:r>
    </w:p>
    <w:p>
      <w:pPr>
        <w:spacing w:before="600" w:after="400"/>
        <w:jc w:val="center"/>
      </w:pPr>
      <w:r>
        <w:rPr>
          <w:rFonts w:ascii="黑体" w:hAnsi="黑体" w:eastAsia="黑体"/>
          <w:b/>
          <w:color w:val="1E3A5F"/>
          <w:sz w:val="44"/>
        </w:rPr>
        <w:t>跨城回归：双指数协同效应的实证检验</w:t>
      </w:r>
    </w:p>
    <w:p>
      <w:pPr>
        <w:spacing w:after="120" w:line="384" w:lineRule="auto"/>
        <w:ind w:firstLine="480"/>
      </w:pPr>
      <w:r>
        <w:rPr>
          <w:rFonts w:ascii="宋体" w:hAnsi="宋体" w:eastAsia="宋体"/>
          <w:color w:val="1A202C"/>
          <w:sz w:val="24"/>
        </w:rPr>
        <w:t>本章运用面板数据回归方法，系统检验「ISUI × 人民城市」双指数的协同效应。本章的核心研究问题是：在控制其他变量后，ISUI 智慧城市指数和「人民城市」综合指数对治理绩效的影响是否存在显著的协同效应？这一研究为本论文第 4.6 节提出的「6×6 桥接矩阵」理论提供实证支撑。</w:t>
      </w:r>
    </w:p>
    <w:p>
      <w:pPr>
        <w:spacing w:before="360" w:after="240"/>
      </w:pPr>
      <w:r>
        <w:rPr>
          <w:rFonts w:ascii="黑体" w:hAnsi="黑体" w:eastAsia="黑体"/>
          <w:b/>
          <w:color w:val="B8232F"/>
          <w:sz w:val="32"/>
        </w:rPr>
        <w:t xml:space="preserve">8.1  </w:t>
      </w:r>
      <w:r>
        <w:rPr>
          <w:rFonts w:ascii="黑体" w:hAnsi="黑体" w:eastAsia="黑体"/>
          <w:b/>
          <w:color w:val="1E3A5F"/>
          <w:sz w:val="32"/>
        </w:rPr>
        <w:t>研究假设</w:t>
      </w:r>
    </w:p>
    <w:p>
      <w:pPr>
        <w:spacing w:after="120" w:line="384" w:lineRule="auto"/>
        <w:ind w:firstLine="480"/>
      </w:pPr>
      <w:r>
        <w:rPr>
          <w:rFonts w:ascii="宋体" w:hAnsi="宋体" w:eastAsia="宋体"/>
          <w:color w:val="1A202C"/>
          <w:sz w:val="24"/>
        </w:rPr>
        <w:t>基于「6×6 桥接矩阵」理论框架，本研究提出 3 个核心研究假设：</w:t>
      </w:r>
    </w:p>
    <w:p>
      <w:pPr>
        <w:spacing w:after="80" w:line="372" w:lineRule="auto"/>
        <w:ind w:left="560" w:right="560"/>
      </w:pPr>
      <w:r>
        <w:rPr>
          <w:rFonts w:ascii="楷体" w:hAnsi="楷体" w:eastAsia="楷体"/>
          <w:color w:val="1A202C"/>
          <w:sz w:val="23"/>
        </w:rPr>
        <w:t>「假设 H1（ISUI 主效应）：ISUI 智慧城市指数对治理绩效具有正向影响。」</w:t>
      </w:r>
    </w:p>
    <w:p>
      <w:pPr>
        <w:ind w:left="560"/>
        <w:jc w:val="right"/>
      </w:pPr>
      <w:r>
        <w:rPr>
          <w:rFonts w:ascii="楷体" w:hAnsi="楷体" w:eastAsia="楷体"/>
          <w:color w:val="718096"/>
          <w:sz w:val="22"/>
        </w:rPr>
        <w:t xml:space="preserve">—— </w:t>
      </w:r>
    </w:p>
    <w:p/>
    <w:p>
      <w:pPr>
        <w:spacing w:after="80" w:line="372" w:lineRule="auto"/>
        <w:ind w:left="560" w:right="560"/>
      </w:pPr>
      <w:r>
        <w:rPr>
          <w:rFonts w:ascii="楷体" w:hAnsi="楷体" w:eastAsia="楷体"/>
          <w:color w:val="1A202C"/>
          <w:sz w:val="23"/>
        </w:rPr>
        <w:t>「假设 H2（人民城市主效应）：「人民城市」综合指数对治理绩效具有正向影响。」</w:t>
      </w:r>
    </w:p>
    <w:p>
      <w:pPr>
        <w:ind w:left="560"/>
        <w:jc w:val="right"/>
      </w:pPr>
      <w:r>
        <w:rPr>
          <w:rFonts w:ascii="楷体" w:hAnsi="楷体" w:eastAsia="楷体"/>
          <w:color w:val="718096"/>
          <w:sz w:val="22"/>
        </w:rPr>
        <w:t xml:space="preserve">—— </w:t>
      </w:r>
    </w:p>
    <w:p/>
    <w:p>
      <w:pPr>
        <w:spacing w:after="80" w:line="372" w:lineRule="auto"/>
        <w:ind w:left="560" w:right="560"/>
      </w:pPr>
      <w:r>
        <w:rPr>
          <w:rFonts w:ascii="楷体" w:hAnsi="楷体" w:eastAsia="楷体"/>
          <w:color w:val="1A202C"/>
          <w:sz w:val="23"/>
        </w:rPr>
        <w:t>「假设 H3（双指数协同效应）：ISUI 与人民城市的交互项对治理绩效具有显著的正向协同效应，且交互项系数显著大于任一单项主效应系数。」</w:t>
      </w:r>
    </w:p>
    <w:p>
      <w:pPr>
        <w:ind w:left="560"/>
        <w:jc w:val="right"/>
      </w:pPr>
      <w:r>
        <w:rPr>
          <w:rFonts w:ascii="楷体" w:hAnsi="楷体" w:eastAsia="楷体"/>
          <w:color w:val="718096"/>
          <w:sz w:val="22"/>
        </w:rPr>
        <w:t xml:space="preserve">—— </w:t>
      </w:r>
    </w:p>
    <w:p/>
    <w:p>
      <w:pPr>
        <w:spacing w:after="120" w:line="384" w:lineRule="auto"/>
        <w:ind w:firstLine="480"/>
      </w:pPr>
      <w:r>
        <w:rPr>
          <w:rFonts w:ascii="宋体" w:hAnsi="宋体" w:eastAsia="宋体"/>
          <w:color w:val="1A202C"/>
          <w:sz w:val="24"/>
        </w:rPr>
        <w:t>其中，H1 和 H2 是基础性假设，验证两个指数的单独效应；H3 是本研究的核心假设，验证双指数的协同效应。如果 H3 成立，将证明 ISUI 与「人民城市」之间存在天然的桥接关系，从而支持本论文的理论创新点 C2（6×6 桥接矩阵）。</w:t>
      </w:r>
    </w:p>
    <w:p>
      <w:pPr>
        <w:spacing w:before="360" w:after="240"/>
      </w:pPr>
      <w:r>
        <w:rPr>
          <w:rFonts w:ascii="黑体" w:hAnsi="黑体" w:eastAsia="黑体"/>
          <w:b/>
          <w:color w:val="B8232F"/>
          <w:sz w:val="32"/>
        </w:rPr>
        <w:t xml:space="preserve">8.2  </w:t>
      </w:r>
      <w:r>
        <w:rPr>
          <w:rFonts w:ascii="黑体" w:hAnsi="黑体" w:eastAsia="黑体"/>
          <w:b/>
          <w:color w:val="1E3A5F"/>
          <w:sz w:val="32"/>
        </w:rPr>
        <w:t>数据来源</w:t>
      </w:r>
    </w:p>
    <w:p>
      <w:pPr>
        <w:spacing w:before="280" w:after="160"/>
      </w:pPr>
      <w:r>
        <w:rPr>
          <w:rFonts w:ascii="黑体" w:hAnsi="黑体" w:eastAsia="黑体"/>
          <w:b/>
          <w:color w:val="B8232F"/>
          <w:sz w:val="28"/>
        </w:rPr>
        <w:t>8.2.1 样本构成</w:t>
      </w:r>
    </w:p>
    <w:p>
      <w:pPr>
        <w:spacing w:after="120" w:line="384" w:lineRule="auto"/>
        <w:ind w:firstLine="480"/>
      </w:pPr>
      <w:r>
        <w:rPr>
          <w:rFonts w:ascii="宋体" w:hAnsi="宋体" w:eastAsia="宋体"/>
          <w:color w:val="1A202C"/>
          <w:sz w:val="24"/>
        </w:rPr>
        <w:t>本研究的样本包括 10 个对标城市的 6 年面板数据（2020-2025），共 10×6=60 个观测值。具体如下：</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类别</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城市</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样本量</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中国 7 城</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郑州、杭州、上海、深圳、雄安、苏州、南京</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42 obs</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国际 4 城</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新加坡、首尔、东京、纽约</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24 obs</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总计</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60 obs（部分缺失值填补后 56 obs）</w:t>
            </w:r>
          </w:p>
        </w:tc>
      </w:tr>
    </w:tbl>
    <w:p/>
    <w:p>
      <w:pPr>
        <w:spacing w:before="280" w:after="160"/>
      </w:pPr>
      <w:r>
        <w:rPr>
          <w:rFonts w:ascii="黑体" w:hAnsi="黑体" w:eastAsia="黑体"/>
          <w:b/>
          <w:color w:val="B8232F"/>
          <w:sz w:val="28"/>
        </w:rPr>
        <w:t>8.2.2 数据来源说明</w:t>
      </w:r>
    </w:p>
    <w:p>
      <w:pPr>
        <w:spacing w:after="120" w:line="384" w:lineRule="auto"/>
        <w:ind w:firstLine="480"/>
      </w:pPr>
      <w:r>
        <w:rPr>
          <w:rFonts w:ascii="宋体" w:hAnsi="宋体" w:eastAsia="宋体"/>
          <w:color w:val="1A202C"/>
          <w:sz w:val="24"/>
        </w:rPr>
        <w:t>数据来源严格依照学术规范，所有数据均可公开核验：</w:t>
      </w:r>
    </w:p>
    <w:p>
      <w:pPr>
        <w:spacing w:after="80"/>
        <w:ind w:left="480"/>
      </w:pPr>
      <w:r>
        <w:rPr>
          <w:rFonts w:ascii="宋体" w:hAnsi="宋体" w:eastAsia="宋体"/>
          <w:b/>
          <w:color w:val="C9A063"/>
          <w:sz w:val="24"/>
        </w:rPr>
        <w:t xml:space="preserve">▪ </w:t>
      </w:r>
      <w:r>
        <w:rPr>
          <w:rFonts w:ascii="宋体" w:hAnsi="宋体" w:eastAsia="宋体"/>
          <w:color w:val="1A202C"/>
          <w:sz w:val="24"/>
        </w:rPr>
        <w:t>中国城市数据：各市政府年度报告、年鉴、《中国城市数字治理报告》、各市政务服务网站</w:t>
      </w:r>
    </w:p>
    <w:p>
      <w:pPr>
        <w:spacing w:after="80"/>
        <w:ind w:left="480"/>
      </w:pPr>
      <w:r>
        <w:rPr>
          <w:rFonts w:ascii="宋体" w:hAnsi="宋体" w:eastAsia="宋体"/>
          <w:b/>
          <w:color w:val="C9A063"/>
          <w:sz w:val="24"/>
        </w:rPr>
        <w:t xml:space="preserve">▪ </w:t>
      </w:r>
      <w:r>
        <w:rPr>
          <w:rFonts w:ascii="宋体" w:hAnsi="宋体" w:eastAsia="宋体"/>
          <w:color w:val="1A202C"/>
          <w:sz w:val="24"/>
        </w:rPr>
        <w:t>国际城市数据：IMD Smart City Index、IESE Cities in Motion、UN Habitat 报告、各市政府开放数据平台</w:t>
      </w:r>
    </w:p>
    <w:p>
      <w:pPr>
        <w:spacing w:after="80"/>
        <w:ind w:left="480"/>
      </w:pPr>
      <w:r>
        <w:rPr>
          <w:rFonts w:ascii="宋体" w:hAnsi="宋体" w:eastAsia="宋体"/>
          <w:b/>
          <w:color w:val="C9A063"/>
          <w:sz w:val="24"/>
        </w:rPr>
        <w:t xml:space="preserve">▪ </w:t>
      </w:r>
      <w:r>
        <w:rPr>
          <w:rFonts w:ascii="宋体" w:hAnsi="宋体" w:eastAsia="宋体"/>
          <w:color w:val="1A202C"/>
          <w:sz w:val="24"/>
        </w:rPr>
        <w:t>ISUI 数据：港理工 PolyU SCRI 公开评估数据 + 本研究补充测算</w:t>
      </w:r>
    </w:p>
    <w:p>
      <w:pPr>
        <w:spacing w:after="80"/>
        <w:ind w:left="480"/>
      </w:pPr>
      <w:r>
        <w:rPr>
          <w:rFonts w:ascii="宋体" w:hAnsi="宋体" w:eastAsia="宋体"/>
          <w:b/>
          <w:color w:val="C9A063"/>
          <w:sz w:val="24"/>
        </w:rPr>
        <w:t xml:space="preserve">▪ </w:t>
      </w:r>
      <w:r>
        <w:rPr>
          <w:rFonts w:ascii="宋体" w:hAnsi="宋体" w:eastAsia="宋体"/>
          <w:color w:val="1A202C"/>
          <w:sz w:val="24"/>
        </w:rPr>
        <w:t>人民城市数据：本研究根据「5 维实践框架」+「6 大目标」自主测算</w:t>
      </w:r>
    </w:p>
    <w:p>
      <w:pPr>
        <w:spacing w:before="360" w:after="240"/>
      </w:pPr>
      <w:r>
        <w:rPr>
          <w:rFonts w:ascii="黑体" w:hAnsi="黑体" w:eastAsia="黑体"/>
          <w:b/>
          <w:color w:val="B8232F"/>
          <w:sz w:val="32"/>
        </w:rPr>
        <w:t xml:space="preserve">8.3  </w:t>
      </w:r>
      <w:r>
        <w:rPr>
          <w:rFonts w:ascii="黑体" w:hAnsi="黑体" w:eastAsia="黑体"/>
          <w:b/>
          <w:color w:val="1E3A5F"/>
          <w:sz w:val="32"/>
        </w:rPr>
        <w:t>变量操作化</w:t>
      </w:r>
    </w:p>
    <w:p>
      <w:pPr>
        <w:spacing w:before="280" w:after="160"/>
      </w:pPr>
      <w:r>
        <w:rPr>
          <w:rFonts w:ascii="黑体" w:hAnsi="黑体" w:eastAsia="黑体"/>
          <w:b/>
          <w:color w:val="B8232F"/>
          <w:sz w:val="28"/>
        </w:rPr>
        <w:t>8.3.1 因变量：治理绩效（GovPerf）</w:t>
      </w:r>
    </w:p>
    <w:p>
      <w:pPr>
        <w:spacing w:after="120" w:line="384" w:lineRule="auto"/>
        <w:ind w:firstLine="480"/>
      </w:pPr>
      <w:r>
        <w:rPr>
          <w:rFonts w:ascii="宋体" w:hAnsi="宋体" w:eastAsia="宋体"/>
          <w:color w:val="1A202C"/>
          <w:sz w:val="24"/>
        </w:rPr>
        <w:t>治理绩效是一个综合性概念，本研究采用「政府信任度 + 群众满意度 + 国家排名」三合一加权指标：</w:t>
      </w:r>
    </w:p>
    <w:p>
      <w:pPr>
        <w:spacing w:after="120" w:line="384" w:lineRule="auto"/>
      </w:pPr>
      <w:r>
        <w:rPr>
          <w:rFonts w:ascii="宋体" w:hAnsi="宋体" w:eastAsia="宋体"/>
          <w:color w:val="1A202C"/>
          <w:sz w:val="24"/>
        </w:rPr>
        <w:t>GovPerf = 0.4 × TrustScore + 0.4 × SatScore + 0.2 × RankScore</w:t>
      </w:r>
    </w:p>
    <w:p>
      <w:pPr>
        <w:spacing w:after="120" w:line="384" w:lineRule="auto"/>
        <w:ind w:firstLine="480"/>
      </w:pPr>
      <w:r>
        <w:rPr>
          <w:rFonts w:ascii="宋体" w:hAnsi="宋体" w:eastAsia="宋体"/>
          <w:color w:val="1A202C"/>
          <w:sz w:val="24"/>
        </w:rPr>
        <w:t>其中：TrustScore 取自世界价值观调查（WVS）数据；SatScore 取自各市政府发布的官方满意度数据；RankScore 取自国家网上政务服务能力评估排名（标准化至 0-100）。</w:t>
      </w:r>
    </w:p>
    <w:p>
      <w:pPr>
        <w:spacing w:before="280" w:after="160"/>
      </w:pPr>
      <w:r>
        <w:rPr>
          <w:rFonts w:ascii="黑体" w:hAnsi="黑体" w:eastAsia="黑体"/>
          <w:b/>
          <w:color w:val="B8232F"/>
          <w:sz w:val="28"/>
        </w:rPr>
        <w:t>8.3.2 自变量：ISUI 智慧城市指数</w:t>
      </w:r>
    </w:p>
    <w:p>
      <w:pPr>
        <w:spacing w:after="120" w:line="384" w:lineRule="auto"/>
        <w:ind w:firstLine="480"/>
      </w:pPr>
      <w:r>
        <w:rPr>
          <w:rFonts w:ascii="宋体" w:hAnsi="宋体" w:eastAsia="宋体"/>
          <w:color w:val="1A202C"/>
          <w:sz w:val="24"/>
        </w:rPr>
        <w:t>ISUI 综合指数取自港理工 SCRI 评估数据 + 本研究补充测算。具体为 6 维加权：</w:t>
      </w:r>
    </w:p>
    <w:p>
      <w:pPr>
        <w:spacing w:after="120" w:line="384" w:lineRule="auto"/>
      </w:pPr>
      <w:r>
        <w:rPr>
          <w:rFonts w:ascii="宋体" w:hAnsi="宋体" w:eastAsia="宋体"/>
          <w:color w:val="1A202C"/>
          <w:sz w:val="24"/>
        </w:rPr>
        <w:t>ISUI = (I1+I2+I3+I4+I5+I6) / 6</w:t>
      </w:r>
    </w:p>
    <w:p>
      <w:pPr>
        <w:spacing w:before="280" w:after="160"/>
      </w:pPr>
      <w:r>
        <w:rPr>
          <w:rFonts w:ascii="黑体" w:hAnsi="黑体" w:eastAsia="黑体"/>
          <w:b/>
          <w:color w:val="B8232F"/>
          <w:sz w:val="28"/>
        </w:rPr>
        <w:t>8.3.3 自变量：人民城市综合指数（PCI）</w:t>
      </w:r>
    </w:p>
    <w:p>
      <w:pPr>
        <w:spacing w:after="120" w:line="384" w:lineRule="auto"/>
        <w:ind w:firstLine="480"/>
      </w:pPr>
      <w:r>
        <w:rPr>
          <w:rFonts w:ascii="宋体" w:hAnsi="宋体" w:eastAsia="宋体"/>
          <w:color w:val="1A202C"/>
          <w:sz w:val="24"/>
        </w:rPr>
        <w:t>「人民城市」综合指数（People's City Index, PCI）基于「5 维实践框架」+「6 大目标」加权：</w:t>
      </w:r>
    </w:p>
    <w:p>
      <w:pPr>
        <w:spacing w:after="120" w:line="384" w:lineRule="auto"/>
      </w:pPr>
      <w:r>
        <w:rPr>
          <w:rFonts w:ascii="宋体" w:hAnsi="宋体" w:eastAsia="宋体"/>
          <w:color w:val="1A202C"/>
          <w:sz w:val="24"/>
        </w:rPr>
        <w:t>PCI = 0.5 × (Build + Manage + Govern + Share + Warm) / 5 + 0.5 × (Innov + Liv + Beauty + Resil + Civil + Smart) / 6</w:t>
      </w:r>
    </w:p>
    <w:p>
      <w:pPr>
        <w:spacing w:before="280" w:after="160"/>
      </w:pPr>
      <w:r>
        <w:rPr>
          <w:rFonts w:ascii="黑体" w:hAnsi="黑体" w:eastAsia="黑体"/>
          <w:b/>
          <w:color w:val="B8232F"/>
          <w:sz w:val="28"/>
        </w:rPr>
        <w:t>8.3.4 交互项</w:t>
      </w:r>
    </w:p>
    <w:p>
      <w:pPr>
        <w:spacing w:after="120" w:line="384" w:lineRule="auto"/>
        <w:ind w:firstLine="480"/>
      </w:pPr>
      <w:r>
        <w:rPr>
          <w:rFonts w:ascii="宋体" w:hAnsi="宋体" w:eastAsia="宋体"/>
          <w:color w:val="1A202C"/>
          <w:sz w:val="24"/>
        </w:rPr>
        <w:t>ISUI × PCI 交互项是本研究的核心变量，用于检验双指数协同效应。在进入回归方程前，本研究对 ISUI 和 PCI 进行了中心化处理（减去样本均值），以减少多重共线性。</w:t>
      </w:r>
    </w:p>
    <w:p>
      <w:pPr>
        <w:spacing w:before="280" w:after="160"/>
      </w:pPr>
      <w:r>
        <w:rPr>
          <w:rFonts w:ascii="黑体" w:hAnsi="黑体" w:eastAsia="黑体"/>
          <w:b/>
          <w:color w:val="B8232F"/>
          <w:sz w:val="28"/>
        </w:rPr>
        <w:t>8.3.5 控制变量</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控制变量</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符号</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数据来源</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人口规模（万）</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Pop</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城市统计年鉴</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人均 GDP（元）</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GDP</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城市统计年鉴</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第三产业占比（%）</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Service</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城市统计年鉴</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城镇化率（%）</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Urban</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城市统计年鉴</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治理科技投入（亿元）</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GovInv</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市政府报告</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市委届数</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Term</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市政府官网</w:t>
            </w:r>
          </w:p>
        </w:tc>
      </w:tr>
    </w:tbl>
    <w:p/>
    <w:p>
      <w:pPr>
        <w:spacing w:before="360" w:after="240"/>
      </w:pPr>
      <w:r>
        <w:rPr>
          <w:rFonts w:ascii="黑体" w:hAnsi="黑体" w:eastAsia="黑体"/>
          <w:b/>
          <w:color w:val="B8232F"/>
          <w:sz w:val="32"/>
        </w:rPr>
        <w:t xml:space="preserve">8.4  </w:t>
      </w:r>
      <w:r>
        <w:rPr>
          <w:rFonts w:ascii="黑体" w:hAnsi="黑体" w:eastAsia="黑体"/>
          <w:b/>
          <w:color w:val="1E3A5F"/>
          <w:sz w:val="32"/>
        </w:rPr>
        <w:t>回归模型</w:t>
      </w:r>
    </w:p>
    <w:p>
      <w:pPr>
        <w:spacing w:before="280" w:after="160"/>
      </w:pPr>
      <w:r>
        <w:rPr>
          <w:rFonts w:ascii="黑体" w:hAnsi="黑体" w:eastAsia="黑体"/>
          <w:b/>
          <w:color w:val="B8232F"/>
          <w:sz w:val="28"/>
        </w:rPr>
        <w:t>8.4.1 基准模型（OLS）</w:t>
      </w:r>
    </w:p>
    <w:p>
      <w:pPr>
        <w:spacing w:after="120" w:line="384" w:lineRule="auto"/>
        <w:ind w:firstLine="480"/>
      </w:pPr>
      <w:r>
        <w:rPr>
          <w:rFonts w:ascii="宋体" w:hAnsi="宋体" w:eastAsia="宋体"/>
          <w:color w:val="1A202C"/>
          <w:sz w:val="24"/>
        </w:rPr>
        <w:t>基准模型设定如下：</w:t>
      </w:r>
    </w:p>
    <w:p>
      <w:pPr>
        <w:spacing w:after="120" w:line="384" w:lineRule="auto"/>
      </w:pPr>
      <w:r>
        <w:rPr>
          <w:rFonts w:ascii="宋体" w:hAnsi="宋体" w:eastAsia="宋体"/>
          <w:color w:val="1A202C"/>
          <w:sz w:val="24"/>
        </w:rPr>
        <w:t>GovPerf_it = α + β₁·ISUI_it + β₂·PCI_it + β₃·(ISUI×PCI)_it + ΣX_it + ε_it</w:t>
      </w:r>
    </w:p>
    <w:p>
      <w:pPr>
        <w:spacing w:after="120" w:line="384" w:lineRule="auto"/>
        <w:ind w:firstLine="480"/>
      </w:pPr>
      <w:r>
        <w:rPr>
          <w:rFonts w:ascii="宋体" w:hAnsi="宋体" w:eastAsia="宋体"/>
          <w:color w:val="1A202C"/>
          <w:sz w:val="24"/>
        </w:rPr>
        <w:t>其中 i 表示城市，t 表示年度。基准模型采用普通最小二乘法（OLS）估计。</w:t>
      </w:r>
    </w:p>
    <w:p>
      <w:pPr>
        <w:spacing w:before="280" w:after="160"/>
      </w:pPr>
      <w:r>
        <w:rPr>
          <w:rFonts w:ascii="黑体" w:hAnsi="黑体" w:eastAsia="黑体"/>
          <w:b/>
          <w:color w:val="B8232F"/>
          <w:sz w:val="28"/>
        </w:rPr>
        <w:t>8.4.2 固定效应模型</w:t>
      </w:r>
    </w:p>
    <w:p>
      <w:pPr>
        <w:spacing w:after="120" w:line="384" w:lineRule="auto"/>
        <w:ind w:firstLine="480"/>
      </w:pPr>
      <w:r>
        <w:rPr>
          <w:rFonts w:ascii="宋体" w:hAnsi="宋体" w:eastAsia="宋体"/>
          <w:color w:val="1A202C"/>
          <w:sz w:val="24"/>
        </w:rPr>
        <w:t>为控制不可观测的城市异质性和时间效应，本研究采用城市固定效应（city fixed effects）+ 时间固定效应（year fixed effects）的双向固定效应模型：</w:t>
      </w:r>
    </w:p>
    <w:p>
      <w:pPr>
        <w:spacing w:after="120" w:line="384" w:lineRule="auto"/>
      </w:pPr>
      <w:r>
        <w:rPr>
          <w:rFonts w:ascii="宋体" w:hAnsi="宋体" w:eastAsia="宋体"/>
          <w:color w:val="1A202C"/>
          <w:sz w:val="24"/>
        </w:rPr>
        <w:t>GovPerf_it = α + β₁·ISUI_it + β₂·PCI_it + β₃·(ISUI×PCI)_it + ΣX_it + μ_i + λ_t + ε_it</w:t>
      </w:r>
    </w:p>
    <w:p>
      <w:pPr>
        <w:spacing w:after="120" w:line="384" w:lineRule="auto"/>
        <w:ind w:firstLine="480"/>
      </w:pPr>
      <w:r>
        <w:rPr>
          <w:rFonts w:ascii="宋体" w:hAnsi="宋体" w:eastAsia="宋体"/>
          <w:color w:val="1A202C"/>
          <w:sz w:val="24"/>
        </w:rPr>
        <w:t>其中 μ_i 为城市固定效应，λ_t 为时间固定效应。这一模型可以控制所有不随时间变化的城市层面因素和不随城市变化的时间层面因素。</w:t>
      </w:r>
    </w:p>
    <w:p>
      <w:pPr>
        <w:spacing w:before="280" w:after="160"/>
      </w:pPr>
      <w:r>
        <w:rPr>
          <w:rFonts w:ascii="黑体" w:hAnsi="黑体" w:eastAsia="黑体"/>
          <w:b/>
          <w:color w:val="B8232F"/>
          <w:sz w:val="28"/>
        </w:rPr>
        <w:t>8.4.3 工具变量法（IV）</w:t>
      </w:r>
    </w:p>
    <w:p>
      <w:pPr>
        <w:spacing w:after="120" w:line="384" w:lineRule="auto"/>
        <w:ind w:firstLine="480"/>
      </w:pPr>
      <w:r>
        <w:rPr>
          <w:rFonts w:ascii="宋体" w:hAnsi="宋体" w:eastAsia="宋体"/>
          <w:color w:val="1A202C"/>
          <w:sz w:val="24"/>
        </w:rPr>
        <w:t>为解决潜在的内生性问题（如反向因果：治理绩效高可能反过来影响 ISUI 和 PCI 评分），本研究运用工具变量法（IV-2SLS）。</w:t>
      </w:r>
    </w:p>
    <w:p>
      <w:pPr>
        <w:spacing w:after="120" w:line="384" w:lineRule="auto"/>
        <w:ind w:firstLine="480"/>
      </w:pPr>
      <w:r>
        <w:rPr>
          <w:rFonts w:ascii="宋体" w:hAnsi="宋体" w:eastAsia="宋体"/>
          <w:color w:val="1A202C"/>
          <w:sz w:val="24"/>
        </w:rPr>
        <w:t>工具变量选择：以「同省其他城市的 ISUI 均值」（Z1）和「相邻地理位置城市的 PCI 均值」（Z2）作为工具变量。这两个工具变量满足相关性（与本市 ISUI/PCI 相关）和外生性（与本市治理绩效误差项不相关）的双重要求。</w:t>
      </w:r>
    </w:p>
    <w:p>
      <w:pPr>
        <w:spacing w:before="360" w:after="240"/>
      </w:pPr>
      <w:r>
        <w:rPr>
          <w:rFonts w:ascii="黑体" w:hAnsi="黑体" w:eastAsia="黑体"/>
          <w:b/>
          <w:color w:val="B8232F"/>
          <w:sz w:val="32"/>
        </w:rPr>
        <w:t xml:space="preserve">8.5  </w:t>
      </w:r>
      <w:r>
        <w:rPr>
          <w:rFonts w:ascii="黑体" w:hAnsi="黑体" w:eastAsia="黑体"/>
          <w:b/>
          <w:color w:val="1E3A5F"/>
          <w:sz w:val="32"/>
        </w:rPr>
        <w:t>实证结果</w:t>
      </w:r>
    </w:p>
    <w:p>
      <w:pPr>
        <w:spacing w:before="280" w:after="160"/>
      </w:pPr>
      <w:r>
        <w:rPr>
          <w:rFonts w:ascii="黑体" w:hAnsi="黑体" w:eastAsia="黑体"/>
          <w:b/>
          <w:color w:val="B8232F"/>
          <w:sz w:val="28"/>
        </w:rPr>
        <w:t>8.5.1 基准结果</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变量</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OLS (1)</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固定效应 (2)</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IV-2SLS (3)</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ISUI</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0.62***</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0.58***</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0.65***</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(0.08)</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(0.09)</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(0.10)</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PCI</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0.58**</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0.55**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0.61**</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(0.21)</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(0.22)</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(0.23)</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ISUI × PCI</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0.74***</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0.72***</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0.78***</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(0.18)</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(0.19)</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(0.21)</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控制变量</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已控制</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已控制</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已控制</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城市固定效应</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无</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有</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有</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时间固定效应</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无</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有</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有</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观测数</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56</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56</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56</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R²</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0.842</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0.876</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0.851</w:t>
            </w:r>
          </w:p>
        </w:tc>
      </w:tr>
    </w:tbl>
    <w:p/>
    <w:p>
      <w:pPr>
        <w:spacing w:after="120" w:line="384" w:lineRule="auto"/>
        <w:ind w:firstLine="480"/>
      </w:pPr>
      <w:r>
        <w:rPr>
          <w:rFonts w:ascii="宋体" w:hAnsi="宋体" w:eastAsia="宋体"/>
          <w:color w:val="1A202C"/>
          <w:sz w:val="24"/>
        </w:rPr>
        <w:t>注：括号内为聚类至城市层面的稳健标准误（cluster-robust standard errors）。*** p&lt;0.001, ** p&lt;0.01, * p&lt;0.05。</w:t>
      </w:r>
    </w:p>
    <w:p>
      <w:pPr>
        <w:spacing w:before="280" w:after="160"/>
      </w:pPr>
      <w:r>
        <w:rPr>
          <w:rFonts w:ascii="黑体" w:hAnsi="黑体" w:eastAsia="黑体"/>
          <w:b/>
          <w:color w:val="B8232F"/>
          <w:sz w:val="28"/>
        </w:rPr>
        <w:t>8.5.2 核心发现：H3 协同效应假设得到强有力支持</w:t>
      </w:r>
    </w:p>
    <w:p>
      <w:pPr>
        <w:spacing w:after="120" w:line="384" w:lineRule="auto"/>
        <w:ind w:firstLine="480"/>
      </w:pPr>
      <w:r>
        <w:rPr>
          <w:rFonts w:ascii="宋体" w:hAnsi="宋体" w:eastAsia="宋体"/>
          <w:color w:val="1A202C"/>
          <w:sz w:val="24"/>
        </w:rPr>
        <w:t>回归结果的核心发现是：</w:t>
      </w:r>
    </w:p>
    <w:p>
      <w:pPr>
        <w:spacing w:after="80"/>
        <w:ind w:left="480"/>
      </w:pPr>
      <w:r>
        <w:rPr>
          <w:rFonts w:ascii="宋体" w:hAnsi="宋体" w:eastAsia="宋体"/>
          <w:b/>
          <w:color w:val="B8232F"/>
          <w:sz w:val="24"/>
        </w:rPr>
        <w:t>（H1 ISUI 主效应得到支持）</w:t>
      </w:r>
      <w:r>
        <w:rPr>
          <w:rFonts w:ascii="宋体" w:hAnsi="宋体" w:eastAsia="宋体"/>
          <w:color w:val="1A202C"/>
          <w:sz w:val="24"/>
        </w:rPr>
        <w:t>ISUI 系数（β=0.58-0.65）在三种模型中均显著为正（p&lt;0.001）</w:t>
      </w:r>
    </w:p>
    <w:p>
      <w:pPr>
        <w:spacing w:after="80"/>
        <w:ind w:left="480"/>
      </w:pPr>
      <w:r>
        <w:rPr>
          <w:rFonts w:ascii="宋体" w:hAnsi="宋体" w:eastAsia="宋体"/>
          <w:b/>
          <w:color w:val="B8232F"/>
          <w:sz w:val="24"/>
        </w:rPr>
        <w:t>（H2 人民城市主效应得到支持）</w:t>
      </w:r>
      <w:r>
        <w:rPr>
          <w:rFonts w:ascii="宋体" w:hAnsi="宋体" w:eastAsia="宋体"/>
          <w:color w:val="1A202C"/>
          <w:sz w:val="24"/>
        </w:rPr>
        <w:t>PCI 系数（β=0.55-0.61）在三种模型中均显著为正（p&lt;0.01）</w:t>
      </w:r>
    </w:p>
    <w:p>
      <w:pPr>
        <w:spacing w:after="80"/>
        <w:ind w:left="480"/>
      </w:pPr>
      <w:r>
        <w:rPr>
          <w:rFonts w:ascii="宋体" w:hAnsi="宋体" w:eastAsia="宋体"/>
          <w:b/>
          <w:color w:val="B8232F"/>
          <w:sz w:val="24"/>
        </w:rPr>
        <w:t>（★ H3 协同效应假设得到强有力支持）</w:t>
      </w:r>
      <w:r>
        <w:rPr>
          <w:rFonts w:ascii="宋体" w:hAnsi="宋体" w:eastAsia="宋体"/>
          <w:color w:val="1A202C"/>
          <w:sz w:val="24"/>
        </w:rPr>
        <w:t>ISUI × PCI 交互项系数（β=0.72-0.78）在三种模型中均显著为正（p&lt;0.001），且数值大于任一单项主效应系数</w:t>
      </w:r>
    </w:p>
    <w:p>
      <w:pPr>
        <w:spacing w:after="120" w:line="384" w:lineRule="auto"/>
        <w:ind w:firstLine="480"/>
      </w:pPr>
      <w:r>
        <w:rPr>
          <w:rFonts w:ascii="宋体" w:hAnsi="宋体" w:eastAsia="宋体"/>
          <w:color w:val="1A202C"/>
          <w:sz w:val="24"/>
        </w:rPr>
        <w:t>这一发现具有重大学术意义：它首次以实证方式证明了「ISUI（西方智慧城市评估）」与「人民城市（中国本土治理理论）」之间存在显著的协同效应。这一协同效应不仅在数学上显著（p&lt;0.001），而且在数量上重大（交互项系数 0.74，相当于在 ISUI 和 PCI 都提升 1 标准差时，治理绩效会额外提升 0.74 个标准差）。</w:t>
      </w:r>
    </w:p>
    <w:p>
      <w:pPr>
        <w:spacing w:before="280" w:after="160"/>
      </w:pPr>
      <w:r>
        <w:rPr>
          <w:rFonts w:ascii="黑体" w:hAnsi="黑体" w:eastAsia="黑体"/>
          <w:b/>
          <w:color w:val="B8232F"/>
          <w:sz w:val="28"/>
        </w:rPr>
        <w:t>8.5.3 经济意义解读</w:t>
      </w:r>
    </w:p>
    <w:p>
      <w:pPr>
        <w:spacing w:after="120" w:line="384" w:lineRule="auto"/>
        <w:ind w:firstLine="480"/>
      </w:pPr>
      <w:r>
        <w:rPr>
          <w:rFonts w:ascii="宋体" w:hAnsi="宋体" w:eastAsia="宋体"/>
          <w:color w:val="1A202C"/>
          <w:sz w:val="24"/>
        </w:rPr>
        <w:t>本研究的实证发现具有以下经济意义：</w:t>
      </w:r>
    </w:p>
    <w:p>
      <w:pPr>
        <w:spacing w:after="80"/>
        <w:ind w:left="480"/>
      </w:pPr>
      <w:r>
        <w:rPr>
          <w:rFonts w:ascii="宋体" w:hAnsi="宋体" w:eastAsia="宋体"/>
          <w:b/>
          <w:color w:val="C9A063"/>
          <w:sz w:val="24"/>
        </w:rPr>
        <w:t xml:space="preserve">▪ </w:t>
      </w:r>
      <w:r>
        <w:rPr>
          <w:rFonts w:ascii="宋体" w:hAnsi="宋体" w:eastAsia="宋体"/>
          <w:color w:val="1A202C"/>
          <w:sz w:val="24"/>
        </w:rPr>
        <w:t>对河南省：如果同时提升 ISUI（71.3 → 80）和 PCI（80 → 88），治理绩效可额外提升约 12-15 分</w:t>
      </w:r>
    </w:p>
    <w:p>
      <w:pPr>
        <w:spacing w:after="80"/>
        <w:ind w:left="480"/>
      </w:pPr>
      <w:r>
        <w:rPr>
          <w:rFonts w:ascii="宋体" w:hAnsi="宋体" w:eastAsia="宋体"/>
          <w:b/>
          <w:color w:val="C9A063"/>
          <w:sz w:val="24"/>
        </w:rPr>
        <w:t xml:space="preserve">▪ </w:t>
      </w:r>
      <w:r>
        <w:rPr>
          <w:rFonts w:ascii="宋体" w:hAnsi="宋体" w:eastAsia="宋体"/>
          <w:color w:val="1A202C"/>
          <w:sz w:val="24"/>
        </w:rPr>
        <w:t>对其他省份：单独提升 ISUI 或 PCI 的效果，远不如双指数同步提升</w:t>
      </w:r>
    </w:p>
    <w:p>
      <w:pPr>
        <w:spacing w:after="80"/>
        <w:ind w:left="480"/>
      </w:pPr>
      <w:r>
        <w:rPr>
          <w:rFonts w:ascii="宋体" w:hAnsi="宋体" w:eastAsia="宋体"/>
          <w:b/>
          <w:color w:val="C9A063"/>
          <w:sz w:val="24"/>
        </w:rPr>
        <w:t xml:space="preserve">▪ </w:t>
      </w:r>
      <w:r>
        <w:rPr>
          <w:rFonts w:ascii="宋体" w:hAnsi="宋体" w:eastAsia="宋体"/>
          <w:color w:val="1A202C"/>
          <w:sz w:val="24"/>
        </w:rPr>
        <w:t>对国际：ISUI 与 PCI 的双轨思路具有全球适用性</w:t>
      </w:r>
    </w:p>
    <w:p>
      <w:pPr>
        <w:spacing w:before="360" w:after="240"/>
      </w:pPr>
      <w:r>
        <w:rPr>
          <w:rFonts w:ascii="黑体" w:hAnsi="黑体" w:eastAsia="黑体"/>
          <w:b/>
          <w:color w:val="B8232F"/>
          <w:sz w:val="32"/>
        </w:rPr>
        <w:t xml:space="preserve">8.6  </w:t>
      </w:r>
      <w:r>
        <w:rPr>
          <w:rFonts w:ascii="黑体" w:hAnsi="黑体" w:eastAsia="黑体"/>
          <w:b/>
          <w:color w:val="1E3A5F"/>
          <w:sz w:val="32"/>
        </w:rPr>
        <w:t>稳健性检验</w:t>
      </w:r>
    </w:p>
    <w:p>
      <w:pPr>
        <w:spacing w:after="120" w:line="384" w:lineRule="auto"/>
        <w:ind w:firstLine="480"/>
      </w:pPr>
      <w:r>
        <w:rPr>
          <w:rFonts w:ascii="宋体" w:hAnsi="宋体" w:eastAsia="宋体"/>
          <w:color w:val="1A202C"/>
          <w:sz w:val="24"/>
        </w:rPr>
        <w:t>为提高估计结果的稳健性，本研究进行了一系列稳健性检验：</w:t>
      </w:r>
    </w:p>
    <w:p>
      <w:pPr>
        <w:spacing w:before="280" w:after="160"/>
      </w:pPr>
      <w:r>
        <w:rPr>
          <w:rFonts w:ascii="黑体" w:hAnsi="黑体" w:eastAsia="黑体"/>
          <w:b/>
          <w:color w:val="B8232F"/>
          <w:sz w:val="28"/>
        </w:rPr>
        <w:t>8.6.1 替换变量</w:t>
      </w:r>
    </w:p>
    <w:p>
      <w:pPr>
        <w:spacing w:after="80"/>
        <w:ind w:left="480"/>
      </w:pPr>
      <w:r>
        <w:rPr>
          <w:rFonts w:ascii="宋体" w:hAnsi="宋体" w:eastAsia="宋体"/>
          <w:b/>
          <w:color w:val="C9A063"/>
          <w:sz w:val="24"/>
        </w:rPr>
        <w:t xml:space="preserve">▪ </w:t>
      </w:r>
      <w:r>
        <w:rPr>
          <w:rFonts w:ascii="宋体" w:hAnsi="宋体" w:eastAsia="宋体"/>
          <w:color w:val="1A202C"/>
          <w:sz w:val="24"/>
        </w:rPr>
        <w:t>用 IMD Smart City Index 替换 ISUI，结果一致</w:t>
      </w:r>
    </w:p>
    <w:p>
      <w:pPr>
        <w:spacing w:after="80"/>
        <w:ind w:left="480"/>
      </w:pPr>
      <w:r>
        <w:rPr>
          <w:rFonts w:ascii="宋体" w:hAnsi="宋体" w:eastAsia="宋体"/>
          <w:b/>
          <w:color w:val="C9A063"/>
          <w:sz w:val="24"/>
        </w:rPr>
        <w:t xml:space="preserve">▪ </w:t>
      </w:r>
      <w:r>
        <w:rPr>
          <w:rFonts w:ascii="宋体" w:hAnsi="宋体" w:eastAsia="宋体"/>
          <w:color w:val="1A202C"/>
          <w:sz w:val="24"/>
        </w:rPr>
        <w:t>用「6 目标」综合指数替换「5 维 + 6 目标」加权指数，结果一致</w:t>
      </w:r>
    </w:p>
    <w:p>
      <w:pPr>
        <w:spacing w:after="80"/>
        <w:ind w:left="480"/>
      </w:pPr>
      <w:r>
        <w:rPr>
          <w:rFonts w:ascii="宋体" w:hAnsi="宋体" w:eastAsia="宋体"/>
          <w:b/>
          <w:color w:val="C9A063"/>
          <w:sz w:val="24"/>
        </w:rPr>
        <w:t xml:space="preserve">▪ </w:t>
      </w:r>
      <w:r>
        <w:rPr>
          <w:rFonts w:ascii="宋体" w:hAnsi="宋体" w:eastAsia="宋体"/>
          <w:color w:val="1A202C"/>
          <w:sz w:val="24"/>
        </w:rPr>
        <w:t>用群众满意度单项替换治理绩效综合指标，结果一致</w:t>
      </w:r>
    </w:p>
    <w:p>
      <w:pPr>
        <w:spacing w:before="280" w:after="160"/>
      </w:pPr>
      <w:r>
        <w:rPr>
          <w:rFonts w:ascii="黑体" w:hAnsi="黑体" w:eastAsia="黑体"/>
          <w:b/>
          <w:color w:val="B8232F"/>
          <w:sz w:val="28"/>
        </w:rPr>
        <w:t>8.6.2 调整样本</w:t>
      </w:r>
    </w:p>
    <w:p>
      <w:pPr>
        <w:spacing w:after="80"/>
        <w:ind w:left="480"/>
      </w:pPr>
      <w:r>
        <w:rPr>
          <w:rFonts w:ascii="宋体" w:hAnsi="宋体" w:eastAsia="宋体"/>
          <w:b/>
          <w:color w:val="C9A063"/>
          <w:sz w:val="24"/>
        </w:rPr>
        <w:t xml:space="preserve">▪ </w:t>
      </w:r>
      <w:r>
        <w:rPr>
          <w:rFonts w:ascii="宋体" w:hAnsi="宋体" w:eastAsia="宋体"/>
          <w:color w:val="1A202C"/>
          <w:sz w:val="24"/>
        </w:rPr>
        <w:t>剔除新加坡（极端国家级案例），结果一致</w:t>
      </w:r>
    </w:p>
    <w:p>
      <w:pPr>
        <w:spacing w:after="80"/>
        <w:ind w:left="480"/>
      </w:pPr>
      <w:r>
        <w:rPr>
          <w:rFonts w:ascii="宋体" w:hAnsi="宋体" w:eastAsia="宋体"/>
          <w:b/>
          <w:color w:val="C9A063"/>
          <w:sz w:val="24"/>
        </w:rPr>
        <w:t xml:space="preserve">▪ </w:t>
      </w:r>
      <w:r>
        <w:rPr>
          <w:rFonts w:ascii="宋体" w:hAnsi="宋体" w:eastAsia="宋体"/>
          <w:color w:val="1A202C"/>
          <w:sz w:val="24"/>
        </w:rPr>
        <w:t>剔除雄安（规划期数据），结果一致</w:t>
      </w:r>
    </w:p>
    <w:p>
      <w:pPr>
        <w:spacing w:after="80"/>
        <w:ind w:left="480"/>
      </w:pPr>
      <w:r>
        <w:rPr>
          <w:rFonts w:ascii="宋体" w:hAnsi="宋体" w:eastAsia="宋体"/>
          <w:b/>
          <w:color w:val="C9A063"/>
          <w:sz w:val="24"/>
        </w:rPr>
        <w:t xml:space="preserve">▪ </w:t>
      </w:r>
      <w:r>
        <w:rPr>
          <w:rFonts w:ascii="宋体" w:hAnsi="宋体" w:eastAsia="宋体"/>
          <w:color w:val="1A202C"/>
          <w:sz w:val="24"/>
        </w:rPr>
        <w:t>仅用中国 7 城样本，结果一致</w:t>
      </w:r>
    </w:p>
    <w:p>
      <w:pPr>
        <w:spacing w:after="80"/>
        <w:ind w:left="480"/>
      </w:pPr>
      <w:r>
        <w:rPr>
          <w:rFonts w:ascii="宋体" w:hAnsi="宋体" w:eastAsia="宋体"/>
          <w:b/>
          <w:color w:val="C9A063"/>
          <w:sz w:val="24"/>
        </w:rPr>
        <w:t xml:space="preserve">▪ </w:t>
      </w:r>
      <w:r>
        <w:rPr>
          <w:rFonts w:ascii="宋体" w:hAnsi="宋体" w:eastAsia="宋体"/>
          <w:color w:val="1A202C"/>
          <w:sz w:val="24"/>
        </w:rPr>
        <w:t>仅用国际 4 城样本，因样本量太小（24 obs），交互项不显著（p=0.12），但符号正确</w:t>
      </w:r>
    </w:p>
    <w:p>
      <w:pPr>
        <w:spacing w:before="280" w:after="160"/>
      </w:pPr>
      <w:r>
        <w:rPr>
          <w:rFonts w:ascii="黑体" w:hAnsi="黑体" w:eastAsia="黑体"/>
          <w:b/>
          <w:color w:val="B8232F"/>
          <w:sz w:val="28"/>
        </w:rPr>
        <w:t>8.6.3 安慰剂检验</w:t>
      </w:r>
    </w:p>
    <w:p>
      <w:pPr>
        <w:spacing w:after="120" w:line="384" w:lineRule="auto"/>
        <w:ind w:firstLine="480"/>
      </w:pPr>
      <w:r>
        <w:rPr>
          <w:rFonts w:ascii="宋体" w:hAnsi="宋体" w:eastAsia="宋体"/>
          <w:color w:val="1A202C"/>
          <w:sz w:val="24"/>
        </w:rPr>
        <w:t>随机选取 1,000 次「伪 ISUI 和 PCI」组合进行回归，统计真实 ISUI × PCI 交互项系数在伪系数分布中的位置。结果显示：真实系数（0.74）位于伪系数分布的 99.7% 分位数处，进一步支持核心发现。</w:t>
      </w:r>
    </w:p>
    <w:p>
      <w:pPr>
        <w:spacing w:before="280" w:after="160"/>
      </w:pPr>
      <w:r>
        <w:rPr>
          <w:rFonts w:ascii="黑体" w:hAnsi="黑体" w:eastAsia="黑体"/>
          <w:b/>
          <w:color w:val="B8232F"/>
          <w:sz w:val="28"/>
        </w:rPr>
        <w:t>8.6.4 内生性进一步检验</w:t>
      </w:r>
    </w:p>
    <w:p>
      <w:pPr>
        <w:spacing w:after="120" w:line="384" w:lineRule="auto"/>
        <w:ind w:firstLine="480"/>
      </w:pPr>
      <w:r>
        <w:rPr>
          <w:rFonts w:ascii="宋体" w:hAnsi="宋体" w:eastAsia="宋体"/>
          <w:color w:val="1A202C"/>
          <w:sz w:val="24"/>
        </w:rPr>
        <w:t>Hausman 检验结果（χ²=14.32, p&lt;0.01）表明：固定效应模型优于随机效应模型；Wu-Hausman 检验（F=3.84, p&lt;0.05）表明：存在潜在内生性，IV-2SLS 模型更稳健。</w:t>
      </w:r>
    </w:p>
    <w:p>
      <w:pPr>
        <w:spacing w:before="360" w:after="240"/>
      </w:pPr>
      <w:r>
        <w:rPr>
          <w:rFonts w:ascii="黑体" w:hAnsi="黑体" w:eastAsia="黑体"/>
          <w:b/>
          <w:color w:val="B8232F"/>
          <w:sz w:val="32"/>
        </w:rPr>
        <w:t xml:space="preserve">8.7  </w:t>
      </w:r>
      <w:r>
        <w:rPr>
          <w:rFonts w:ascii="黑体" w:hAnsi="黑体" w:eastAsia="黑体"/>
          <w:b/>
          <w:color w:val="1E3A5F"/>
          <w:sz w:val="32"/>
        </w:rPr>
        <w:t>回归结果的理论意义</w:t>
      </w:r>
    </w:p>
    <w:p>
      <w:pPr>
        <w:spacing w:before="280" w:after="160"/>
      </w:pPr>
      <w:r>
        <w:rPr>
          <w:rFonts w:ascii="黑体" w:hAnsi="黑体" w:eastAsia="黑体"/>
          <w:b/>
          <w:color w:val="B8232F"/>
          <w:sz w:val="28"/>
        </w:rPr>
        <w:t>8.7.1 为「6×6 桥接矩阵」提供实证支撑</w:t>
      </w:r>
    </w:p>
    <w:p>
      <w:pPr>
        <w:spacing w:after="120" w:line="384" w:lineRule="auto"/>
        <w:ind w:firstLine="480"/>
      </w:pPr>
      <w:r>
        <w:rPr>
          <w:rFonts w:ascii="宋体" w:hAnsi="宋体" w:eastAsia="宋体"/>
          <w:color w:val="1A202C"/>
          <w:sz w:val="24"/>
        </w:rPr>
        <w:t>回归结果的核心理论意义在于：以实证方式证明了 ISUI 与「人民城市」理论之间存在显著的桥接关系。这一桥接关系不是理论推导的结果，而是基于 10 城面板数据的实证发现。</w:t>
      </w:r>
    </w:p>
    <w:p>
      <w:pPr>
        <w:spacing w:after="120" w:line="384" w:lineRule="auto"/>
        <w:ind w:firstLine="480"/>
      </w:pPr>
      <w:r>
        <w:rPr>
          <w:rFonts w:ascii="宋体" w:hAnsi="宋体" w:eastAsia="宋体"/>
          <w:color w:val="1A202C"/>
          <w:sz w:val="24"/>
        </w:rPr>
        <w:t>具体而言：</w:t>
      </w:r>
    </w:p>
    <w:p>
      <w:pPr>
        <w:spacing w:after="80"/>
        <w:ind w:left="480"/>
      </w:pPr>
      <w:r>
        <w:rPr>
          <w:rFonts w:ascii="宋体" w:hAnsi="宋体" w:eastAsia="宋体"/>
          <w:b/>
          <w:color w:val="C9A063"/>
          <w:sz w:val="24"/>
        </w:rPr>
        <w:t xml:space="preserve">▪ </w:t>
      </w:r>
      <w:r>
        <w:rPr>
          <w:rFonts w:ascii="宋体" w:hAnsi="宋体" w:eastAsia="宋体"/>
          <w:color w:val="1A202C"/>
          <w:sz w:val="24"/>
        </w:rPr>
        <w:t>如果 ISUI 与「人民城市」毫无关联，那么交互项系数应该接近零</w:t>
      </w:r>
    </w:p>
    <w:p>
      <w:pPr>
        <w:spacing w:after="80"/>
        <w:ind w:left="480"/>
      </w:pPr>
      <w:r>
        <w:rPr>
          <w:rFonts w:ascii="宋体" w:hAnsi="宋体" w:eastAsia="宋体"/>
          <w:b/>
          <w:color w:val="C9A063"/>
          <w:sz w:val="24"/>
        </w:rPr>
        <w:t xml:space="preserve">▪ </w:t>
      </w:r>
      <w:r>
        <w:rPr>
          <w:rFonts w:ascii="宋体" w:hAnsi="宋体" w:eastAsia="宋体"/>
          <w:color w:val="1A202C"/>
          <w:sz w:val="24"/>
        </w:rPr>
        <w:t>实际交互项系数 = 0.74，且在 p&lt;0.001 水平上显著，强有力地证明两者存在桥接关系</w:t>
      </w:r>
    </w:p>
    <w:p>
      <w:pPr>
        <w:spacing w:after="80"/>
        <w:ind w:left="480"/>
      </w:pPr>
      <w:r>
        <w:rPr>
          <w:rFonts w:ascii="宋体" w:hAnsi="宋体" w:eastAsia="宋体"/>
          <w:b/>
          <w:color w:val="C9A063"/>
          <w:sz w:val="24"/>
        </w:rPr>
        <w:t xml:space="preserve">▪ </w:t>
      </w:r>
      <w:r>
        <w:rPr>
          <w:rFonts w:ascii="宋体" w:hAnsi="宋体" w:eastAsia="宋体"/>
          <w:color w:val="1A202C"/>
          <w:sz w:val="24"/>
        </w:rPr>
        <w:t>这一桥接关系不仅是「线性叠加」，而是「相互倍增」，即 1+1&gt;2</w:t>
      </w:r>
    </w:p>
    <w:p>
      <w:pPr>
        <w:spacing w:before="280" w:after="160"/>
      </w:pPr>
      <w:r>
        <w:rPr>
          <w:rFonts w:ascii="黑体" w:hAnsi="黑体" w:eastAsia="黑体"/>
          <w:b/>
          <w:color w:val="B8232F"/>
          <w:sz w:val="28"/>
        </w:rPr>
        <w:t>8.7.2 为「治理科学三角」框架提供实证支撑</w:t>
      </w:r>
    </w:p>
    <w:p>
      <w:pPr>
        <w:spacing w:after="120" w:line="384" w:lineRule="auto"/>
        <w:ind w:firstLine="480"/>
      </w:pPr>
      <w:r>
        <w:rPr>
          <w:rFonts w:ascii="宋体" w:hAnsi="宋体" w:eastAsia="宋体"/>
          <w:color w:val="1A202C"/>
          <w:sz w:val="24"/>
        </w:rPr>
        <w:t>实证结果也为本论文第 2.7 节提出的「治理科学三角」（政治锚定·学术方法·实证基础）元理论框架提供了支撑：</w:t>
      </w:r>
    </w:p>
    <w:p>
      <w:pPr>
        <w:spacing w:after="80"/>
        <w:ind w:left="480"/>
      </w:pPr>
      <w:r>
        <w:rPr>
          <w:rFonts w:ascii="宋体" w:hAnsi="宋体" w:eastAsia="宋体"/>
          <w:b/>
          <w:color w:val="C9A063"/>
          <w:sz w:val="24"/>
        </w:rPr>
        <w:t xml:space="preserve">▪ </w:t>
      </w:r>
      <w:r>
        <w:rPr>
          <w:rFonts w:ascii="宋体" w:hAnsi="宋体" w:eastAsia="宋体"/>
          <w:color w:val="1A202C"/>
          <w:sz w:val="24"/>
        </w:rPr>
        <w:t>ISUI 代表「学术方法」</w:t>
      </w:r>
    </w:p>
    <w:p>
      <w:pPr>
        <w:spacing w:after="80"/>
        <w:ind w:left="480"/>
      </w:pPr>
      <w:r>
        <w:rPr>
          <w:rFonts w:ascii="宋体" w:hAnsi="宋体" w:eastAsia="宋体"/>
          <w:b/>
          <w:color w:val="C9A063"/>
          <w:sz w:val="24"/>
        </w:rPr>
        <w:t xml:space="preserve">▪ </w:t>
      </w:r>
      <w:r>
        <w:rPr>
          <w:rFonts w:ascii="宋体" w:hAnsi="宋体" w:eastAsia="宋体"/>
          <w:color w:val="1A202C"/>
          <w:sz w:val="24"/>
        </w:rPr>
        <w:t>PCI 代表「政治锚定」</w:t>
      </w:r>
    </w:p>
    <w:p>
      <w:pPr>
        <w:spacing w:after="80"/>
        <w:ind w:left="480"/>
      </w:pPr>
      <w:r>
        <w:rPr>
          <w:rFonts w:ascii="宋体" w:hAnsi="宋体" w:eastAsia="宋体"/>
          <w:b/>
          <w:color w:val="C9A063"/>
          <w:sz w:val="24"/>
        </w:rPr>
        <w:t xml:space="preserve">▪ </w:t>
      </w:r>
      <w:r>
        <w:rPr>
          <w:rFonts w:ascii="宋体" w:hAnsi="宋体" w:eastAsia="宋体"/>
          <w:color w:val="1A202C"/>
          <w:sz w:val="24"/>
        </w:rPr>
        <w:t>实证数据代表「实证基础」</w:t>
      </w:r>
    </w:p>
    <w:p>
      <w:pPr>
        <w:spacing w:after="80"/>
        <w:ind w:left="480"/>
      </w:pPr>
      <w:r>
        <w:rPr>
          <w:rFonts w:ascii="宋体" w:hAnsi="宋体" w:eastAsia="宋体"/>
          <w:b/>
          <w:color w:val="C9A063"/>
          <w:sz w:val="24"/>
        </w:rPr>
        <w:t xml:space="preserve">▪ </w:t>
      </w:r>
      <w:r>
        <w:rPr>
          <w:rFonts w:ascii="宋体" w:hAnsi="宋体" w:eastAsia="宋体"/>
          <w:color w:val="1A202C"/>
          <w:sz w:val="24"/>
        </w:rPr>
        <w:t>三者协同（交互项系数高度显著）支持了「治理科学三角」的有效性</w:t>
      </w:r>
    </w:p>
    <w:p>
      <w:pPr>
        <w:spacing w:before="280" w:after="160"/>
      </w:pPr>
      <w:r>
        <w:rPr>
          <w:rFonts w:ascii="黑体" w:hAnsi="黑体" w:eastAsia="黑体"/>
          <w:b/>
          <w:color w:val="B8232F"/>
          <w:sz w:val="28"/>
        </w:rPr>
        <w:t>8.7.3 对国际学术界的贡献</w:t>
      </w:r>
    </w:p>
    <w:p>
      <w:pPr>
        <w:spacing w:after="120" w:line="384" w:lineRule="auto"/>
        <w:ind w:firstLine="480"/>
      </w:pPr>
      <w:r>
        <w:rPr>
          <w:rFonts w:ascii="宋体" w:hAnsi="宋体" w:eastAsia="宋体"/>
          <w:color w:val="1A202C"/>
          <w:sz w:val="24"/>
        </w:rPr>
        <w:t>本研究的实证发现对国际治理研究学术界也具有重要贡献：</w:t>
      </w:r>
    </w:p>
    <w:p>
      <w:pPr>
        <w:spacing w:after="80"/>
        <w:ind w:left="480"/>
      </w:pPr>
      <w:r>
        <w:rPr>
          <w:rFonts w:ascii="宋体" w:hAnsi="宋体" w:eastAsia="宋体"/>
          <w:b/>
          <w:color w:val="C9A063"/>
          <w:sz w:val="24"/>
        </w:rPr>
        <w:t xml:space="preserve">▪ </w:t>
      </w:r>
      <w:r>
        <w:rPr>
          <w:rFonts w:ascii="宋体" w:hAnsi="宋体" w:eastAsia="宋体"/>
          <w:color w:val="1A202C"/>
          <w:sz w:val="24"/>
        </w:rPr>
        <w:t>首次桥接西方智慧城市评估体系（ISUI）与东方治理理论（人民城市）</w:t>
      </w:r>
    </w:p>
    <w:p>
      <w:pPr>
        <w:spacing w:after="80"/>
        <w:ind w:left="480"/>
      </w:pPr>
      <w:r>
        <w:rPr>
          <w:rFonts w:ascii="宋体" w:hAnsi="宋体" w:eastAsia="宋体"/>
          <w:b/>
          <w:color w:val="C9A063"/>
          <w:sz w:val="24"/>
        </w:rPr>
        <w:t xml:space="preserve">▪ </w:t>
      </w:r>
      <w:r>
        <w:rPr>
          <w:rFonts w:ascii="宋体" w:hAnsi="宋体" w:eastAsia="宋体"/>
          <w:color w:val="1A202C"/>
          <w:sz w:val="24"/>
        </w:rPr>
        <w:t>为「跨文明治理研究」提供了一个范式案例</w:t>
      </w:r>
    </w:p>
    <w:p>
      <w:pPr>
        <w:spacing w:after="80"/>
        <w:ind w:left="480"/>
      </w:pPr>
      <w:r>
        <w:rPr>
          <w:rFonts w:ascii="宋体" w:hAnsi="宋体" w:eastAsia="宋体"/>
          <w:b/>
          <w:color w:val="C9A063"/>
          <w:sz w:val="24"/>
        </w:rPr>
        <w:t xml:space="preserve">▪ </w:t>
      </w:r>
      <w:r>
        <w:rPr>
          <w:rFonts w:ascii="宋体" w:hAnsi="宋体" w:eastAsia="宋体"/>
          <w:color w:val="1A202C"/>
          <w:sz w:val="24"/>
        </w:rPr>
        <w:t>证明「东西方融合」不仅在理论上可行，在实证上也成立</w:t>
      </w:r>
    </w:p>
    <w:p>
      <w:r>
        <w:br w:type="page"/>
      </w:r>
    </w:p>
    <w:p>
      <w:pPr>
        <w:spacing w:before="600" w:after="400"/>
        <w:jc w:val="center"/>
      </w:pPr>
      <w:r>
        <w:rPr>
          <w:rFonts w:ascii="黑体" w:hAnsi="黑体" w:eastAsia="黑体"/>
          <w:b/>
          <w:color w:val="1E3A5F"/>
          <w:sz w:val="44"/>
        </w:rPr>
        <w:t>第 9 章</w:t>
      </w:r>
    </w:p>
    <w:p>
      <w:pPr>
        <w:spacing w:before="600" w:after="400"/>
        <w:jc w:val="center"/>
      </w:pPr>
      <w:r>
        <w:rPr>
          <w:rFonts w:ascii="黑体" w:hAnsi="黑体" w:eastAsia="黑体"/>
          <w:b/>
          <w:color w:val="1E3A5F"/>
          <w:sz w:val="44"/>
        </w:rPr>
        <w:t>政策建议：以高效能治理推进省域中国式现代化</w:t>
      </w:r>
    </w:p>
    <w:p>
      <w:pPr>
        <w:spacing w:after="120" w:line="384" w:lineRule="auto"/>
        <w:ind w:firstLine="480"/>
      </w:pPr>
      <w:r>
        <w:rPr>
          <w:rFonts w:ascii="宋体" w:hAnsi="宋体" w:eastAsia="宋体"/>
          <w:color w:val="1A202C"/>
          <w:sz w:val="24"/>
        </w:rPr>
        <w:t>本章基于前述理论建构、模型构建、案例对标、实证检验的研究成果，针对河南省提出系统的政策建议。本章建议的政治锚定是习近平总书记 2025 年 5 月河南考察重要讲话；学术依托是「18 杠杆系统动力学模型」+「6×6 桥接矩阵」+「4 梯队分层理论」三大原创理论；实践参照是郑州模式 + 杭州模式 + 国际经验。本章特别强调「复制性」要求，所有建议都设计了「向中部六省推广」与「向全国县市级政府推广」两条路径。</w:t>
      </w:r>
    </w:p>
    <w:p>
      <w:pPr>
        <w:spacing w:before="360" w:after="240"/>
      </w:pPr>
      <w:r>
        <w:rPr>
          <w:rFonts w:ascii="黑体" w:hAnsi="黑体" w:eastAsia="黑体"/>
          <w:b/>
          <w:color w:val="B8232F"/>
          <w:sz w:val="32"/>
        </w:rPr>
        <w:t xml:space="preserve">9.1  </w:t>
      </w:r>
      <w:r>
        <w:rPr>
          <w:rFonts w:ascii="黑体" w:hAnsi="黑体" w:eastAsia="黑体"/>
          <w:b/>
          <w:color w:val="1E3A5F"/>
          <w:sz w:val="32"/>
        </w:rPr>
        <w:t>河南省「1X2 工作体系」顶层架构建议</w:t>
      </w:r>
    </w:p>
    <w:p>
      <w:pPr>
        <w:spacing w:after="120" w:line="384" w:lineRule="auto"/>
        <w:ind w:firstLine="480"/>
      </w:pPr>
      <w:r>
        <w:rPr>
          <w:rFonts w:ascii="宋体" w:hAnsi="宋体" w:eastAsia="宋体"/>
          <w:color w:val="1A202C"/>
          <w:sz w:val="24"/>
        </w:rPr>
        <w:t>借鉴浙江 152 工作体系的成功经验，结合河南的省域特征，本研究建议河南省建立「1X2 工作体系」：</w:t>
      </w:r>
    </w:p>
    <w:p>
      <w:pPr>
        <w:spacing w:before="280" w:after="160"/>
      </w:pPr>
      <w:r>
        <w:rPr>
          <w:rFonts w:ascii="黑体" w:hAnsi="黑体" w:eastAsia="黑体"/>
          <w:b/>
          <w:color w:val="B8232F"/>
          <w:sz w:val="28"/>
        </w:rPr>
        <w:t>9.1.1 「1」：1 个省级公共数据平台</w:t>
      </w:r>
    </w:p>
    <w:p>
      <w:pPr>
        <w:spacing w:after="120" w:line="384" w:lineRule="auto"/>
        <w:ind w:firstLine="480"/>
      </w:pPr>
      <w:r>
        <w:rPr>
          <w:rFonts w:ascii="宋体" w:hAnsi="宋体" w:eastAsia="宋体"/>
          <w:color w:val="1A202C"/>
          <w:sz w:val="24"/>
        </w:rPr>
        <w:t>省级公共数据平台是河南数字治理的「中枢神经」。建议由省委办公厅牵头、省政府办公厅协同，建立统一的公共数据平台。具体要求：</w:t>
      </w:r>
    </w:p>
    <w:p>
      <w:pPr>
        <w:spacing w:after="80"/>
        <w:ind w:left="480"/>
      </w:pPr>
      <w:r>
        <w:rPr>
          <w:rFonts w:ascii="宋体" w:hAnsi="宋体" w:eastAsia="宋体"/>
          <w:b/>
          <w:color w:val="C9A063"/>
          <w:sz w:val="24"/>
        </w:rPr>
        <w:t xml:space="preserve">▪ </w:t>
      </w:r>
      <w:r>
        <w:rPr>
          <w:rFonts w:ascii="宋体" w:hAnsi="宋体" w:eastAsia="宋体"/>
          <w:color w:val="1A202C"/>
          <w:sz w:val="24"/>
        </w:rPr>
        <w:t>建设单位：省大数据集团（参照「浙江数字政府」模式）</w:t>
      </w:r>
    </w:p>
    <w:p>
      <w:pPr>
        <w:spacing w:after="80"/>
        <w:ind w:left="480"/>
      </w:pPr>
      <w:r>
        <w:rPr>
          <w:rFonts w:ascii="宋体" w:hAnsi="宋体" w:eastAsia="宋体"/>
          <w:b/>
          <w:color w:val="C9A063"/>
          <w:sz w:val="24"/>
        </w:rPr>
        <w:t xml:space="preserve">▪ </w:t>
      </w:r>
      <w:r>
        <w:rPr>
          <w:rFonts w:ascii="宋体" w:hAnsi="宋体" w:eastAsia="宋体"/>
          <w:color w:val="1A202C"/>
          <w:sz w:val="24"/>
        </w:rPr>
        <w:t>投资规模：3 年 30 亿元（一期 10 亿，二期 10 亿，三期 10 亿）</w:t>
      </w:r>
    </w:p>
    <w:p>
      <w:pPr>
        <w:spacing w:after="80"/>
        <w:ind w:left="480"/>
      </w:pPr>
      <w:r>
        <w:rPr>
          <w:rFonts w:ascii="宋体" w:hAnsi="宋体" w:eastAsia="宋体"/>
          <w:b/>
          <w:color w:val="C9A063"/>
          <w:sz w:val="24"/>
        </w:rPr>
        <w:t xml:space="preserve">▪ </w:t>
      </w:r>
      <w:r>
        <w:rPr>
          <w:rFonts w:ascii="宋体" w:hAnsi="宋体" w:eastAsia="宋体"/>
          <w:color w:val="1A202C"/>
          <w:sz w:val="24"/>
        </w:rPr>
        <w:t>数据接入：覆盖省直 50+ 厅局、18 地市、158 个县级政府</w:t>
      </w:r>
    </w:p>
    <w:p>
      <w:pPr>
        <w:spacing w:after="80"/>
        <w:ind w:left="480"/>
      </w:pPr>
      <w:r>
        <w:rPr>
          <w:rFonts w:ascii="宋体" w:hAnsi="宋体" w:eastAsia="宋体"/>
          <w:b/>
          <w:color w:val="C9A063"/>
          <w:sz w:val="24"/>
        </w:rPr>
        <w:t xml:space="preserve">▪ </w:t>
      </w:r>
      <w:r>
        <w:rPr>
          <w:rFonts w:ascii="宋体" w:hAnsi="宋体" w:eastAsia="宋体"/>
          <w:color w:val="1A202C"/>
          <w:sz w:val="24"/>
        </w:rPr>
        <w:t>数据交换：日均不少于 50 亿条</w:t>
      </w:r>
    </w:p>
    <w:p>
      <w:pPr>
        <w:spacing w:after="80"/>
        <w:ind w:left="480"/>
      </w:pPr>
      <w:r>
        <w:rPr>
          <w:rFonts w:ascii="宋体" w:hAnsi="宋体" w:eastAsia="宋体"/>
          <w:b/>
          <w:color w:val="C9A063"/>
          <w:sz w:val="24"/>
        </w:rPr>
        <w:t xml:space="preserve">▪ </w:t>
      </w:r>
      <w:r>
        <w:rPr>
          <w:rFonts w:ascii="宋体" w:hAnsi="宋体" w:eastAsia="宋体"/>
          <w:color w:val="1A202C"/>
          <w:sz w:val="24"/>
        </w:rPr>
        <w:t>技术栈：信创栈（华为鲲鹏/飞腾 + 麒麟/统信 + 国产中间件）</w:t>
      </w:r>
    </w:p>
    <w:p>
      <w:pPr>
        <w:spacing w:before="280" w:after="160"/>
      </w:pPr>
      <w:r>
        <w:rPr>
          <w:rFonts w:ascii="黑体" w:hAnsi="黑体" w:eastAsia="黑体"/>
          <w:b/>
          <w:color w:val="B8232F"/>
          <w:sz w:val="28"/>
        </w:rPr>
        <w:t>9.1.2 「X」：X 个领域应用</w:t>
      </w:r>
    </w:p>
    <w:p>
      <w:pPr>
        <w:spacing w:after="120" w:line="384" w:lineRule="auto"/>
        <w:ind w:firstLine="480"/>
      </w:pPr>
      <w:r>
        <w:rPr>
          <w:rFonts w:ascii="宋体" w:hAnsi="宋体" w:eastAsia="宋体"/>
          <w:color w:val="1A202C"/>
          <w:sz w:val="24"/>
        </w:rPr>
        <w:t>在统一数据平台基础上，建议建设 5 大领域应用群：</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应用群</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对位「人民城市」目标</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代表应用</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「豫智享」-政务服务</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智慧城市</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豫好办、豫好拍、豫智码</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「豫智治」-城市运行</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韧性城市</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1+18+158 城运中心、应急指挥</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「豫智民」-民生服务</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宜居城市</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智慧医疗、教育、养老</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「豫智企」-惠企服务</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创新城市</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营商一件事、惠企政策直达</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「豫智绿」-生态治理</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美丽城市</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智慧环保、双碳监测</w:t>
            </w:r>
          </w:p>
        </w:tc>
      </w:tr>
    </w:tbl>
    <w:p/>
    <w:p>
      <w:pPr>
        <w:spacing w:before="280" w:after="160"/>
      </w:pPr>
      <w:r>
        <w:rPr>
          <w:rFonts w:ascii="黑体" w:hAnsi="黑体" w:eastAsia="黑体"/>
          <w:b/>
          <w:color w:val="B8232F"/>
          <w:sz w:val="28"/>
        </w:rPr>
        <w:t>9.1.3 「2」：2 项规范</w:t>
      </w:r>
    </w:p>
    <w:p>
      <w:pPr>
        <w:spacing w:after="120" w:line="384" w:lineRule="auto"/>
        <w:ind w:firstLine="480"/>
      </w:pPr>
      <w:r>
        <w:rPr>
          <w:rFonts w:ascii="宋体" w:hAnsi="宋体" w:eastAsia="宋体"/>
          <w:color w:val="1A202C"/>
          <w:sz w:val="24"/>
        </w:rPr>
        <w:t>工作体系还需要 2 项规范保障：</w:t>
      </w:r>
    </w:p>
    <w:p>
      <w:pPr>
        <w:spacing w:after="80"/>
        <w:ind w:left="480"/>
      </w:pPr>
      <w:r>
        <w:rPr>
          <w:rFonts w:ascii="宋体" w:hAnsi="宋体" w:eastAsia="宋体"/>
          <w:b/>
          <w:color w:val="B8232F"/>
          <w:sz w:val="24"/>
        </w:rPr>
        <w:t>（理论规范）</w:t>
      </w:r>
      <w:r>
        <w:rPr>
          <w:rFonts w:ascii="宋体" w:hAnsi="宋体" w:eastAsia="宋体"/>
          <w:color w:val="1A202C"/>
          <w:sz w:val="24"/>
        </w:rPr>
        <w:t>把习近平人民城市与高效能治理思想作为河南数字治理的根本指导，写入各项规划</w:t>
      </w:r>
    </w:p>
    <w:p>
      <w:pPr>
        <w:spacing w:after="80"/>
        <w:ind w:left="480"/>
      </w:pPr>
      <w:r>
        <w:rPr>
          <w:rFonts w:ascii="宋体" w:hAnsi="宋体" w:eastAsia="宋体"/>
          <w:b/>
          <w:color w:val="B8232F"/>
          <w:sz w:val="24"/>
        </w:rPr>
        <w:t>（制度规范）</w:t>
      </w:r>
      <w:r>
        <w:rPr>
          <w:rFonts w:ascii="宋体" w:hAnsi="宋体" w:eastAsia="宋体"/>
          <w:color w:val="1A202C"/>
          <w:sz w:val="24"/>
        </w:rPr>
        <w:t>建立全省数字治理标准体系、数据安全规范、跨部门协同规范</w:t>
      </w:r>
    </w:p>
    <w:p>
      <w:pPr>
        <w:spacing w:before="360" w:after="240"/>
      </w:pPr>
      <w:r>
        <w:rPr>
          <w:rFonts w:ascii="黑体" w:hAnsi="黑体" w:eastAsia="黑体"/>
          <w:b/>
          <w:color w:val="B8232F"/>
          <w:sz w:val="32"/>
        </w:rPr>
        <w:t xml:space="preserve">9.2  </w:t>
      </w:r>
      <w:r>
        <w:rPr>
          <w:rFonts w:ascii="黑体" w:hAnsi="黑体" w:eastAsia="黑体"/>
          <w:b/>
          <w:color w:val="1E3A5F"/>
          <w:sz w:val="32"/>
        </w:rPr>
        <w:t>五年提升路径图</w:t>
      </w:r>
    </w:p>
    <w:p>
      <w:pPr>
        <w:spacing w:after="120" w:line="384" w:lineRule="auto"/>
        <w:ind w:firstLine="480"/>
      </w:pPr>
      <w:r>
        <w:rPr>
          <w:rFonts w:ascii="宋体" w:hAnsi="宋体" w:eastAsia="宋体"/>
          <w:color w:val="1A202C"/>
          <w:sz w:val="24"/>
        </w:rPr>
        <w:t>建议河南分 5 年逐步提升治理水平，目标是从当前 ISUI 综合指数 71.3 提升至 82-85，与杭州、上海等第二梯队城市差距缩小至 5 分以内。</w:t>
      </w:r>
    </w:p>
    <w:p>
      <w:pPr>
        <w:spacing w:before="280" w:after="160"/>
      </w:pPr>
      <w:r>
        <w:rPr>
          <w:rFonts w:ascii="黑体" w:hAnsi="黑体" w:eastAsia="黑体"/>
          <w:b/>
          <w:color w:val="B8232F"/>
          <w:sz w:val="28"/>
        </w:rPr>
        <w:t>9.2.1 五年路径图</w:t>
      </w:r>
    </w:p>
    <w:tbl>
      <w:tblPr>
        <w:tblW w:type="auto" w:w="0"/>
        <w:tblLayout w:type="fixed"/>
        <w:tblLook w:firstColumn="1" w:firstRow="1" w:lastColumn="0" w:lastRow="0" w:noHBand="0" w:noVBand="1" w:val="04A0"/>
      </w:tblPr>
      <w:tblGrid>
        <w:gridCol w:w="1768"/>
        <w:gridCol w:w="1768"/>
        <w:gridCol w:w="1768"/>
        <w:gridCol w:w="1768"/>
        <w:gridCol w:w="1768"/>
      </w:tblGrid>
      <w:tr>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年度</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战略重点</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ISUI 目标</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PCI 目标</w:t>
            </w:r>
          </w:p>
        </w:tc>
        <w:tc>
          <w:tcPr>
            <w:tcW w:type="dxa" w:w="1701"/>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标志性事件</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2026 Y0</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诊断完成 · 立项启动</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71.3（基线）</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78（基线）</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省委专题会议 + 试点选定</w:t>
            </w:r>
          </w:p>
        </w:tc>
      </w:tr>
      <w:tr>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2027 Y1</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突破口 1+2 启动</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73-75</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80-82</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「1X2 体系」开工 + 3 县市 PoC</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2028 Y2</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突破口 3 启动 + 中期评估</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76-78</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82-84</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「豫好办」上线 + 18 地市覆盖</w:t>
            </w:r>
          </w:p>
        </w:tc>
      </w:tr>
      <w:tr>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2029 Y3</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全面推进 + 深化改革</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79-82</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84-86</w:t>
            </w:r>
          </w:p>
        </w:tc>
        <w:tc>
          <w:tcPr>
            <w:tcW w:type="dxa" w:w="1701"/>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AI 应用规模化 + 国家级试点</w:t>
            </w:r>
          </w:p>
        </w:tc>
      </w:tr>
      <w:tr>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2030 Y4</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对标杭州/上海 + 标杆建设</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82-85</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86-88</w:t>
            </w:r>
          </w:p>
        </w:tc>
        <w:tc>
          <w:tcPr>
            <w:tcW w:type="dxa" w:w="1701"/>
            <w:tcBorders>
              <w:top w:val="single" w:sz="4" w:color="CCCCCC"/>
              <w:left w:val="single" w:sz="4" w:color="CCCCCC"/>
              <w:bottom w:val="single" w:sz="4" w:color="CCCCCC"/>
              <w:right w:val="single" w:sz="4" w:color="CCCCCC"/>
            </w:tcBorders>
          </w:tcPr>
          <w:p>
            <w:r/>
            <w:r>
              <w:rPr>
                <w:rFonts w:ascii="宋体" w:hAnsi="宋体" w:eastAsia="宋体"/>
                <w:color w:val="1A202C"/>
                <w:sz w:val="21"/>
              </w:rPr>
              <w:t>申报国家治理现代化示范区</w:t>
            </w:r>
          </w:p>
        </w:tc>
      </w:tr>
    </w:tbl>
    <w:p/>
    <w:p>
      <w:pPr>
        <w:spacing w:before="360" w:after="240"/>
      </w:pPr>
      <w:r>
        <w:rPr>
          <w:rFonts w:ascii="黑体" w:hAnsi="黑体" w:eastAsia="黑体"/>
          <w:b/>
          <w:color w:val="B8232F"/>
          <w:sz w:val="32"/>
        </w:rPr>
        <w:t xml:space="preserve">9.3  </w:t>
      </w:r>
      <w:r>
        <w:rPr>
          <w:rFonts w:ascii="黑体" w:hAnsi="黑体" w:eastAsia="黑体"/>
          <w:b/>
          <w:color w:val="1E3A5F"/>
          <w:sz w:val="32"/>
        </w:rPr>
        <w:t>三大突破口</w:t>
      </w:r>
    </w:p>
    <w:p>
      <w:pPr>
        <w:spacing w:after="120" w:line="384" w:lineRule="auto"/>
        <w:ind w:firstLine="480"/>
      </w:pPr>
      <w:r>
        <w:rPr>
          <w:rFonts w:ascii="宋体" w:hAnsi="宋体" w:eastAsia="宋体"/>
          <w:color w:val="1A202C"/>
          <w:sz w:val="24"/>
        </w:rPr>
        <w:t>在 5 年路径中，建议重点突破三大方向：</w:t>
      </w:r>
    </w:p>
    <w:p>
      <w:pPr>
        <w:spacing w:before="280" w:after="160"/>
      </w:pPr>
      <w:r>
        <w:rPr>
          <w:rFonts w:ascii="黑体" w:hAnsi="黑体" w:eastAsia="黑体"/>
          <w:b/>
          <w:color w:val="B8232F"/>
          <w:sz w:val="28"/>
        </w:rPr>
        <w:t>9.3.1 突破口一：城市大脑省域协同</w:t>
      </w:r>
    </w:p>
    <w:p>
      <w:pPr>
        <w:spacing w:after="120" w:line="384" w:lineRule="auto"/>
        <w:ind w:firstLine="480"/>
      </w:pPr>
      <w:r>
        <w:rPr>
          <w:rFonts w:ascii="宋体" w:hAnsi="宋体" w:eastAsia="宋体"/>
          <w:color w:val="1A202C"/>
          <w:sz w:val="24"/>
        </w:rPr>
        <w:t>当前河南各地市的城市大脑相互独立，无法跨域协同。建议：</w:t>
      </w:r>
    </w:p>
    <w:p>
      <w:pPr>
        <w:spacing w:after="80"/>
        <w:ind w:left="480"/>
      </w:pPr>
      <w:r>
        <w:rPr>
          <w:rFonts w:ascii="宋体" w:hAnsi="宋体" w:eastAsia="宋体"/>
          <w:b/>
          <w:color w:val="C9A063"/>
          <w:sz w:val="24"/>
        </w:rPr>
        <w:t xml:space="preserve">▪ </w:t>
      </w:r>
      <w:r>
        <w:rPr>
          <w:rFonts w:ascii="宋体" w:hAnsi="宋体" w:eastAsia="宋体"/>
          <w:color w:val="1A202C"/>
          <w:sz w:val="24"/>
        </w:rPr>
        <w:t>建立省级城市大脑联盟，统一数据接口标准</w:t>
      </w:r>
    </w:p>
    <w:p>
      <w:pPr>
        <w:spacing w:after="80"/>
        <w:ind w:left="480"/>
      </w:pPr>
      <w:r>
        <w:rPr>
          <w:rFonts w:ascii="宋体" w:hAnsi="宋体" w:eastAsia="宋体"/>
          <w:b/>
          <w:color w:val="C9A063"/>
          <w:sz w:val="24"/>
        </w:rPr>
        <w:t xml:space="preserve">▪ </w:t>
      </w:r>
      <w:r>
        <w:rPr>
          <w:rFonts w:ascii="宋体" w:hAnsi="宋体" w:eastAsia="宋体"/>
          <w:color w:val="1A202C"/>
          <w:sz w:val="24"/>
        </w:rPr>
        <w:t>建设省级 AI 治理大模型平台，各市可调用</w:t>
      </w:r>
    </w:p>
    <w:p>
      <w:pPr>
        <w:spacing w:after="80"/>
        <w:ind w:left="480"/>
      </w:pPr>
      <w:r>
        <w:rPr>
          <w:rFonts w:ascii="宋体" w:hAnsi="宋体" w:eastAsia="宋体"/>
          <w:b/>
          <w:color w:val="C9A063"/>
          <w:sz w:val="24"/>
        </w:rPr>
        <w:t xml:space="preserve">▪ </w:t>
      </w:r>
      <w:r>
        <w:rPr>
          <w:rFonts w:ascii="宋体" w:hAnsi="宋体" w:eastAsia="宋体"/>
          <w:color w:val="1A202C"/>
          <w:sz w:val="24"/>
        </w:rPr>
        <w:t>推行「豫智码」全省身份统一（学习日本マイナンバー）</w:t>
      </w:r>
    </w:p>
    <w:p>
      <w:pPr>
        <w:spacing w:after="80"/>
        <w:ind w:left="480"/>
      </w:pPr>
      <w:r>
        <w:rPr>
          <w:rFonts w:ascii="宋体" w:hAnsi="宋体" w:eastAsia="宋体"/>
          <w:b/>
          <w:color w:val="C9A063"/>
          <w:sz w:val="24"/>
        </w:rPr>
        <w:t xml:space="preserve">▪ </w:t>
      </w:r>
      <w:r>
        <w:rPr>
          <w:rFonts w:ascii="宋体" w:hAnsi="宋体" w:eastAsia="宋体"/>
          <w:color w:val="1A202C"/>
          <w:sz w:val="24"/>
        </w:rPr>
        <w:t>投资规模：3 年 80 亿元</w:t>
      </w:r>
    </w:p>
    <w:p>
      <w:pPr>
        <w:spacing w:before="280" w:after="160"/>
      </w:pPr>
      <w:r>
        <w:rPr>
          <w:rFonts w:ascii="黑体" w:hAnsi="黑体" w:eastAsia="黑体"/>
          <w:b/>
          <w:color w:val="B8232F"/>
          <w:sz w:val="28"/>
        </w:rPr>
        <w:t>9.3.2 突破口二：数据共享攻坚行动</w:t>
      </w:r>
    </w:p>
    <w:p>
      <w:pPr>
        <w:spacing w:after="120" w:line="384" w:lineRule="auto"/>
        <w:ind w:firstLine="480"/>
      </w:pPr>
      <w:r>
        <w:rPr>
          <w:rFonts w:ascii="宋体" w:hAnsi="宋体" w:eastAsia="宋体"/>
          <w:color w:val="1A202C"/>
          <w:sz w:val="24"/>
        </w:rPr>
        <w:t>河南跨部门数据共享率约 45%，远低于浙江 92%。建议：</w:t>
      </w:r>
    </w:p>
    <w:p>
      <w:pPr>
        <w:spacing w:after="80"/>
        <w:ind w:left="480"/>
      </w:pPr>
      <w:r>
        <w:rPr>
          <w:rFonts w:ascii="宋体" w:hAnsi="宋体" w:eastAsia="宋体"/>
          <w:b/>
          <w:color w:val="C9A063"/>
          <w:sz w:val="24"/>
        </w:rPr>
        <w:t xml:space="preserve">▪ </w:t>
      </w:r>
      <w:r>
        <w:rPr>
          <w:rFonts w:ascii="宋体" w:hAnsi="宋体" w:eastAsia="宋体"/>
          <w:color w:val="1A202C"/>
          <w:sz w:val="24"/>
        </w:rPr>
        <w:t>省委办公厅牵头建立「政务数据共享攻坚行动小组」</w:t>
      </w:r>
    </w:p>
    <w:p>
      <w:pPr>
        <w:spacing w:after="80"/>
        <w:ind w:left="480"/>
      </w:pPr>
      <w:r>
        <w:rPr>
          <w:rFonts w:ascii="宋体" w:hAnsi="宋体" w:eastAsia="宋体"/>
          <w:b/>
          <w:color w:val="C9A063"/>
          <w:sz w:val="24"/>
        </w:rPr>
        <w:t xml:space="preserve">▪ </w:t>
      </w:r>
      <w:r>
        <w:rPr>
          <w:rFonts w:ascii="宋体" w:hAnsi="宋体" w:eastAsia="宋体"/>
          <w:color w:val="1A202C"/>
          <w:sz w:val="24"/>
        </w:rPr>
        <w:t>3 年内将数据共享率提升至 80% 以上</w:t>
      </w:r>
    </w:p>
    <w:p>
      <w:pPr>
        <w:spacing w:after="80"/>
        <w:ind w:left="480"/>
      </w:pPr>
      <w:r>
        <w:rPr>
          <w:rFonts w:ascii="宋体" w:hAnsi="宋体" w:eastAsia="宋体"/>
          <w:b/>
          <w:color w:val="C9A063"/>
          <w:sz w:val="24"/>
        </w:rPr>
        <w:t xml:space="preserve">▪ </w:t>
      </w:r>
      <w:r>
        <w:rPr>
          <w:rFonts w:ascii="宋体" w:hAnsi="宋体" w:eastAsia="宋体"/>
          <w:color w:val="1A202C"/>
          <w:sz w:val="24"/>
        </w:rPr>
        <w:t>对于涉及部门利益的数据共享障碍，由省委直接督办</w:t>
      </w:r>
    </w:p>
    <w:p>
      <w:pPr>
        <w:spacing w:after="80"/>
        <w:ind w:left="480"/>
      </w:pPr>
      <w:r>
        <w:rPr>
          <w:rFonts w:ascii="宋体" w:hAnsi="宋体" w:eastAsia="宋体"/>
          <w:b/>
          <w:color w:val="C9A063"/>
          <w:sz w:val="24"/>
        </w:rPr>
        <w:t xml:space="preserve">▪ </w:t>
      </w:r>
      <w:r>
        <w:rPr>
          <w:rFonts w:ascii="宋体" w:hAnsi="宋体" w:eastAsia="宋体"/>
          <w:color w:val="1A202C"/>
          <w:sz w:val="24"/>
        </w:rPr>
        <w:t>投资规模：3 年 40 亿元</w:t>
      </w:r>
    </w:p>
    <w:p>
      <w:pPr>
        <w:spacing w:before="280" w:after="160"/>
      </w:pPr>
      <w:r>
        <w:rPr>
          <w:rFonts w:ascii="黑体" w:hAnsi="黑体" w:eastAsia="黑体"/>
          <w:b/>
          <w:color w:val="B8232F"/>
          <w:sz w:val="28"/>
        </w:rPr>
        <w:t>9.3.3 突破口三：治理数字人才千人计划</w:t>
      </w:r>
    </w:p>
    <w:p>
      <w:pPr>
        <w:spacing w:after="120" w:line="384" w:lineRule="auto"/>
        <w:ind w:firstLine="480"/>
      </w:pPr>
      <w:r>
        <w:rPr>
          <w:rFonts w:ascii="宋体" w:hAnsi="宋体" w:eastAsia="宋体"/>
          <w:color w:val="1A202C"/>
          <w:sz w:val="24"/>
        </w:rPr>
        <w:t>河南专业数字治理人才不足全省财政供养人员的 0.8%。建议：</w:t>
      </w:r>
    </w:p>
    <w:p>
      <w:pPr>
        <w:spacing w:after="80"/>
        <w:ind w:left="480"/>
      </w:pPr>
      <w:r>
        <w:rPr>
          <w:rFonts w:ascii="宋体" w:hAnsi="宋体" w:eastAsia="宋体"/>
          <w:b/>
          <w:color w:val="C9A063"/>
          <w:sz w:val="24"/>
        </w:rPr>
        <w:t xml:space="preserve">▪ </w:t>
      </w:r>
      <w:r>
        <w:rPr>
          <w:rFonts w:ascii="宋体" w:hAnsi="宋体" w:eastAsia="宋体"/>
          <w:color w:val="1A202C"/>
          <w:sz w:val="24"/>
        </w:rPr>
        <w:t>3 年内培养 1,000 名复合型治理数字人才</w:t>
      </w:r>
    </w:p>
    <w:p>
      <w:pPr>
        <w:spacing w:after="80"/>
        <w:ind w:left="480"/>
      </w:pPr>
      <w:r>
        <w:rPr>
          <w:rFonts w:ascii="宋体" w:hAnsi="宋体" w:eastAsia="宋体"/>
          <w:b/>
          <w:color w:val="C9A063"/>
          <w:sz w:val="24"/>
        </w:rPr>
        <w:t xml:space="preserve">▪ </w:t>
      </w:r>
      <w:r>
        <w:rPr>
          <w:rFonts w:ascii="宋体" w:hAnsi="宋体" w:eastAsia="宋体"/>
          <w:color w:val="1A202C"/>
          <w:sz w:val="24"/>
        </w:rPr>
        <w:t>与港理工大学（史文中教授联合实验室）、清华公管学院、国家行政学院建立合作</w:t>
      </w:r>
    </w:p>
    <w:p>
      <w:pPr>
        <w:spacing w:after="80"/>
        <w:ind w:left="480"/>
      </w:pPr>
      <w:r>
        <w:rPr>
          <w:rFonts w:ascii="宋体" w:hAnsi="宋体" w:eastAsia="宋体"/>
          <w:b/>
          <w:color w:val="C9A063"/>
          <w:sz w:val="24"/>
        </w:rPr>
        <w:t xml:space="preserve">▪ </w:t>
      </w:r>
      <w:r>
        <w:rPr>
          <w:rFonts w:ascii="宋体" w:hAnsi="宋体" w:eastAsia="宋体"/>
          <w:color w:val="1A202C"/>
          <w:sz w:val="24"/>
        </w:rPr>
        <w:t>建立「省级治理科技培训中心」，年培训处级以上干部 5,000 人次</w:t>
      </w:r>
    </w:p>
    <w:p>
      <w:pPr>
        <w:spacing w:after="80"/>
        <w:ind w:left="480"/>
      </w:pPr>
      <w:r>
        <w:rPr>
          <w:rFonts w:ascii="宋体" w:hAnsi="宋体" w:eastAsia="宋体"/>
          <w:b/>
          <w:color w:val="C9A063"/>
          <w:sz w:val="24"/>
        </w:rPr>
        <w:t xml:space="preserve">▪ </w:t>
      </w:r>
      <w:r>
        <w:rPr>
          <w:rFonts w:ascii="宋体" w:hAnsi="宋体" w:eastAsia="宋体"/>
          <w:color w:val="1A202C"/>
          <w:sz w:val="24"/>
        </w:rPr>
        <w:t>投资规模：3 年 10 亿元</w:t>
      </w:r>
    </w:p>
    <w:p>
      <w:pPr>
        <w:spacing w:before="360" w:after="240"/>
      </w:pPr>
      <w:r>
        <w:rPr>
          <w:rFonts w:ascii="黑体" w:hAnsi="黑体" w:eastAsia="黑体"/>
          <w:b/>
          <w:color w:val="B8232F"/>
          <w:sz w:val="32"/>
        </w:rPr>
        <w:t xml:space="preserve">9.4  </w:t>
      </w:r>
      <w:r>
        <w:rPr>
          <w:rFonts w:ascii="黑体" w:hAnsi="黑体" w:eastAsia="黑体"/>
          <w:b/>
          <w:color w:val="1E3A5F"/>
          <w:sz w:val="32"/>
        </w:rPr>
        <w:t>200 亿元「十五五」专项预算建议</w:t>
      </w:r>
    </w:p>
    <w:p>
      <w:pPr>
        <w:spacing w:after="120" w:line="384" w:lineRule="auto"/>
        <w:ind w:firstLine="480"/>
      </w:pPr>
      <w:r>
        <w:rPr>
          <w:rFonts w:ascii="宋体" w:hAnsi="宋体" w:eastAsia="宋体"/>
          <w:color w:val="1A202C"/>
          <w:sz w:val="24"/>
        </w:rPr>
        <w:t>建议将「高效能治理工程」列入河南省「十五五」规划，5 年专项预算 200 亿元。</w:t>
      </w:r>
    </w:p>
    <w:p>
      <w:pPr>
        <w:spacing w:before="280" w:after="160"/>
      </w:pPr>
      <w:r>
        <w:rPr>
          <w:rFonts w:ascii="黑体" w:hAnsi="黑体" w:eastAsia="黑体"/>
          <w:b/>
          <w:color w:val="B8232F"/>
          <w:sz w:val="28"/>
        </w:rPr>
        <w:t>9.4.1 预算构成</w:t>
      </w:r>
    </w:p>
    <w:tbl>
      <w:tblPr>
        <w:tblW w:type="auto" w:w="0"/>
        <w:tblLayout w:type="fixed"/>
        <w:tblLook w:firstColumn="1" w:firstRow="1" w:lastColumn="0" w:lastRow="0" w:noHBand="0" w:noVBand="1" w:val="04A0"/>
      </w:tblPr>
      <w:tblGrid>
        <w:gridCol w:w="2209"/>
        <w:gridCol w:w="2209"/>
        <w:gridCol w:w="2209"/>
        <w:gridCol w:w="2209"/>
      </w:tblGrid>
      <w:tr>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预算项</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5 年总额（亿）</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占比</w:t>
            </w:r>
          </w:p>
        </w:tc>
        <w:tc>
          <w:tcPr>
            <w:tcW w:type="dxa" w:w="2126"/>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用途</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1X2 工作体系建设</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30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省级数据平台、应用群</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三大突破口</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130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65%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省域协同 + 数据共享 + 人才</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18 地市基础设施</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各市城运中心、5G、物联网</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158 县级试点</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10</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县级数字治理工具部署</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专项研究 + 评估</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2.5%</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智库报告、学术研究</w:t>
            </w:r>
          </w:p>
        </w:tc>
      </w:tr>
      <w:tr>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国际合作 + 学术交流</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2.5%</w:t>
            </w:r>
          </w:p>
        </w:tc>
        <w:tc>
          <w:tcPr>
            <w:tcW w:type="dxa" w:w="2126"/>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PolyU 联合实验室、国际会议</w:t>
            </w:r>
          </w:p>
        </w:tc>
      </w:tr>
      <w:tr>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合计</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200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100%</w:t>
            </w:r>
          </w:p>
        </w:tc>
        <w:tc>
          <w:tcPr>
            <w:tcW w:type="dxa" w:w="2126"/>
            <w:tcBorders>
              <w:top w:val="single" w:sz="4" w:color="CCCCCC"/>
              <w:left w:val="single" w:sz="4" w:color="CCCCCC"/>
              <w:bottom w:val="single" w:sz="4" w:color="CCCCCC"/>
              <w:right w:val="single" w:sz="4" w:color="CCCCCC"/>
            </w:tcBorders>
          </w:tcPr>
          <w:p>
            <w:r/>
            <w:r>
              <w:rPr>
                <w:rFonts w:ascii="宋体" w:hAnsi="宋体" w:eastAsia="宋体"/>
                <w:color w:val="1A202C"/>
                <w:sz w:val="21"/>
              </w:rPr>
              <w:t>—</w:t>
            </w:r>
          </w:p>
        </w:tc>
      </w:tr>
    </w:tbl>
    <w:p/>
    <w:p>
      <w:pPr>
        <w:spacing w:before="280" w:after="160"/>
      </w:pPr>
      <w:r>
        <w:rPr>
          <w:rFonts w:ascii="黑体" w:hAnsi="黑体" w:eastAsia="黑体"/>
          <w:b/>
          <w:color w:val="B8232F"/>
          <w:sz w:val="28"/>
        </w:rPr>
        <w:t>9.4.2 资金来源</w:t>
      </w:r>
    </w:p>
    <w:p>
      <w:pPr>
        <w:spacing w:after="80"/>
        <w:ind w:left="480"/>
      </w:pPr>
      <w:r>
        <w:rPr>
          <w:rFonts w:ascii="宋体" w:hAnsi="宋体" w:eastAsia="宋体"/>
          <w:b/>
          <w:color w:val="C9A063"/>
          <w:sz w:val="24"/>
        </w:rPr>
        <w:t xml:space="preserve">▪ </w:t>
      </w:r>
      <w:r>
        <w:rPr>
          <w:rFonts w:ascii="宋体" w:hAnsi="宋体" w:eastAsia="宋体"/>
          <w:color w:val="1A202C"/>
          <w:sz w:val="24"/>
        </w:rPr>
        <w:t>省财政每年安排 30 亿元（5 年共 150 亿）</w:t>
      </w:r>
    </w:p>
    <w:p>
      <w:pPr>
        <w:spacing w:after="80"/>
        <w:ind w:left="480"/>
      </w:pPr>
      <w:r>
        <w:rPr>
          <w:rFonts w:ascii="宋体" w:hAnsi="宋体" w:eastAsia="宋体"/>
          <w:b/>
          <w:color w:val="C9A063"/>
          <w:sz w:val="24"/>
        </w:rPr>
        <w:t xml:space="preserve">▪ </w:t>
      </w:r>
      <w:r>
        <w:rPr>
          <w:rFonts w:ascii="宋体" w:hAnsi="宋体" w:eastAsia="宋体"/>
          <w:color w:val="1A202C"/>
          <w:sz w:val="24"/>
        </w:rPr>
        <w:t>市县财政按 1:0.5 配套（5 年共 75 亿）</w:t>
      </w:r>
    </w:p>
    <w:p>
      <w:pPr>
        <w:spacing w:after="80"/>
        <w:ind w:left="480"/>
      </w:pPr>
      <w:r>
        <w:rPr>
          <w:rFonts w:ascii="宋体" w:hAnsi="宋体" w:eastAsia="宋体"/>
          <w:b/>
          <w:color w:val="C9A063"/>
          <w:sz w:val="24"/>
        </w:rPr>
        <w:t xml:space="preserve">▪ </w:t>
      </w:r>
      <w:r>
        <w:rPr>
          <w:rFonts w:ascii="宋体" w:hAnsi="宋体" w:eastAsia="宋体"/>
          <w:color w:val="1A202C"/>
          <w:sz w:val="24"/>
        </w:rPr>
        <w:t>国家中小企业发展基金、新型基础设施投资基金等争取 25 亿</w:t>
      </w:r>
    </w:p>
    <w:p>
      <w:pPr>
        <w:spacing w:after="80"/>
        <w:ind w:left="480"/>
      </w:pPr>
      <w:r>
        <w:rPr>
          <w:rFonts w:ascii="宋体" w:hAnsi="宋体" w:eastAsia="宋体"/>
          <w:b/>
          <w:color w:val="C9A063"/>
          <w:sz w:val="24"/>
        </w:rPr>
        <w:t xml:space="preserve">▪ </w:t>
      </w:r>
      <w:r>
        <w:rPr>
          <w:rFonts w:ascii="宋体" w:hAnsi="宋体" w:eastAsia="宋体"/>
          <w:color w:val="1A202C"/>
          <w:sz w:val="24"/>
        </w:rPr>
        <w:t>PPP/REITs/产业基金等创新融资模式 50 亿</w:t>
      </w:r>
    </w:p>
    <w:p>
      <w:pPr>
        <w:spacing w:after="80"/>
        <w:ind w:left="480"/>
      </w:pPr>
      <w:r>
        <w:rPr>
          <w:rFonts w:ascii="宋体" w:hAnsi="宋体" w:eastAsia="宋体"/>
          <w:b/>
          <w:color w:val="C9A063"/>
          <w:sz w:val="24"/>
        </w:rPr>
        <w:t xml:space="preserve">▪ </w:t>
      </w:r>
      <w:r>
        <w:rPr>
          <w:rFonts w:ascii="宋体" w:hAnsi="宋体" w:eastAsia="宋体"/>
          <w:color w:val="1A202C"/>
          <w:sz w:val="24"/>
        </w:rPr>
        <w:t>合计资金池：300 亿（其中 200 亿为本工程专项）</w:t>
      </w:r>
    </w:p>
    <w:p>
      <w:pPr>
        <w:spacing w:before="360" w:after="240"/>
      </w:pPr>
      <w:r>
        <w:rPr>
          <w:rFonts w:ascii="黑体" w:hAnsi="黑体" w:eastAsia="黑体"/>
          <w:b/>
          <w:color w:val="B8232F"/>
          <w:sz w:val="32"/>
        </w:rPr>
        <w:t xml:space="preserve">9.5  </w:t>
      </w:r>
      <w:r>
        <w:rPr>
          <w:rFonts w:ascii="黑体" w:hAnsi="黑体" w:eastAsia="黑体"/>
          <w:b/>
          <w:color w:val="1E3A5F"/>
          <w:sz w:val="32"/>
        </w:rPr>
        <w:t>制度保障：4 位一体</w:t>
      </w:r>
    </w:p>
    <w:p>
      <w:pPr>
        <w:spacing w:before="280" w:after="160"/>
      </w:pPr>
      <w:r>
        <w:rPr>
          <w:rFonts w:ascii="黑体" w:hAnsi="黑体" w:eastAsia="黑体"/>
          <w:b/>
          <w:color w:val="B8232F"/>
          <w:sz w:val="28"/>
        </w:rPr>
        <w:t>9.5.1 组织保障</w:t>
      </w:r>
    </w:p>
    <w:p>
      <w:pPr>
        <w:spacing w:after="120" w:line="384" w:lineRule="auto"/>
        <w:ind w:firstLine="480"/>
      </w:pPr>
      <w:r>
        <w:rPr>
          <w:rFonts w:ascii="宋体" w:hAnsi="宋体" w:eastAsia="宋体"/>
          <w:color w:val="1A202C"/>
          <w:sz w:val="24"/>
        </w:rPr>
        <w:t>建议成立省委「高效能治理工作领导小组」，由省委书记任组长，省长任常务副组长，常委、副省长任副组长。下设办公室在省委办公厅，由专职副秘书长任主任。</w:t>
      </w:r>
    </w:p>
    <w:p>
      <w:pPr>
        <w:spacing w:before="280" w:after="160"/>
      </w:pPr>
      <w:r>
        <w:rPr>
          <w:rFonts w:ascii="黑体" w:hAnsi="黑体" w:eastAsia="黑体"/>
          <w:b/>
          <w:color w:val="B8232F"/>
          <w:sz w:val="28"/>
        </w:rPr>
        <w:t>9.5.2 资金保障</w:t>
      </w:r>
    </w:p>
    <w:p>
      <w:pPr>
        <w:spacing w:after="120" w:line="384" w:lineRule="auto"/>
        <w:ind w:firstLine="480"/>
      </w:pPr>
      <w:r>
        <w:rPr>
          <w:rFonts w:ascii="宋体" w:hAnsi="宋体" w:eastAsia="宋体"/>
          <w:color w:val="1A202C"/>
          <w:sz w:val="24"/>
        </w:rPr>
        <w:t>200 亿元 5 年专项预算单列科目，不与其他预算混用。</w:t>
      </w:r>
    </w:p>
    <w:p>
      <w:pPr>
        <w:spacing w:before="280" w:after="160"/>
      </w:pPr>
      <w:r>
        <w:rPr>
          <w:rFonts w:ascii="黑体" w:hAnsi="黑体" w:eastAsia="黑体"/>
          <w:b/>
          <w:color w:val="B8232F"/>
          <w:sz w:val="28"/>
        </w:rPr>
        <w:t>9.5.3 人才保障</w:t>
      </w:r>
    </w:p>
    <w:p>
      <w:pPr>
        <w:spacing w:after="120" w:line="384" w:lineRule="auto"/>
        <w:ind w:firstLine="480"/>
      </w:pPr>
      <w:r>
        <w:rPr>
          <w:rFonts w:ascii="宋体" w:hAnsi="宋体" w:eastAsia="宋体"/>
          <w:color w:val="1A202C"/>
          <w:sz w:val="24"/>
        </w:rPr>
        <w:t>千人计划 + 联合实验室 + 学位授予权。</w:t>
      </w:r>
    </w:p>
    <w:p>
      <w:pPr>
        <w:spacing w:before="280" w:after="160"/>
      </w:pPr>
      <w:r>
        <w:rPr>
          <w:rFonts w:ascii="黑体" w:hAnsi="黑体" w:eastAsia="黑体"/>
          <w:b/>
          <w:color w:val="B8232F"/>
          <w:sz w:val="28"/>
        </w:rPr>
        <w:t>9.5.4 评估保障</w:t>
      </w:r>
    </w:p>
    <w:p>
      <w:pPr>
        <w:spacing w:after="120" w:line="384" w:lineRule="auto"/>
        <w:ind w:firstLine="480"/>
      </w:pPr>
      <w:r>
        <w:rPr>
          <w:rFonts w:ascii="宋体" w:hAnsi="宋体" w:eastAsia="宋体"/>
          <w:color w:val="1A202C"/>
          <w:sz w:val="24"/>
        </w:rPr>
        <w:t>建立年度「河南治理水平评估蓝皮书」制度，由省委政研室、省委党校、省社科院联合编制，向社会公开。</w:t>
      </w:r>
    </w:p>
    <w:p>
      <w:pPr>
        <w:spacing w:before="360" w:after="240"/>
      </w:pPr>
      <w:r>
        <w:rPr>
          <w:rFonts w:ascii="黑体" w:hAnsi="黑体" w:eastAsia="黑体"/>
          <w:b/>
          <w:color w:val="B8232F"/>
          <w:sz w:val="32"/>
        </w:rPr>
        <w:t xml:space="preserve">9.6  </w:t>
      </w:r>
      <w:r>
        <w:rPr>
          <w:rFonts w:ascii="黑体" w:hAnsi="黑体" w:eastAsia="黑体"/>
          <w:b/>
          <w:color w:val="1E3A5F"/>
          <w:sz w:val="32"/>
        </w:rPr>
        <w:t>对其他中部省份与全国县市级政府的可复制性</w:t>
      </w:r>
    </w:p>
    <w:p>
      <w:pPr>
        <w:spacing w:after="120" w:line="384" w:lineRule="auto"/>
        <w:ind w:firstLine="480"/>
      </w:pPr>
      <w:r>
        <w:rPr>
          <w:rFonts w:ascii="宋体" w:hAnsi="宋体" w:eastAsia="宋体"/>
          <w:color w:val="1A202C"/>
          <w:sz w:val="24"/>
        </w:rPr>
        <w:t>本研究坚持「复制性」原则，特别设计了双轨复制路径。</w:t>
      </w:r>
    </w:p>
    <w:p>
      <w:pPr>
        <w:spacing w:before="280" w:after="160"/>
      </w:pPr>
      <w:r>
        <w:rPr>
          <w:rFonts w:ascii="黑体" w:hAnsi="黑体" w:eastAsia="黑体"/>
          <w:b/>
          <w:color w:val="B8232F"/>
          <w:sz w:val="28"/>
        </w:rPr>
        <w:t>9.6.1 向中部六省（豫鄂湘皖赣晋）的复制</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省份</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差异化</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复制重点</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河南</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本研究主案例</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完整 1X2 体系</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湖北</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经济+科教强省</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学杭州 152 + 武汉数字孪生</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湖南</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长株潭一体化</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学雄安 + 智能驾驶</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安徽</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长三角向东开放</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学苏州工业园 + 合肥科创</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江西</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革命老区 + 鄱阳湖</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学上海 + 生态智慧治理</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山西</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能源转型 + 千年古都</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学开封 + 文旅数字化</w:t>
            </w:r>
          </w:p>
        </w:tc>
      </w:tr>
    </w:tbl>
    <w:p/>
    <w:p>
      <w:pPr>
        <w:spacing w:before="280" w:after="160"/>
      </w:pPr>
      <w:r>
        <w:rPr>
          <w:rFonts w:ascii="黑体" w:hAnsi="黑体" w:eastAsia="黑体"/>
          <w:b/>
          <w:color w:val="B8232F"/>
          <w:sz w:val="28"/>
        </w:rPr>
        <w:t>9.6.2 向全国县市级政府的复制</w:t>
      </w:r>
    </w:p>
    <w:p>
      <w:pPr>
        <w:spacing w:after="120" w:line="384" w:lineRule="auto"/>
        <w:ind w:firstLine="480"/>
      </w:pPr>
      <w:r>
        <w:rPr>
          <w:rFonts w:ascii="宋体" w:hAnsi="宋体" w:eastAsia="宋体"/>
          <w:color w:val="1A202C"/>
          <w:sz w:val="24"/>
        </w:rPr>
        <w:t>考虑到县市级政府资源约束，建议「轻量化」复制方案：</w:t>
      </w:r>
    </w:p>
    <w:p>
      <w:pPr>
        <w:spacing w:after="80"/>
        <w:ind w:left="480"/>
      </w:pPr>
      <w:r>
        <w:rPr>
          <w:rFonts w:ascii="宋体" w:hAnsi="宋体" w:eastAsia="宋体"/>
          <w:b/>
          <w:color w:val="B8232F"/>
          <w:sz w:val="24"/>
        </w:rPr>
        <w:t>（县级套件）</w:t>
      </w:r>
      <w:r>
        <w:rPr>
          <w:rFonts w:ascii="宋体" w:hAnsi="宋体" w:eastAsia="宋体"/>
          <w:color w:val="1A202C"/>
          <w:sz w:val="24"/>
        </w:rPr>
        <w:t>1 个县级数据平台 + 5 个核心应用 + 100 项政务服务，投入 500 万-2,000 万</w:t>
      </w:r>
    </w:p>
    <w:p>
      <w:pPr>
        <w:spacing w:after="80"/>
        <w:ind w:left="480"/>
      </w:pPr>
      <w:r>
        <w:rPr>
          <w:rFonts w:ascii="宋体" w:hAnsi="宋体" w:eastAsia="宋体"/>
          <w:b/>
          <w:color w:val="B8232F"/>
          <w:sz w:val="24"/>
        </w:rPr>
        <w:t>（镇街套件）</w:t>
      </w:r>
      <w:r>
        <w:rPr>
          <w:rFonts w:ascii="宋体" w:hAnsi="宋体" w:eastAsia="宋体"/>
          <w:color w:val="1A202C"/>
          <w:sz w:val="24"/>
        </w:rPr>
        <w:t>1 个综合网格 + 1 个微网格集群 + 1 个治理 APP，投入 100 万-500 万</w:t>
      </w:r>
    </w:p>
    <w:p>
      <w:pPr>
        <w:spacing w:after="80"/>
        <w:ind w:left="480"/>
      </w:pPr>
      <w:r>
        <w:rPr>
          <w:rFonts w:ascii="宋体" w:hAnsi="宋体" w:eastAsia="宋体"/>
          <w:b/>
          <w:color w:val="B8232F"/>
          <w:sz w:val="24"/>
        </w:rPr>
        <w:t>（村社套件）</w:t>
      </w:r>
      <w:r>
        <w:rPr>
          <w:rFonts w:ascii="宋体" w:hAnsi="宋体" w:eastAsia="宋体"/>
          <w:color w:val="1A202C"/>
          <w:sz w:val="24"/>
        </w:rPr>
        <w:t>1 套智慧社区 + 1 套群众参与平台 + 1 套治安联防，投入 30 万-100 万</w:t>
      </w:r>
    </w:p>
    <w:p>
      <w:pPr>
        <w:spacing w:before="280" w:after="160"/>
      </w:pPr>
      <w:r>
        <w:rPr>
          <w:rFonts w:ascii="黑体" w:hAnsi="黑体" w:eastAsia="黑体"/>
          <w:b/>
          <w:color w:val="B8232F"/>
          <w:sz w:val="28"/>
        </w:rPr>
        <w:t>9.6.3 复制性的国际意义</w:t>
      </w:r>
    </w:p>
    <w:p>
      <w:pPr>
        <w:spacing w:after="120" w:line="384" w:lineRule="auto"/>
        <w:ind w:firstLine="480"/>
      </w:pPr>
      <w:r>
        <w:rPr>
          <w:rFonts w:ascii="宋体" w:hAnsi="宋体" w:eastAsia="宋体"/>
          <w:color w:val="1A202C"/>
          <w:sz w:val="24"/>
        </w:rPr>
        <w:t>本研究的复制方案对发展中国家城市也有借鉴价值。建议依托 PolyU SCRI 与河南合作平台，把河南经验输出到「一带一路」相关国家：</w:t>
      </w:r>
    </w:p>
    <w:p>
      <w:pPr>
        <w:spacing w:after="80"/>
        <w:ind w:left="480"/>
      </w:pPr>
      <w:r>
        <w:rPr>
          <w:rFonts w:ascii="宋体" w:hAnsi="宋体" w:eastAsia="宋体"/>
          <w:b/>
          <w:color w:val="C9A063"/>
          <w:sz w:val="24"/>
        </w:rPr>
        <w:t xml:space="preserve">▪ </w:t>
      </w:r>
      <w:r>
        <w:rPr>
          <w:rFonts w:ascii="宋体" w:hAnsi="宋体" w:eastAsia="宋体"/>
          <w:color w:val="1A202C"/>
          <w:sz w:val="24"/>
        </w:rPr>
        <w:t>面向 RCEP 国家：把「人民城市」理念和工具输出到东南亚</w:t>
      </w:r>
    </w:p>
    <w:p>
      <w:pPr>
        <w:spacing w:after="80"/>
        <w:ind w:left="480"/>
      </w:pPr>
      <w:r>
        <w:rPr>
          <w:rFonts w:ascii="宋体" w:hAnsi="宋体" w:eastAsia="宋体"/>
          <w:b/>
          <w:color w:val="C9A063"/>
          <w:sz w:val="24"/>
        </w:rPr>
        <w:t xml:space="preserve">▪ </w:t>
      </w:r>
      <w:r>
        <w:rPr>
          <w:rFonts w:ascii="宋体" w:hAnsi="宋体" w:eastAsia="宋体"/>
          <w:color w:val="1A202C"/>
          <w:sz w:val="24"/>
        </w:rPr>
        <w:t>面向「一带一路」国家：建立「中国治理科学走出去」机制</w:t>
      </w:r>
    </w:p>
    <w:p>
      <w:pPr>
        <w:spacing w:after="80"/>
        <w:ind w:left="480"/>
      </w:pPr>
      <w:r>
        <w:rPr>
          <w:rFonts w:ascii="宋体" w:hAnsi="宋体" w:eastAsia="宋体"/>
          <w:b/>
          <w:color w:val="C9A063"/>
          <w:sz w:val="24"/>
        </w:rPr>
        <w:t xml:space="preserve">▪ </w:t>
      </w:r>
      <w:r>
        <w:rPr>
          <w:rFonts w:ascii="宋体" w:hAnsi="宋体" w:eastAsia="宋体"/>
          <w:color w:val="1A202C"/>
          <w:sz w:val="24"/>
        </w:rPr>
        <w:t>面向 G20 国家：把中国治理实践提交全球治理论坛</w:t>
      </w:r>
    </w:p>
    <w:p>
      <w:r>
        <w:br w:type="page"/>
      </w:r>
    </w:p>
    <w:p>
      <w:pPr>
        <w:spacing w:before="600" w:after="400"/>
        <w:jc w:val="center"/>
      </w:pPr>
      <w:r>
        <w:rPr>
          <w:rFonts w:ascii="黑体" w:hAnsi="黑体" w:eastAsia="黑体"/>
          <w:b/>
          <w:color w:val="1E3A5F"/>
          <w:sz w:val="44"/>
        </w:rPr>
        <w:t>第 10 章</w:t>
      </w:r>
    </w:p>
    <w:p>
      <w:pPr>
        <w:spacing w:before="600" w:after="400"/>
        <w:jc w:val="center"/>
      </w:pPr>
      <w:r>
        <w:rPr>
          <w:rFonts w:ascii="黑体" w:hAnsi="黑体" w:eastAsia="黑体"/>
          <w:b/>
          <w:color w:val="1E3A5F"/>
          <w:sz w:val="44"/>
        </w:rPr>
        <w:t>结论与展望</w:t>
      </w:r>
    </w:p>
    <w:p>
      <w:pPr>
        <w:spacing w:after="120" w:line="384" w:lineRule="auto"/>
        <w:ind w:firstLine="480"/>
      </w:pPr>
      <w:r>
        <w:rPr>
          <w:rFonts w:ascii="宋体" w:hAnsi="宋体" w:eastAsia="宋体"/>
          <w:color w:val="1A202C"/>
          <w:sz w:val="24"/>
        </w:rPr>
        <w:t>本章对全文研究成果进行系统总结，并展望未来研究方向。</w:t>
      </w:r>
    </w:p>
    <w:p>
      <w:pPr>
        <w:spacing w:before="360" w:after="240"/>
      </w:pPr>
      <w:r>
        <w:rPr>
          <w:rFonts w:ascii="黑体" w:hAnsi="黑体" w:eastAsia="黑体"/>
          <w:b/>
          <w:color w:val="B8232F"/>
          <w:sz w:val="32"/>
        </w:rPr>
        <w:t xml:space="preserve">10.1  </w:t>
      </w:r>
      <w:r>
        <w:rPr>
          <w:rFonts w:ascii="黑体" w:hAnsi="黑体" w:eastAsia="黑体"/>
          <w:b/>
          <w:color w:val="1E3A5F"/>
          <w:sz w:val="32"/>
        </w:rPr>
        <w:t>主要研究发现</w:t>
      </w:r>
    </w:p>
    <w:p>
      <w:pPr>
        <w:spacing w:after="120" w:line="384" w:lineRule="auto"/>
        <w:ind w:firstLine="480"/>
      </w:pPr>
      <w:r>
        <w:rPr>
          <w:rFonts w:ascii="宋体" w:hAnsi="宋体" w:eastAsia="宋体"/>
          <w:color w:val="1A202C"/>
          <w:sz w:val="24"/>
        </w:rPr>
        <w:t>本研究围绕「高效能治理推进中国式现代化」这一核心命题，形成了如下主要研究发现：</w:t>
      </w:r>
    </w:p>
    <w:p>
      <w:pPr>
        <w:spacing w:after="80"/>
        <w:ind w:left="480"/>
      </w:pPr>
      <w:r>
        <w:rPr>
          <w:rFonts w:ascii="宋体" w:hAnsi="宋体" w:eastAsia="宋体"/>
          <w:b/>
          <w:color w:val="B8232F"/>
          <w:sz w:val="24"/>
        </w:rPr>
        <w:t>（理论发现一）</w:t>
      </w:r>
      <w:r>
        <w:rPr>
          <w:rFonts w:ascii="宋体" w:hAnsi="宋体" w:eastAsia="宋体"/>
          <w:color w:val="1A202C"/>
          <w:sz w:val="24"/>
        </w:rPr>
        <w:t>习近平总书记关于「人民城市」与「高效能治理」的思想体系经过 13 年演进（2013-2026），已经形成完整的理论谱系。其中 2025 年 5 月河南讲话首次「双高」并提是标志性事件。</w:t>
      </w:r>
    </w:p>
    <w:p>
      <w:pPr>
        <w:spacing w:after="80"/>
        <w:ind w:left="480"/>
      </w:pPr>
      <w:r>
        <w:rPr>
          <w:rFonts w:ascii="宋体" w:hAnsi="宋体" w:eastAsia="宋体"/>
          <w:b/>
          <w:color w:val="B8232F"/>
          <w:sz w:val="24"/>
        </w:rPr>
        <w:t>（理论发现二）</w:t>
      </w:r>
      <w:r>
        <w:rPr>
          <w:rFonts w:ascii="宋体" w:hAnsi="宋体" w:eastAsia="宋体"/>
          <w:color w:val="1A202C"/>
          <w:sz w:val="24"/>
        </w:rPr>
        <w:t>「治理科学三角」（政治锚定·学术方法·实证基础）是治理研究的元理论框架。它可以解决治理研究领域长期存在的「政治正确性 vs 学术严谨性」二元张力。</w:t>
      </w:r>
    </w:p>
    <w:p>
      <w:pPr>
        <w:spacing w:after="80"/>
        <w:ind w:left="480"/>
      </w:pPr>
      <w:r>
        <w:rPr>
          <w:rFonts w:ascii="宋体" w:hAnsi="宋体" w:eastAsia="宋体"/>
          <w:b/>
          <w:color w:val="B8232F"/>
          <w:sz w:val="24"/>
        </w:rPr>
        <w:t>（理论发现三）</w:t>
      </w:r>
      <w:r>
        <w:rPr>
          <w:rFonts w:ascii="宋体" w:hAnsi="宋体" w:eastAsia="宋体"/>
          <w:color w:val="1A202C"/>
          <w:sz w:val="24"/>
        </w:rPr>
        <w:t>ISUI 智慧城市指数与「人民城市」6 大目标之间存在「6×6 桥接矩阵」。这一矩阵可以系统性地把全球智慧城市评估体系与中国本土治理理论桥接起来。</w:t>
      </w:r>
    </w:p>
    <w:p>
      <w:pPr>
        <w:spacing w:after="80"/>
        <w:ind w:left="480"/>
      </w:pPr>
      <w:r>
        <w:rPr>
          <w:rFonts w:ascii="宋体" w:hAnsi="宋体" w:eastAsia="宋体"/>
          <w:b/>
          <w:color w:val="B8232F"/>
          <w:sz w:val="24"/>
        </w:rPr>
        <w:t>（理论发现四）</w:t>
      </w:r>
      <w:r>
        <w:rPr>
          <w:rFonts w:ascii="宋体" w:hAnsi="宋体" w:eastAsia="宋体"/>
          <w:color w:val="1A202C"/>
          <w:sz w:val="24"/>
        </w:rPr>
        <w:t>全球城市治理科技可以按「4 梯队」分层（国际标杆 / 中国第一 / 中国新势力 / 中国黑马）。这一分层为中国地方政府提供了清晰的对标参照系。</w:t>
      </w:r>
    </w:p>
    <w:p>
      <w:pPr>
        <w:spacing w:after="80"/>
        <w:ind w:left="480"/>
      </w:pPr>
      <w:r>
        <w:rPr>
          <w:rFonts w:ascii="宋体" w:hAnsi="宋体" w:eastAsia="宋体"/>
          <w:b/>
          <w:color w:val="B8232F"/>
          <w:sz w:val="24"/>
        </w:rPr>
        <w:t>（方法论发现一）</w:t>
      </w:r>
      <w:r>
        <w:rPr>
          <w:rFonts w:ascii="宋体" w:hAnsi="宋体" w:eastAsia="宋体"/>
          <w:color w:val="1A202C"/>
          <w:sz w:val="24"/>
        </w:rPr>
        <w:t>MIT En-ROADS 系统动力学方法可以成功本土化于中国治理领域，构建「18 杠杆 × 4 反馈环 × 5/15/225 三级指标」三层治理决策模型。</w:t>
      </w:r>
    </w:p>
    <w:p>
      <w:pPr>
        <w:spacing w:after="80"/>
        <w:ind w:left="480"/>
      </w:pPr>
      <w:r>
        <w:rPr>
          <w:rFonts w:ascii="宋体" w:hAnsi="宋体" w:eastAsia="宋体"/>
          <w:b/>
          <w:color w:val="B8232F"/>
          <w:sz w:val="24"/>
        </w:rPr>
        <w:t>（方法论发现二）</w:t>
      </w:r>
      <w:r>
        <w:rPr>
          <w:rFonts w:ascii="宋体" w:hAnsi="宋体" w:eastAsia="宋体"/>
          <w:color w:val="1A202C"/>
          <w:sz w:val="24"/>
        </w:rPr>
        <w:t>本研究模型可以实时推演 5-10 年治理水平演化趋势，并集成 AI 大模型进行深度诊断，是首个本土化的开源治理决策推演工具。</w:t>
      </w:r>
    </w:p>
    <w:p>
      <w:pPr>
        <w:spacing w:after="80"/>
        <w:ind w:left="480"/>
      </w:pPr>
      <w:r>
        <w:rPr>
          <w:rFonts w:ascii="宋体" w:hAnsi="宋体" w:eastAsia="宋体"/>
          <w:b/>
          <w:color w:val="B8232F"/>
          <w:sz w:val="24"/>
        </w:rPr>
        <w:t>（实证发现一）</w:t>
      </w:r>
      <w:r>
        <w:rPr>
          <w:rFonts w:ascii="宋体" w:hAnsi="宋体" w:eastAsia="宋体"/>
          <w:color w:val="1A202C"/>
          <w:sz w:val="24"/>
        </w:rPr>
        <w:t>郑州市「党建+网格+大数据」模式的成功，得益于党建引领、网格管理、城市大脑三大支柱的「黄金三角」协同效应。</w:t>
      </w:r>
    </w:p>
    <w:p>
      <w:pPr>
        <w:spacing w:after="80"/>
        <w:ind w:left="480"/>
      </w:pPr>
      <w:r>
        <w:rPr>
          <w:rFonts w:ascii="宋体" w:hAnsi="宋体" w:eastAsia="宋体"/>
          <w:b/>
          <w:color w:val="B8232F"/>
          <w:sz w:val="24"/>
        </w:rPr>
        <w:t>（实证发现二）</w:t>
      </w:r>
      <w:r>
        <w:rPr>
          <w:rFonts w:ascii="宋体" w:hAnsi="宋体" w:eastAsia="宋体"/>
          <w:color w:val="1A202C"/>
          <w:sz w:val="24"/>
        </w:rPr>
        <w:t>2024 年 6 月 15 日「三网合一」（12345+郑好办+网格）使郑州处置时间缩短 14.2 小时（DID 系数显著），群众满意率上升 4.2 个百分点。</w:t>
      </w:r>
    </w:p>
    <w:p>
      <w:pPr>
        <w:spacing w:after="80"/>
        <w:ind w:left="480"/>
      </w:pPr>
      <w:r>
        <w:rPr>
          <w:rFonts w:ascii="宋体" w:hAnsi="宋体" w:eastAsia="宋体"/>
          <w:b/>
          <w:color w:val="B8232F"/>
          <w:sz w:val="24"/>
        </w:rPr>
        <w:t>（实证发现三）</w:t>
      </w:r>
      <w:r>
        <w:rPr>
          <w:rFonts w:ascii="宋体" w:hAnsi="宋体" w:eastAsia="宋体"/>
          <w:color w:val="1A202C"/>
          <w:sz w:val="24"/>
        </w:rPr>
        <w:t>AI 小郑社会治理大模型作为「智能粘合剂」，贡献了三网合一总效应的 32.5%。</w:t>
      </w:r>
    </w:p>
    <w:p>
      <w:pPr>
        <w:spacing w:after="80"/>
        <w:ind w:left="480"/>
      </w:pPr>
      <w:r>
        <w:rPr>
          <w:rFonts w:ascii="宋体" w:hAnsi="宋体" w:eastAsia="宋体"/>
          <w:b/>
          <w:color w:val="B8232F"/>
          <w:sz w:val="24"/>
        </w:rPr>
        <w:t>（实证发现四）</w:t>
      </w:r>
      <w:r>
        <w:rPr>
          <w:rFonts w:ascii="宋体" w:hAnsi="宋体" w:eastAsia="宋体"/>
          <w:color w:val="1A202C"/>
          <w:sz w:val="24"/>
        </w:rPr>
        <w:t>跨城回归（n=10）显示：ISUI（β=0.62**）、PCI（β=0.58*）、双指数交互项（β=0.74***）。双指数协同效应显著，证明「6×6 桥接矩阵」理论的实证有效性。</w:t>
      </w:r>
    </w:p>
    <w:p>
      <w:pPr>
        <w:spacing w:before="360" w:after="240"/>
      </w:pPr>
      <w:r>
        <w:rPr>
          <w:rFonts w:ascii="黑体" w:hAnsi="黑体" w:eastAsia="黑体"/>
          <w:b/>
          <w:color w:val="B8232F"/>
          <w:sz w:val="32"/>
        </w:rPr>
        <w:t xml:space="preserve">10.2  </w:t>
      </w:r>
      <w:r>
        <w:rPr>
          <w:rFonts w:ascii="黑体" w:hAnsi="黑体" w:eastAsia="黑体"/>
          <w:b/>
          <w:color w:val="1E3A5F"/>
          <w:sz w:val="32"/>
        </w:rPr>
        <w:t>理论贡献再总结：3 大原创理论</w:t>
      </w:r>
    </w:p>
    <w:p>
      <w:pPr>
        <w:spacing w:before="280" w:after="160"/>
      </w:pPr>
      <w:r>
        <w:rPr>
          <w:rFonts w:ascii="黑体" w:hAnsi="黑体" w:eastAsia="黑体"/>
          <w:b/>
          <w:color w:val="B8232F"/>
          <w:sz w:val="28"/>
        </w:rPr>
        <w:t>10.2.1 ★ 创新点 C1：治理科学三角</w:t>
      </w:r>
    </w:p>
    <w:p>
      <w:pPr>
        <w:spacing w:after="120" w:line="384" w:lineRule="auto"/>
        <w:ind w:firstLine="480"/>
      </w:pPr>
      <w:r>
        <w:rPr>
          <w:rFonts w:ascii="宋体" w:hAnsi="宋体" w:eastAsia="宋体"/>
          <w:color w:val="1A202C"/>
          <w:sz w:val="24"/>
        </w:rPr>
        <w:t>本研究提出的「治理科学三角」（Governance Science Triangle, GST）框架，包括三个相互支撑的支柱：政治锚定、学术方法、实证基础。该框架解决了治理研究的「二元张力」问题，是中国治理学派建设的方法论贡献。</w:t>
      </w:r>
    </w:p>
    <w:p>
      <w:pPr>
        <w:spacing w:before="280" w:after="160"/>
      </w:pPr>
      <w:r>
        <w:rPr>
          <w:rFonts w:ascii="黑体" w:hAnsi="黑体" w:eastAsia="黑体"/>
          <w:b/>
          <w:color w:val="B8232F"/>
          <w:sz w:val="28"/>
        </w:rPr>
        <w:t>10.2.2 ★ 创新点 C2：ISUI × 人民城市 6×6 桥接矩阵</w:t>
      </w:r>
    </w:p>
    <w:p>
      <w:pPr>
        <w:spacing w:after="120" w:line="384" w:lineRule="auto"/>
        <w:ind w:firstLine="480"/>
      </w:pPr>
      <w:r>
        <w:rPr>
          <w:rFonts w:ascii="宋体" w:hAnsi="宋体" w:eastAsia="宋体"/>
          <w:color w:val="1A202C"/>
          <w:sz w:val="24"/>
        </w:rPr>
        <w:t>本研究构建的「6×6 桥接矩阵」首次系统桥接「ISUI 智慧城市指数」与「人民城市」6 目标。这一矩阵填补了「西方智慧城市指数」与「中国本土治理理论」之间的桥接空白，具有重大学术价值。</w:t>
      </w:r>
    </w:p>
    <w:p>
      <w:pPr>
        <w:spacing w:before="280" w:after="160"/>
      </w:pPr>
      <w:r>
        <w:rPr>
          <w:rFonts w:ascii="黑体" w:hAnsi="黑体" w:eastAsia="黑体"/>
          <w:b/>
          <w:color w:val="B8232F"/>
          <w:sz w:val="28"/>
        </w:rPr>
        <w:t>10.2.3 ★ 创新点 C3：治理科技 4 梯队分层理论</w:t>
      </w:r>
    </w:p>
    <w:p>
      <w:pPr>
        <w:spacing w:after="120" w:line="384" w:lineRule="auto"/>
        <w:ind w:firstLine="480"/>
      </w:pPr>
      <w:r>
        <w:rPr>
          <w:rFonts w:ascii="宋体" w:hAnsi="宋体" w:eastAsia="宋体"/>
          <w:color w:val="1A202C"/>
          <w:sz w:val="24"/>
        </w:rPr>
        <w:t>本研究提出的「治理科技 4 梯队分层理论」（GT4ST）首次明确了中国城市在全球治理科技版图中的坐标。它为中国地方政府的治理科技战略制定提供了科学的对标参照。</w:t>
      </w:r>
    </w:p>
    <w:p>
      <w:pPr>
        <w:spacing w:before="360" w:after="240"/>
      </w:pPr>
      <w:r>
        <w:rPr>
          <w:rFonts w:ascii="黑体" w:hAnsi="黑体" w:eastAsia="黑体"/>
          <w:b/>
          <w:color w:val="B8232F"/>
          <w:sz w:val="32"/>
        </w:rPr>
        <w:t xml:space="preserve">10.3  </w:t>
      </w:r>
      <w:r>
        <w:rPr>
          <w:rFonts w:ascii="黑体" w:hAnsi="黑体" w:eastAsia="黑体"/>
          <w:b/>
          <w:color w:val="1E3A5F"/>
          <w:sz w:val="32"/>
        </w:rPr>
        <w:t>方法论贡献再总结：2 大创新</w:t>
      </w:r>
    </w:p>
    <w:p>
      <w:pPr>
        <w:spacing w:before="280" w:after="160"/>
      </w:pPr>
      <w:r>
        <w:rPr>
          <w:rFonts w:ascii="黑体" w:hAnsi="黑体" w:eastAsia="黑体"/>
          <w:b/>
          <w:color w:val="B8232F"/>
          <w:sz w:val="28"/>
        </w:rPr>
        <w:t>10.3.1 ★ 创新点 M1：En-ROADS 治理领域本土化</w:t>
      </w:r>
    </w:p>
    <w:p>
      <w:pPr>
        <w:spacing w:after="120" w:line="384" w:lineRule="auto"/>
        <w:ind w:firstLine="480"/>
      </w:pPr>
      <w:r>
        <w:rPr>
          <w:rFonts w:ascii="宋体" w:hAnsi="宋体" w:eastAsia="宋体"/>
          <w:color w:val="1A202C"/>
          <w:sz w:val="24"/>
        </w:rPr>
        <w:t>本研究是国内首次将 MIT En-ROADS 系统动力学方法论本土化于中国治理领域。这一方法论创新填补了国内治理决策推演工具的空白，为后续相关研究提供了开源参照范本。</w:t>
      </w:r>
    </w:p>
    <w:p>
      <w:pPr>
        <w:spacing w:before="280" w:after="160"/>
      </w:pPr>
      <w:r>
        <w:rPr>
          <w:rFonts w:ascii="黑体" w:hAnsi="黑体" w:eastAsia="黑体"/>
          <w:b/>
          <w:color w:val="B8232F"/>
          <w:sz w:val="28"/>
        </w:rPr>
        <w:t>10.3.2 ★ 创新点 M2：3L-GDM 三层治理决策模型</w:t>
      </w:r>
    </w:p>
    <w:p>
      <w:pPr>
        <w:spacing w:after="120" w:line="384" w:lineRule="auto"/>
        <w:ind w:firstLine="480"/>
      </w:pPr>
      <w:r>
        <w:rPr>
          <w:rFonts w:ascii="宋体" w:hAnsi="宋体" w:eastAsia="宋体"/>
          <w:color w:val="1A202C"/>
          <w:sz w:val="24"/>
        </w:rPr>
        <w:t>本研究构建的「18 杠杆 × 4 反馈环 × 5/15/225 三级指标」三层治理决策模型（Three-Layer Governance Decision Model, 3L-GDM），是首个本土化的开源治理决策推演工具，具备「可推演性、可对标性、可诊断性、可复用性」四大特征。</w:t>
      </w:r>
    </w:p>
    <w:p>
      <w:pPr>
        <w:spacing w:before="360" w:after="240"/>
      </w:pPr>
      <w:r>
        <w:rPr>
          <w:rFonts w:ascii="黑体" w:hAnsi="黑体" w:eastAsia="黑体"/>
          <w:b/>
          <w:color w:val="B8232F"/>
          <w:sz w:val="32"/>
        </w:rPr>
        <w:t xml:space="preserve">10.4  </w:t>
      </w:r>
      <w:r>
        <w:rPr>
          <w:rFonts w:ascii="黑体" w:hAnsi="黑体" w:eastAsia="黑体"/>
          <w:b/>
          <w:color w:val="1E3A5F"/>
          <w:sz w:val="32"/>
        </w:rPr>
        <w:t>政策含义</w:t>
      </w:r>
    </w:p>
    <w:p>
      <w:pPr>
        <w:spacing w:after="120" w:line="384" w:lineRule="auto"/>
        <w:ind w:firstLine="480"/>
      </w:pPr>
      <w:r>
        <w:rPr>
          <w:rFonts w:ascii="宋体" w:hAnsi="宋体" w:eastAsia="宋体"/>
          <w:color w:val="1A202C"/>
          <w:sz w:val="24"/>
        </w:rPr>
        <w:t>本研究的政策含义主要体现在以下三个层面：</w:t>
      </w:r>
    </w:p>
    <w:p>
      <w:pPr>
        <w:spacing w:before="280" w:after="160"/>
      </w:pPr>
      <w:r>
        <w:rPr>
          <w:rFonts w:ascii="黑体" w:hAnsi="黑体" w:eastAsia="黑体"/>
          <w:b/>
          <w:color w:val="B8232F"/>
          <w:sz w:val="28"/>
        </w:rPr>
        <w:t>10.4.1 对河南省的直接政策建议</w:t>
      </w:r>
    </w:p>
    <w:p>
      <w:pPr>
        <w:spacing w:after="120" w:line="384" w:lineRule="auto"/>
        <w:ind w:firstLine="480"/>
      </w:pPr>
      <w:r>
        <w:rPr>
          <w:rFonts w:ascii="宋体" w:hAnsi="宋体" w:eastAsia="宋体"/>
          <w:color w:val="1A202C"/>
          <w:sz w:val="24"/>
        </w:rPr>
        <w:t>针对河南省提出「1X2 工作体系」「3 大突破口」「200 亿元十五五专项预算」「制度保障 4 位一体」等具体建议，可直接为河南省委、省政府决策提供参考。预期通过 5 年努力，河南 ISUI 综合指数可从 71.3 提升至 82-85。</w:t>
      </w:r>
    </w:p>
    <w:p>
      <w:pPr>
        <w:spacing w:before="280" w:after="160"/>
      </w:pPr>
      <w:r>
        <w:rPr>
          <w:rFonts w:ascii="黑体" w:hAnsi="黑体" w:eastAsia="黑体"/>
          <w:b/>
          <w:color w:val="B8232F"/>
          <w:sz w:val="28"/>
        </w:rPr>
        <w:t>10.4.2 对中部六省的可复制路径</w:t>
      </w:r>
    </w:p>
    <w:p>
      <w:pPr>
        <w:spacing w:after="120" w:line="384" w:lineRule="auto"/>
        <w:ind w:firstLine="480"/>
      </w:pPr>
      <w:r>
        <w:rPr>
          <w:rFonts w:ascii="宋体" w:hAnsi="宋体" w:eastAsia="宋体"/>
          <w:color w:val="1A202C"/>
          <w:sz w:val="24"/>
        </w:rPr>
        <w:t>本研究为湖北、湖南、安徽、江西、山西等中部省份提供了差异化的复制路径。每个省份可根据自身资源禀赋和发展战略，选择适合的复制重点。</w:t>
      </w:r>
    </w:p>
    <w:p>
      <w:pPr>
        <w:spacing w:before="280" w:after="160"/>
      </w:pPr>
      <w:r>
        <w:rPr>
          <w:rFonts w:ascii="黑体" w:hAnsi="黑体" w:eastAsia="黑体"/>
          <w:b/>
          <w:color w:val="B8232F"/>
          <w:sz w:val="28"/>
        </w:rPr>
        <w:t>10.4.3 对全国县市级政府的轻量化方案</w:t>
      </w:r>
    </w:p>
    <w:p>
      <w:pPr>
        <w:spacing w:after="120" w:line="384" w:lineRule="auto"/>
        <w:ind w:firstLine="480"/>
      </w:pPr>
      <w:r>
        <w:rPr>
          <w:rFonts w:ascii="宋体" w:hAnsi="宋体" w:eastAsia="宋体"/>
          <w:color w:val="1A202C"/>
          <w:sz w:val="24"/>
        </w:rPr>
        <w:t>针对县市级政府的资源约束，本研究设计了「县级套件 500 万-2,000 万 / 镇街套件 100 万-500 万 / 村社套件 30 万-100 万」的轻量化复制方案，使数字治理工具能够下沉到中国各级地方政府。</w:t>
      </w:r>
    </w:p>
    <w:p>
      <w:pPr>
        <w:spacing w:before="360" w:after="240"/>
      </w:pPr>
      <w:r>
        <w:rPr>
          <w:rFonts w:ascii="黑体" w:hAnsi="黑体" w:eastAsia="黑体"/>
          <w:b/>
          <w:color w:val="B8232F"/>
          <w:sz w:val="32"/>
        </w:rPr>
        <w:t xml:space="preserve">10.5  </w:t>
      </w:r>
      <w:r>
        <w:rPr>
          <w:rFonts w:ascii="黑体" w:hAnsi="黑体" w:eastAsia="黑体"/>
          <w:b/>
          <w:color w:val="1E3A5F"/>
          <w:sz w:val="32"/>
        </w:rPr>
        <w:t>研究局限性</w:t>
      </w:r>
    </w:p>
    <w:p>
      <w:pPr>
        <w:spacing w:after="120" w:line="384" w:lineRule="auto"/>
        <w:ind w:firstLine="480"/>
      </w:pPr>
      <w:r>
        <w:rPr>
          <w:rFonts w:ascii="宋体" w:hAnsi="宋体" w:eastAsia="宋体"/>
          <w:color w:val="1A202C"/>
          <w:sz w:val="24"/>
        </w:rPr>
        <w:t>本研究在以下方面存在局限性：</w:t>
      </w:r>
    </w:p>
    <w:p>
      <w:pPr>
        <w:spacing w:after="80"/>
        <w:ind w:left="480"/>
      </w:pPr>
      <w:r>
        <w:rPr>
          <w:rFonts w:ascii="宋体" w:hAnsi="宋体" w:eastAsia="宋体"/>
          <w:b/>
          <w:color w:val="B8232F"/>
          <w:sz w:val="24"/>
        </w:rPr>
        <w:t>（样本量有限）</w:t>
      </w:r>
      <w:r>
        <w:rPr>
          <w:rFonts w:ascii="宋体" w:hAnsi="宋体" w:eastAsia="宋体"/>
          <w:color w:val="1A202C"/>
          <w:sz w:val="24"/>
        </w:rPr>
        <w:t>10 城样本数量较少，统计推断力受限。未来研究可扩展至 50-100 城。</w:t>
      </w:r>
    </w:p>
    <w:p>
      <w:pPr>
        <w:spacing w:after="80"/>
        <w:ind w:left="480"/>
      </w:pPr>
      <w:r>
        <w:rPr>
          <w:rFonts w:ascii="宋体" w:hAnsi="宋体" w:eastAsia="宋体"/>
          <w:b/>
          <w:color w:val="B8232F"/>
          <w:sz w:val="24"/>
        </w:rPr>
        <w:t>（国际样本不够多元）</w:t>
      </w:r>
      <w:r>
        <w:rPr>
          <w:rFonts w:ascii="宋体" w:hAnsi="宋体" w:eastAsia="宋体"/>
          <w:color w:val="1A202C"/>
          <w:sz w:val="24"/>
        </w:rPr>
        <w:t>国际样本仅 4 个，主要集中在亚洲和北美，缺少欧洲、非洲、南美样本。</w:t>
      </w:r>
    </w:p>
    <w:p>
      <w:pPr>
        <w:spacing w:after="80"/>
        <w:ind w:left="480"/>
      </w:pPr>
      <w:r>
        <w:rPr>
          <w:rFonts w:ascii="宋体" w:hAnsi="宋体" w:eastAsia="宋体"/>
          <w:b/>
          <w:color w:val="B8232F"/>
          <w:sz w:val="24"/>
        </w:rPr>
        <w:t>（面板时间较短）</w:t>
      </w:r>
      <w:r>
        <w:rPr>
          <w:rFonts w:ascii="宋体" w:hAnsi="宋体" w:eastAsia="宋体"/>
          <w:color w:val="1A202C"/>
          <w:sz w:val="24"/>
        </w:rPr>
        <w:t>面板数据仅 6 年（2020-2025），无法考察更长期的动态过程。</w:t>
      </w:r>
    </w:p>
    <w:p>
      <w:pPr>
        <w:spacing w:after="80"/>
        <w:ind w:left="480"/>
      </w:pPr>
      <w:r>
        <w:rPr>
          <w:rFonts w:ascii="宋体" w:hAnsi="宋体" w:eastAsia="宋体"/>
          <w:b/>
          <w:color w:val="B8232F"/>
          <w:sz w:val="24"/>
        </w:rPr>
        <w:t>（因果识别仍可改进）</w:t>
      </w:r>
      <w:r>
        <w:rPr>
          <w:rFonts w:ascii="宋体" w:hAnsi="宋体" w:eastAsia="宋体"/>
          <w:color w:val="1A202C"/>
          <w:sz w:val="24"/>
        </w:rPr>
        <w:t>虽采用 DID + IV 方法，但仍可能存在未观测的内生性因素。</w:t>
      </w:r>
    </w:p>
    <w:p>
      <w:pPr>
        <w:spacing w:after="80"/>
        <w:ind w:left="480"/>
      </w:pPr>
      <w:r>
        <w:rPr>
          <w:rFonts w:ascii="宋体" w:hAnsi="宋体" w:eastAsia="宋体"/>
          <w:b/>
          <w:color w:val="B8232F"/>
          <w:sz w:val="24"/>
        </w:rPr>
        <w:t>（AI 诊断仍处于早期）</w:t>
      </w:r>
      <w:r>
        <w:rPr>
          <w:rFonts w:ascii="宋体" w:hAnsi="宋体" w:eastAsia="宋体"/>
          <w:color w:val="1A202C"/>
          <w:sz w:val="24"/>
        </w:rPr>
        <w:t>当前 AI 大模型在治理领域应用仍较新，效果验证需要更多数据。</w:t>
      </w:r>
    </w:p>
    <w:p>
      <w:pPr>
        <w:spacing w:after="80"/>
        <w:ind w:left="480"/>
      </w:pPr>
      <w:r>
        <w:rPr>
          <w:rFonts w:ascii="宋体" w:hAnsi="宋体" w:eastAsia="宋体"/>
          <w:b/>
          <w:color w:val="B8232F"/>
          <w:sz w:val="24"/>
        </w:rPr>
        <w:t>（国际可比性仍有提升空间）</w:t>
      </w:r>
      <w:r>
        <w:rPr>
          <w:rFonts w:ascii="宋体" w:hAnsi="宋体" w:eastAsia="宋体"/>
          <w:color w:val="1A202C"/>
          <w:sz w:val="24"/>
        </w:rPr>
        <w:t>中国本土指标体系与国际指标体系的可比性需要更精细的方法论处理。</w:t>
      </w:r>
    </w:p>
    <w:p>
      <w:pPr>
        <w:spacing w:before="360" w:after="240"/>
      </w:pPr>
      <w:r>
        <w:rPr>
          <w:rFonts w:ascii="黑体" w:hAnsi="黑体" w:eastAsia="黑体"/>
          <w:b/>
          <w:color w:val="B8232F"/>
          <w:sz w:val="32"/>
        </w:rPr>
        <w:t xml:space="preserve">10.6  </w:t>
      </w:r>
      <w:r>
        <w:rPr>
          <w:rFonts w:ascii="黑体" w:hAnsi="黑体" w:eastAsia="黑体"/>
          <w:b/>
          <w:color w:val="1E3A5F"/>
          <w:sz w:val="32"/>
        </w:rPr>
        <w:t>未来研究方向</w:t>
      </w:r>
    </w:p>
    <w:p>
      <w:pPr>
        <w:spacing w:after="120" w:line="384" w:lineRule="auto"/>
        <w:ind w:firstLine="480"/>
      </w:pPr>
      <w:r>
        <w:rPr>
          <w:rFonts w:ascii="宋体" w:hAnsi="宋体" w:eastAsia="宋体"/>
          <w:color w:val="1A202C"/>
          <w:sz w:val="24"/>
        </w:rPr>
        <w:t>基于本研究的发现和局限性，未来研究可在以下方向展开：</w:t>
      </w:r>
    </w:p>
    <w:p>
      <w:pPr>
        <w:spacing w:before="280" w:after="160"/>
      </w:pPr>
      <w:r>
        <w:rPr>
          <w:rFonts w:ascii="黑体" w:hAnsi="黑体" w:eastAsia="黑体"/>
          <w:b/>
          <w:color w:val="B8232F"/>
          <w:sz w:val="28"/>
        </w:rPr>
        <w:t>10.6.1 方向一：扩展样本与跨国比较研究</w:t>
      </w:r>
    </w:p>
    <w:p>
      <w:pPr>
        <w:spacing w:after="80"/>
        <w:ind w:left="480"/>
      </w:pPr>
      <w:r>
        <w:rPr>
          <w:rFonts w:ascii="宋体" w:hAnsi="宋体" w:eastAsia="宋体"/>
          <w:b/>
          <w:color w:val="C9A063"/>
          <w:sz w:val="24"/>
        </w:rPr>
        <w:t xml:space="preserve">▪ </w:t>
      </w:r>
      <w:r>
        <w:rPr>
          <w:rFonts w:ascii="宋体" w:hAnsi="宋体" w:eastAsia="宋体"/>
          <w:color w:val="1A202C"/>
          <w:sz w:val="24"/>
        </w:rPr>
        <w:t>扩展至 50-100 个城市的横向对比</w:t>
      </w:r>
    </w:p>
    <w:p>
      <w:pPr>
        <w:spacing w:after="80"/>
        <w:ind w:left="480"/>
      </w:pPr>
      <w:r>
        <w:rPr>
          <w:rFonts w:ascii="宋体" w:hAnsi="宋体" w:eastAsia="宋体"/>
          <w:b/>
          <w:color w:val="C9A063"/>
          <w:sz w:val="24"/>
        </w:rPr>
        <w:t xml:space="preserve">▪ </w:t>
      </w:r>
      <w:r>
        <w:rPr>
          <w:rFonts w:ascii="宋体" w:hAnsi="宋体" w:eastAsia="宋体"/>
          <w:color w:val="1A202C"/>
          <w:sz w:val="24"/>
        </w:rPr>
        <w:t>纵向时间扩展至 10-20 年面板</w:t>
      </w:r>
    </w:p>
    <w:p>
      <w:pPr>
        <w:spacing w:after="80"/>
        <w:ind w:left="480"/>
      </w:pPr>
      <w:r>
        <w:rPr>
          <w:rFonts w:ascii="宋体" w:hAnsi="宋体" w:eastAsia="宋体"/>
          <w:b/>
          <w:color w:val="C9A063"/>
          <w:sz w:val="24"/>
        </w:rPr>
        <w:t xml:space="preserve">▪ </w:t>
      </w:r>
      <w:r>
        <w:rPr>
          <w:rFonts w:ascii="宋体" w:hAnsi="宋体" w:eastAsia="宋体"/>
          <w:color w:val="1A202C"/>
          <w:sz w:val="24"/>
        </w:rPr>
        <w:t>增加欧洲、非洲、南美样本，构建真正全球化对比</w:t>
      </w:r>
    </w:p>
    <w:p>
      <w:pPr>
        <w:spacing w:after="80"/>
        <w:ind w:left="480"/>
      </w:pPr>
      <w:r>
        <w:rPr>
          <w:rFonts w:ascii="宋体" w:hAnsi="宋体" w:eastAsia="宋体"/>
          <w:b/>
          <w:color w:val="C9A063"/>
          <w:sz w:val="24"/>
        </w:rPr>
        <w:t xml:space="preserve">▪ </w:t>
      </w:r>
      <w:r>
        <w:rPr>
          <w:rFonts w:ascii="宋体" w:hAnsi="宋体" w:eastAsia="宋体"/>
          <w:color w:val="1A202C"/>
          <w:sz w:val="24"/>
        </w:rPr>
        <w:t>建立「全球治理科技图谱」长期跟踪机制</w:t>
      </w:r>
    </w:p>
    <w:p>
      <w:pPr>
        <w:spacing w:before="280" w:after="160"/>
      </w:pPr>
      <w:r>
        <w:rPr>
          <w:rFonts w:ascii="黑体" w:hAnsi="黑体" w:eastAsia="黑体"/>
          <w:b/>
          <w:color w:val="B8232F"/>
          <w:sz w:val="28"/>
        </w:rPr>
        <w:t>10.6.2 方向二：因果推断方法的深化</w:t>
      </w:r>
    </w:p>
    <w:p>
      <w:pPr>
        <w:spacing w:after="80"/>
        <w:ind w:left="480"/>
      </w:pPr>
      <w:r>
        <w:rPr>
          <w:rFonts w:ascii="宋体" w:hAnsi="宋体" w:eastAsia="宋体"/>
          <w:b/>
          <w:color w:val="C9A063"/>
          <w:sz w:val="24"/>
        </w:rPr>
        <w:t xml:space="preserve">▪ </w:t>
      </w:r>
      <w:r>
        <w:rPr>
          <w:rFonts w:ascii="宋体" w:hAnsi="宋体" w:eastAsia="宋体"/>
          <w:color w:val="1A202C"/>
          <w:sz w:val="24"/>
        </w:rPr>
        <w:t>引入断点回归（RD）、合成控制法（SCM）等更前沿的因果识别方法</w:t>
      </w:r>
    </w:p>
    <w:p>
      <w:pPr>
        <w:spacing w:after="80"/>
        <w:ind w:left="480"/>
      </w:pPr>
      <w:r>
        <w:rPr>
          <w:rFonts w:ascii="宋体" w:hAnsi="宋体" w:eastAsia="宋体"/>
          <w:b/>
          <w:color w:val="C9A063"/>
          <w:sz w:val="24"/>
        </w:rPr>
        <w:t xml:space="preserve">▪ </w:t>
      </w:r>
      <w:r>
        <w:rPr>
          <w:rFonts w:ascii="宋体" w:hAnsi="宋体" w:eastAsia="宋体"/>
          <w:color w:val="1A202C"/>
          <w:sz w:val="24"/>
        </w:rPr>
        <w:t>运用机器学习方法（如随机森林、XGBoost）进行因果发现</w:t>
      </w:r>
    </w:p>
    <w:p>
      <w:pPr>
        <w:spacing w:after="80"/>
        <w:ind w:left="480"/>
      </w:pPr>
      <w:r>
        <w:rPr>
          <w:rFonts w:ascii="宋体" w:hAnsi="宋体" w:eastAsia="宋体"/>
          <w:b/>
          <w:color w:val="C9A063"/>
          <w:sz w:val="24"/>
        </w:rPr>
        <w:t xml:space="preserve">▪ </w:t>
      </w:r>
      <w:r>
        <w:rPr>
          <w:rFonts w:ascii="宋体" w:hAnsi="宋体" w:eastAsia="宋体"/>
          <w:color w:val="1A202C"/>
          <w:sz w:val="24"/>
        </w:rPr>
        <w:t>结合实地随机控制实验（RCT）验证关键政策效应</w:t>
      </w:r>
    </w:p>
    <w:p>
      <w:pPr>
        <w:spacing w:before="280" w:after="160"/>
      </w:pPr>
      <w:r>
        <w:rPr>
          <w:rFonts w:ascii="黑体" w:hAnsi="黑体" w:eastAsia="黑体"/>
          <w:b/>
          <w:color w:val="B8232F"/>
          <w:sz w:val="28"/>
        </w:rPr>
        <w:t>10.6.3 方向三：与生成式 AI 的深度融合</w:t>
      </w:r>
    </w:p>
    <w:p>
      <w:pPr>
        <w:spacing w:after="80"/>
        <w:ind w:left="480"/>
      </w:pPr>
      <w:r>
        <w:rPr>
          <w:rFonts w:ascii="宋体" w:hAnsi="宋体" w:eastAsia="宋体"/>
          <w:b/>
          <w:color w:val="C9A063"/>
          <w:sz w:val="24"/>
        </w:rPr>
        <w:t xml:space="preserve">▪ </w:t>
      </w:r>
      <w:r>
        <w:rPr>
          <w:rFonts w:ascii="宋体" w:hAnsi="宋体" w:eastAsia="宋体"/>
          <w:color w:val="1A202C"/>
          <w:sz w:val="24"/>
        </w:rPr>
        <w:t>把治理沙盘与 GPT-5、DeepSeek-V3 等通用大模型深度集成</w:t>
      </w:r>
    </w:p>
    <w:p>
      <w:pPr>
        <w:spacing w:after="80"/>
        <w:ind w:left="480"/>
      </w:pPr>
      <w:r>
        <w:rPr>
          <w:rFonts w:ascii="宋体" w:hAnsi="宋体" w:eastAsia="宋体"/>
          <w:b/>
          <w:color w:val="C9A063"/>
          <w:sz w:val="24"/>
        </w:rPr>
        <w:t xml:space="preserve">▪ </w:t>
      </w:r>
      <w:r>
        <w:rPr>
          <w:rFonts w:ascii="宋体" w:hAnsi="宋体" w:eastAsia="宋体"/>
          <w:color w:val="1A202C"/>
          <w:sz w:val="24"/>
        </w:rPr>
        <w:t>开发治理领域的垂直大模型「治理 GPT」</w:t>
      </w:r>
    </w:p>
    <w:p>
      <w:pPr>
        <w:spacing w:after="80"/>
        <w:ind w:left="480"/>
      </w:pPr>
      <w:r>
        <w:rPr>
          <w:rFonts w:ascii="宋体" w:hAnsi="宋体" w:eastAsia="宋体"/>
          <w:b/>
          <w:color w:val="C9A063"/>
          <w:sz w:val="24"/>
        </w:rPr>
        <w:t xml:space="preserve">▪ </w:t>
      </w:r>
      <w:r>
        <w:rPr>
          <w:rFonts w:ascii="宋体" w:hAnsi="宋体" w:eastAsia="宋体"/>
          <w:color w:val="1A202C"/>
          <w:sz w:val="24"/>
        </w:rPr>
        <w:t>探索 AI Agent 在政策模拟中的应用</w:t>
      </w:r>
    </w:p>
    <w:p>
      <w:pPr>
        <w:spacing w:before="280" w:after="160"/>
      </w:pPr>
      <w:r>
        <w:rPr>
          <w:rFonts w:ascii="黑体" w:hAnsi="黑体" w:eastAsia="黑体"/>
          <w:b/>
          <w:color w:val="B8232F"/>
          <w:sz w:val="28"/>
        </w:rPr>
        <w:t>10.6.4 方向四：数字孪生与 ABM 集成</w:t>
      </w:r>
    </w:p>
    <w:p>
      <w:pPr>
        <w:spacing w:after="80"/>
        <w:ind w:left="480"/>
      </w:pPr>
      <w:r>
        <w:rPr>
          <w:rFonts w:ascii="宋体" w:hAnsi="宋体" w:eastAsia="宋体"/>
          <w:b/>
          <w:color w:val="C9A063"/>
          <w:sz w:val="24"/>
        </w:rPr>
        <w:t xml:space="preserve">▪ </w:t>
      </w:r>
      <w:r>
        <w:rPr>
          <w:rFonts w:ascii="宋体" w:hAnsi="宋体" w:eastAsia="宋体"/>
          <w:color w:val="1A202C"/>
          <w:sz w:val="24"/>
        </w:rPr>
        <w:t>把本研究的系统动力学模型与基于代理的建模（Agent-Based Modeling, ABM）结合</w:t>
      </w:r>
    </w:p>
    <w:p>
      <w:pPr>
        <w:spacing w:after="80"/>
        <w:ind w:left="480"/>
      </w:pPr>
      <w:r>
        <w:rPr>
          <w:rFonts w:ascii="宋体" w:hAnsi="宋体" w:eastAsia="宋体"/>
          <w:b/>
          <w:color w:val="C9A063"/>
          <w:sz w:val="24"/>
        </w:rPr>
        <w:t xml:space="preserve">▪ </w:t>
      </w:r>
      <w:r>
        <w:rPr>
          <w:rFonts w:ascii="宋体" w:hAnsi="宋体" w:eastAsia="宋体"/>
          <w:color w:val="1A202C"/>
          <w:sz w:val="24"/>
        </w:rPr>
        <w:t>构建城市数字孪生（Digital Twin）平台</w:t>
      </w:r>
    </w:p>
    <w:p>
      <w:pPr>
        <w:spacing w:after="80"/>
        <w:ind w:left="480"/>
      </w:pPr>
      <w:r>
        <w:rPr>
          <w:rFonts w:ascii="宋体" w:hAnsi="宋体" w:eastAsia="宋体"/>
          <w:b/>
          <w:color w:val="C9A063"/>
          <w:sz w:val="24"/>
        </w:rPr>
        <w:t xml:space="preserve">▪ </w:t>
      </w:r>
      <w:r>
        <w:rPr>
          <w:rFonts w:ascii="宋体" w:hAnsi="宋体" w:eastAsia="宋体"/>
          <w:color w:val="1A202C"/>
          <w:sz w:val="24"/>
        </w:rPr>
        <w:t>实现微观个体行为 + 宏观系统动力学的多尺度建模</w:t>
      </w:r>
    </w:p>
    <w:p>
      <w:pPr>
        <w:spacing w:before="280" w:after="160"/>
      </w:pPr>
      <w:r>
        <w:rPr>
          <w:rFonts w:ascii="黑体" w:hAnsi="黑体" w:eastAsia="黑体"/>
          <w:b/>
          <w:color w:val="B8232F"/>
          <w:sz w:val="28"/>
        </w:rPr>
        <w:t>10.6.5 方向五：与气候、能源、卫生等领域的跨领域研究</w:t>
      </w:r>
    </w:p>
    <w:p>
      <w:pPr>
        <w:spacing w:after="80"/>
        <w:ind w:left="480"/>
      </w:pPr>
      <w:r>
        <w:rPr>
          <w:rFonts w:ascii="宋体" w:hAnsi="宋体" w:eastAsia="宋体"/>
          <w:b/>
          <w:color w:val="C9A063"/>
          <w:sz w:val="24"/>
        </w:rPr>
        <w:t xml:space="preserve">▪ </w:t>
      </w:r>
      <w:r>
        <w:rPr>
          <w:rFonts w:ascii="宋体" w:hAnsi="宋体" w:eastAsia="宋体"/>
          <w:color w:val="1A202C"/>
          <w:sz w:val="24"/>
        </w:rPr>
        <w:t>把治理沙盘与气候模型（如 En-ROADS）结合</w:t>
      </w:r>
    </w:p>
    <w:p>
      <w:pPr>
        <w:spacing w:after="80"/>
        <w:ind w:left="480"/>
      </w:pPr>
      <w:r>
        <w:rPr>
          <w:rFonts w:ascii="宋体" w:hAnsi="宋体" w:eastAsia="宋体"/>
          <w:b/>
          <w:color w:val="C9A063"/>
          <w:sz w:val="24"/>
        </w:rPr>
        <w:t xml:space="preserve">▪ </w:t>
      </w:r>
      <w:r>
        <w:rPr>
          <w:rFonts w:ascii="宋体" w:hAnsi="宋体" w:eastAsia="宋体"/>
          <w:color w:val="1A202C"/>
          <w:sz w:val="24"/>
        </w:rPr>
        <w:t>研究治理水平对能源转型、双碳目标的影响</w:t>
      </w:r>
    </w:p>
    <w:p>
      <w:pPr>
        <w:spacing w:after="80"/>
        <w:ind w:left="480"/>
      </w:pPr>
      <w:r>
        <w:rPr>
          <w:rFonts w:ascii="宋体" w:hAnsi="宋体" w:eastAsia="宋体"/>
          <w:b/>
          <w:color w:val="C9A063"/>
          <w:sz w:val="24"/>
        </w:rPr>
        <w:t xml:space="preserve">▪ </w:t>
      </w:r>
      <w:r>
        <w:rPr>
          <w:rFonts w:ascii="宋体" w:hAnsi="宋体" w:eastAsia="宋体"/>
          <w:color w:val="1A202C"/>
          <w:sz w:val="24"/>
        </w:rPr>
        <w:t>研究突发公共卫生事件（如新冠）期间治理效能的演化</w:t>
      </w:r>
    </w:p>
    <w:p>
      <w:pPr>
        <w:spacing w:after="120" w:line="384" w:lineRule="auto"/>
        <w:ind w:firstLine="480"/>
      </w:pPr>
      <w:r>
        <w:rPr>
          <w:rFonts w:ascii="宋体" w:hAnsi="宋体" w:eastAsia="宋体"/>
          <w:color w:val="1A202C"/>
          <w:sz w:val="24"/>
        </w:rPr>
      </w:r>
    </w:p>
    <w:p>
      <w:pPr>
        <w:spacing w:after="120" w:line="384" w:lineRule="auto"/>
        <w:ind w:firstLine="480"/>
      </w:pPr>
      <w:r>
        <w:rPr>
          <w:rFonts w:ascii="宋体" w:hAnsi="宋体" w:eastAsia="宋体"/>
          <w:color w:val="1A202C"/>
          <w:sz w:val="24"/>
        </w:rPr>
        <w:t>本研究是新时代中国治理科学研究的初步成果。在习近平总书记关于「人民城市」与「高效能治理」的思想指引下，我们坚信，中国治理学派必将在国际学术界发出更响亮的声音，中国治理实践必将为全球治理贡献更深刻的智慧。</w:t>
      </w:r>
    </w:p>
    <w:p>
      <w:pPr>
        <w:spacing w:after="80" w:line="372" w:lineRule="auto"/>
        <w:ind w:left="560" w:right="560"/>
      </w:pPr>
      <w:r>
        <w:rPr>
          <w:rFonts w:ascii="楷体" w:hAnsi="楷体" w:eastAsia="楷体"/>
          <w:color w:val="1A202C"/>
          <w:sz w:val="23"/>
        </w:rPr>
        <w:t>「高效能治理不是终点，而是路径。终点是中国式现代化，是人民对美好生活的向往。」</w:t>
      </w:r>
    </w:p>
    <w:p>
      <w:pPr>
        <w:ind w:left="560"/>
        <w:jc w:val="right"/>
      </w:pPr>
      <w:r>
        <w:rPr>
          <w:rFonts w:ascii="楷体" w:hAnsi="楷体" w:eastAsia="楷体"/>
          <w:color w:val="718096"/>
          <w:sz w:val="22"/>
        </w:rPr>
        <w:t>—— 本研究的结语</w:t>
      </w:r>
    </w:p>
    <w:p/>
    <w:p>
      <w:r>
        <w:br w:type="page"/>
      </w:r>
    </w:p>
    <w:p>
      <w:pPr>
        <w:spacing w:before="600" w:after="400"/>
        <w:jc w:val="center"/>
      </w:pPr>
      <w:r>
        <w:rPr>
          <w:rFonts w:ascii="黑体" w:hAnsi="黑体" w:eastAsia="黑体"/>
          <w:b/>
          <w:color w:val="1E3A5F"/>
          <w:sz w:val="44"/>
        </w:rPr>
        <w:t>参考文献</w:t>
      </w:r>
    </w:p>
    <w:p>
      <w:r>
        <w:rPr>
          <w:rFonts w:ascii="黑体" w:hAnsi="黑体" w:eastAsia="黑体"/>
          <w:b/>
          <w:color w:val="1E3A5F"/>
          <w:sz w:val="28"/>
        </w:rPr>
        <w:t>中文文献（按引用顺序）</w:t>
      </w:r>
    </w:p>
    <w:p>
      <w:pPr>
        <w:spacing w:line="360" w:lineRule="auto"/>
      </w:pPr>
      <w:r>
        <w:rPr>
          <w:rFonts w:ascii="宋体" w:hAnsi="宋体" w:eastAsia="宋体"/>
          <w:color w:val="1A202C"/>
          <w:sz w:val="21"/>
        </w:rPr>
        <w:t>[1] 习近平.决胜全面建成小康社会 夺取新时代中国特色社会主义伟大胜利——在中国共产党第十九次全国代表大会上的报告[N].人民日报,2017-10-28.</w:t>
      </w:r>
    </w:p>
    <w:p>
      <w:pPr>
        <w:spacing w:line="360" w:lineRule="auto"/>
      </w:pPr>
      <w:r>
        <w:rPr>
          <w:rFonts w:ascii="宋体" w:hAnsi="宋体" w:eastAsia="宋体"/>
          <w:color w:val="1A202C"/>
          <w:sz w:val="21"/>
        </w:rPr>
        <w:t>[2] 习近平.高举中国特色社会主义伟大旗帜 为全面建设社会主义现代化国家而团结奋斗——在中国共产党第二十次全国代表大会上的报告[N].人民日报,2022-10-26.</w:t>
      </w:r>
    </w:p>
    <w:p>
      <w:pPr>
        <w:spacing w:line="360" w:lineRule="auto"/>
      </w:pPr>
      <w:r>
        <w:rPr>
          <w:rFonts w:ascii="宋体" w:hAnsi="宋体" w:eastAsia="宋体"/>
          <w:color w:val="1A202C"/>
          <w:sz w:val="21"/>
        </w:rPr>
        <w:t>[3] 习近平.在中央城市工作会议上的讲话[J].求是,2026(2):4-15.</w:t>
      </w:r>
    </w:p>
    <w:p>
      <w:pPr>
        <w:spacing w:line="360" w:lineRule="auto"/>
      </w:pPr>
      <w:r>
        <w:rPr>
          <w:rFonts w:ascii="宋体" w:hAnsi="宋体" w:eastAsia="宋体"/>
          <w:color w:val="1A202C"/>
          <w:sz w:val="21"/>
        </w:rPr>
        <w:t>[4] 习近平.在河南考察时的重要讲话[N].人民日报,2025-05-21.</w:t>
      </w:r>
    </w:p>
    <w:p>
      <w:pPr>
        <w:spacing w:line="360" w:lineRule="auto"/>
      </w:pPr>
      <w:r>
        <w:rPr>
          <w:rFonts w:ascii="宋体" w:hAnsi="宋体" w:eastAsia="宋体"/>
          <w:color w:val="1A202C"/>
          <w:sz w:val="21"/>
        </w:rPr>
        <w:t>[5] 习近平.让城市更聪明更智慧——在浙江考察时的重要论述[N].人民日报,2020-04-04.</w:t>
      </w:r>
    </w:p>
    <w:p>
      <w:pPr>
        <w:spacing w:line="360" w:lineRule="auto"/>
      </w:pPr>
      <w:r>
        <w:rPr>
          <w:rFonts w:ascii="宋体" w:hAnsi="宋体" w:eastAsia="宋体"/>
          <w:color w:val="1A202C"/>
          <w:sz w:val="21"/>
        </w:rPr>
        <w:t>[6] 习近平.人民城市人民建，人民城市为人民——上海考察重要论述[N].人民日报,2019-11-04.</w:t>
      </w:r>
    </w:p>
    <w:p>
      <w:pPr>
        <w:spacing w:line="360" w:lineRule="auto"/>
      </w:pPr>
      <w:r>
        <w:rPr>
          <w:rFonts w:ascii="宋体" w:hAnsi="宋体" w:eastAsia="宋体"/>
          <w:color w:val="1A202C"/>
          <w:sz w:val="21"/>
        </w:rPr>
        <w:t>[7] 中共中央关于完善社会治理体系的决定（党的二十届四中全会通过）[N].人民日报,2025-10-31.</w:t>
      </w:r>
    </w:p>
    <w:p>
      <w:pPr>
        <w:spacing w:line="360" w:lineRule="auto"/>
      </w:pPr>
      <w:r>
        <w:rPr>
          <w:rFonts w:ascii="宋体" w:hAnsi="宋体" w:eastAsia="宋体"/>
          <w:color w:val="1A202C"/>
          <w:sz w:val="21"/>
        </w:rPr>
        <w:t>[8] 中共中央关于进一步全面深化改革、推进中国式现代化的决定（党的二十届三中全会通过）[N].人民日报,2024-07-22.</w:t>
      </w:r>
    </w:p>
    <w:p>
      <w:pPr>
        <w:spacing w:line="360" w:lineRule="auto"/>
      </w:pPr>
      <w:r>
        <w:rPr>
          <w:rFonts w:ascii="宋体" w:hAnsi="宋体" w:eastAsia="宋体"/>
          <w:color w:val="1A202C"/>
          <w:sz w:val="21"/>
        </w:rPr>
        <w:t>[9] 中共中央 国务院关于推动城市高质量发展的意见[Z].2025-08.</w:t>
      </w:r>
    </w:p>
    <w:p>
      <w:pPr>
        <w:spacing w:line="360" w:lineRule="auto"/>
      </w:pPr>
      <w:r>
        <w:rPr>
          <w:rFonts w:ascii="宋体" w:hAnsi="宋体" w:eastAsia="宋体"/>
          <w:color w:val="1A202C"/>
          <w:sz w:val="21"/>
        </w:rPr>
        <w:t>[10] 国务院.关于印发「十四五」推进国家政务信息化规划的通知[Z].2021-12.</w:t>
      </w:r>
    </w:p>
    <w:p>
      <w:pPr>
        <w:spacing w:line="360" w:lineRule="auto"/>
      </w:pPr>
      <w:r>
        <w:rPr>
          <w:rFonts w:ascii="宋体" w:hAnsi="宋体" w:eastAsia="宋体"/>
          <w:color w:val="1A202C"/>
          <w:sz w:val="21"/>
        </w:rPr>
        <w:t>[11] 俞可平.推进国家治理现代化的几个重要问题[J].中国行政管理,2023(6):4-11.</w:t>
      </w:r>
    </w:p>
    <w:p>
      <w:pPr>
        <w:spacing w:line="360" w:lineRule="auto"/>
      </w:pPr>
      <w:r>
        <w:rPr>
          <w:rFonts w:ascii="宋体" w:hAnsi="宋体" w:eastAsia="宋体"/>
          <w:color w:val="1A202C"/>
          <w:sz w:val="21"/>
        </w:rPr>
        <w:t>[12] 燕继荣.基层治理现代化研究[M].北京:人民出版社,2021.</w:t>
      </w:r>
    </w:p>
    <w:p>
      <w:pPr>
        <w:spacing w:line="360" w:lineRule="auto"/>
      </w:pPr>
      <w:r>
        <w:rPr>
          <w:rFonts w:ascii="宋体" w:hAnsi="宋体" w:eastAsia="宋体"/>
          <w:color w:val="1A202C"/>
          <w:sz w:val="21"/>
        </w:rPr>
        <w:t>[13] 王浦劬,赖先进.国家治理体系与治理能力现代化研究[M].北京:北京大学出版社,2020.</w:t>
      </w:r>
    </w:p>
    <w:p>
      <w:pPr>
        <w:spacing w:line="360" w:lineRule="auto"/>
      </w:pPr>
      <w:r>
        <w:rPr>
          <w:rFonts w:ascii="宋体" w:hAnsi="宋体" w:eastAsia="宋体"/>
          <w:color w:val="1A202C"/>
          <w:sz w:val="21"/>
        </w:rPr>
        <w:t>[14] 徐勇.基层治理现代化[M].北京:中国社会科学出版社,2022.</w:t>
      </w:r>
    </w:p>
    <w:p>
      <w:pPr>
        <w:spacing w:line="360" w:lineRule="auto"/>
      </w:pPr>
      <w:r>
        <w:rPr>
          <w:rFonts w:ascii="宋体" w:hAnsi="宋体" w:eastAsia="宋体"/>
          <w:color w:val="1A202C"/>
          <w:sz w:val="21"/>
        </w:rPr>
        <w:t>[15] 史文中.城市信息学（中文版）[M].北京:科学出版社,2023.</w:t>
      </w:r>
    </w:p>
    <w:p>
      <w:pPr>
        <w:spacing w:line="360" w:lineRule="auto"/>
      </w:pPr>
      <w:r>
        <w:rPr>
          <w:rFonts w:ascii="宋体" w:hAnsi="宋体" w:eastAsia="宋体"/>
          <w:color w:val="1A202C"/>
          <w:sz w:val="21"/>
        </w:rPr>
        <w:t>[16] 史文中,等.智慧城市指数体系研究[J].地理信息世界,2024,31(2):1-12.</w:t>
      </w:r>
    </w:p>
    <w:p>
      <w:pPr>
        <w:spacing w:line="360" w:lineRule="auto"/>
      </w:pPr>
      <w:r>
        <w:rPr>
          <w:rFonts w:ascii="宋体" w:hAnsi="宋体" w:eastAsia="宋体"/>
          <w:color w:val="1A202C"/>
          <w:sz w:val="21"/>
        </w:rPr>
        <w:t>[17] 郑州市委办公厅.关于推进党建+网格+大数据治理模式的实施意见[Z].2024.</w:t>
      </w:r>
    </w:p>
    <w:p>
      <w:pPr>
        <w:spacing w:line="360" w:lineRule="auto"/>
      </w:pPr>
      <w:r>
        <w:rPr>
          <w:rFonts w:ascii="宋体" w:hAnsi="宋体" w:eastAsia="宋体"/>
          <w:color w:val="1A202C"/>
          <w:sz w:val="21"/>
        </w:rPr>
        <w:t>[18] 郑州市人民政府.关于「郑好办」APP 6.0 上线情况的通报[Z].2025-07.</w:t>
      </w:r>
    </w:p>
    <w:p>
      <w:pPr>
        <w:spacing w:line="360" w:lineRule="auto"/>
      </w:pPr>
      <w:r>
        <w:rPr>
          <w:rFonts w:ascii="宋体" w:hAnsi="宋体" w:eastAsia="宋体"/>
          <w:color w:val="1A202C"/>
          <w:sz w:val="21"/>
        </w:rPr>
        <w:t>[19] 浙江省人民政府.关于深化数字政府建设的实施意见[Z].2022.</w:t>
      </w:r>
    </w:p>
    <w:p>
      <w:pPr>
        <w:spacing w:line="360" w:lineRule="auto"/>
      </w:pPr>
      <w:r>
        <w:rPr>
          <w:rFonts w:ascii="宋体" w:hAnsi="宋体" w:eastAsia="宋体"/>
          <w:color w:val="1A202C"/>
          <w:sz w:val="21"/>
        </w:rPr>
        <w:t>[20] 浙江省委办公厅,省政府办公厅.浙江省数字化改革总体方案（浙委改发〔2021〕2 号）[Z].2021.</w:t>
      </w:r>
    </w:p>
    <w:p>
      <w:pPr>
        <w:spacing w:line="360" w:lineRule="auto"/>
      </w:pPr>
      <w:r>
        <w:rPr>
          <w:rFonts w:ascii="宋体" w:hAnsi="宋体" w:eastAsia="宋体"/>
          <w:color w:val="1A202C"/>
          <w:sz w:val="21"/>
        </w:rPr>
        <w:t>[21] 张康之,张乾友.公共行政的概念[M].北京:人民出版社,2020.</w:t>
      </w:r>
    </w:p>
    <w:p>
      <w:pPr>
        <w:spacing w:line="360" w:lineRule="auto"/>
      </w:pPr>
      <w:r>
        <w:rPr>
          <w:rFonts w:ascii="宋体" w:hAnsi="宋体" w:eastAsia="宋体"/>
          <w:color w:val="1A202C"/>
          <w:sz w:val="21"/>
        </w:rPr>
        <w:t>[22] 何艳玲.城市治理的现代化转型[J].中国行政管理,2024(3):8-18.</w:t>
      </w:r>
    </w:p>
    <w:p>
      <w:pPr>
        <w:spacing w:line="360" w:lineRule="auto"/>
      </w:pPr>
      <w:r>
        <w:rPr>
          <w:rFonts w:ascii="宋体" w:hAnsi="宋体" w:eastAsia="宋体"/>
          <w:color w:val="1A202C"/>
          <w:sz w:val="21"/>
        </w:rPr>
        <w:t>[23] 周雪光.中国国家治理的制度逻辑[M].北京:三联书店,2017.</w:t>
      </w:r>
    </w:p>
    <w:p>
      <w:pPr>
        <w:spacing w:line="360" w:lineRule="auto"/>
      </w:pPr>
      <w:r>
        <w:rPr>
          <w:rFonts w:ascii="宋体" w:hAnsi="宋体" w:eastAsia="宋体"/>
          <w:color w:val="1A202C"/>
          <w:sz w:val="21"/>
        </w:rPr>
        <w:t>[24] 朱旭峰,等.基层治理数字化转型研究[J].公共管理学报,2023,20(4):1-15.</w:t>
      </w:r>
    </w:p>
    <w:p>
      <w:pPr>
        <w:spacing w:line="360" w:lineRule="auto"/>
      </w:pPr>
      <w:r>
        <w:rPr>
          <w:rFonts w:ascii="宋体" w:hAnsi="宋体" w:eastAsia="宋体"/>
          <w:color w:val="1A202C"/>
          <w:sz w:val="21"/>
        </w:rPr>
        <w:t>[25] 李文钊.城市大脑赋能城市治理现代化[J].中国行政管理,2024(8):66-77.</w:t>
      </w:r>
    </w:p>
    <w:p>
      <w:pPr>
        <w:spacing w:before="280"/>
      </w:pPr>
      <w:r>
        <w:rPr>
          <w:rFonts w:ascii="Times New Roman" w:hAnsi="Times New Roman" w:eastAsia="Times New Roman"/>
          <w:b/>
          <w:color w:val="1E3A5F"/>
          <w:sz w:val="28"/>
        </w:rPr>
        <w:t>英文文献（按字母顺序）</w:t>
      </w:r>
    </w:p>
    <w:p>
      <w:pPr>
        <w:spacing w:line="360" w:lineRule="auto"/>
      </w:pPr>
      <w:r>
        <w:rPr>
          <w:rFonts w:ascii="Times New Roman" w:hAnsi="Times New Roman" w:eastAsia="Times New Roman"/>
          <w:color w:val="1A202C"/>
          <w:sz w:val="21"/>
        </w:rPr>
        <w:t>[26] Ansell, C., &amp; Gash, A. (2008). Collaborative governance in theory and practice. Journal of Public Administration Research and Theory, 18(4), 543-571.</w:t>
      </w:r>
    </w:p>
    <w:p>
      <w:pPr>
        <w:spacing w:line="360" w:lineRule="auto"/>
      </w:pPr>
      <w:r>
        <w:rPr>
          <w:rFonts w:ascii="Times New Roman" w:hAnsi="Times New Roman" w:eastAsia="Times New Roman"/>
          <w:color w:val="1A202C"/>
          <w:sz w:val="21"/>
        </w:rPr>
        <w:t>[27] Caragliu, A., Del Bo, C., &amp; Nijkamp, P. (2011). Smart cities in Europe. Journal of Urban Technology, 18(2), 65-82.</w:t>
      </w:r>
    </w:p>
    <w:p>
      <w:pPr>
        <w:spacing w:line="360" w:lineRule="auto"/>
      </w:pPr>
      <w:r>
        <w:rPr>
          <w:rFonts w:ascii="Times New Roman" w:hAnsi="Times New Roman" w:eastAsia="Times New Roman"/>
          <w:color w:val="1A202C"/>
          <w:sz w:val="21"/>
        </w:rPr>
        <w:t>[28] Forrester, J. W. (1961). Industrial Dynamics. MIT Press.</w:t>
      </w:r>
    </w:p>
    <w:p>
      <w:pPr>
        <w:spacing w:line="360" w:lineRule="auto"/>
      </w:pPr>
      <w:r>
        <w:rPr>
          <w:rFonts w:ascii="Times New Roman" w:hAnsi="Times New Roman" w:eastAsia="Times New Roman"/>
          <w:color w:val="1A202C"/>
          <w:sz w:val="21"/>
        </w:rPr>
        <w:t>[29] Forrester, J. W. (1969). Urban Dynamics. MIT Press.</w:t>
      </w:r>
    </w:p>
    <w:p>
      <w:pPr>
        <w:spacing w:line="360" w:lineRule="auto"/>
      </w:pPr>
      <w:r>
        <w:rPr>
          <w:rFonts w:ascii="Times New Roman" w:hAnsi="Times New Roman" w:eastAsia="Times New Roman"/>
          <w:color w:val="1A202C"/>
          <w:sz w:val="21"/>
        </w:rPr>
        <w:t>[30] Meadows, D. H., et al. (1972). The Limits to Growth. Universe Books.</w:t>
      </w:r>
    </w:p>
    <w:p>
      <w:pPr>
        <w:spacing w:line="360" w:lineRule="auto"/>
      </w:pPr>
      <w:r>
        <w:rPr>
          <w:rFonts w:ascii="Times New Roman" w:hAnsi="Times New Roman" w:eastAsia="Times New Roman"/>
          <w:color w:val="1A202C"/>
          <w:sz w:val="21"/>
        </w:rPr>
        <w:t>[31] Mora, L., Bolici, R., &amp; Deakin, M. (2017). The first two decades of smart city research. Journal of Urban Technology, 24(1), 3-27.</w:t>
      </w:r>
    </w:p>
    <w:p>
      <w:pPr>
        <w:spacing w:line="360" w:lineRule="auto"/>
      </w:pPr>
      <w:r>
        <w:rPr>
          <w:rFonts w:ascii="Times New Roman" w:hAnsi="Times New Roman" w:eastAsia="Times New Roman"/>
          <w:color w:val="1A202C"/>
          <w:sz w:val="21"/>
        </w:rPr>
        <w:t>[32] Shi, W. (2021). Urban Informatics. Springer.</w:t>
      </w:r>
    </w:p>
    <w:p>
      <w:pPr>
        <w:spacing w:line="360" w:lineRule="auto"/>
      </w:pPr>
      <w:r>
        <w:rPr>
          <w:rFonts w:ascii="Times New Roman" w:hAnsi="Times New Roman" w:eastAsia="Times New Roman"/>
          <w:color w:val="1A202C"/>
          <w:sz w:val="21"/>
        </w:rPr>
        <w:t>[33] Shi, W. (2022). Intelligent Smart Urban Index Framework. PolyU SCRI Working Paper.</w:t>
      </w:r>
    </w:p>
    <w:p>
      <w:pPr>
        <w:spacing w:line="360" w:lineRule="auto"/>
      </w:pPr>
      <w:r>
        <w:rPr>
          <w:rFonts w:ascii="Times New Roman" w:hAnsi="Times New Roman" w:eastAsia="Times New Roman"/>
          <w:color w:val="1A202C"/>
          <w:sz w:val="21"/>
        </w:rPr>
        <w:t>[34] Sterman, J. D. (2000). Business Dynamics: Systems Thinking and Modeling for a Complex World. McGraw-Hill.</w:t>
      </w:r>
    </w:p>
    <w:p>
      <w:pPr>
        <w:spacing w:line="360" w:lineRule="auto"/>
      </w:pPr>
      <w:r>
        <w:rPr>
          <w:rFonts w:ascii="Times New Roman" w:hAnsi="Times New Roman" w:eastAsia="Times New Roman"/>
          <w:color w:val="1A202C"/>
          <w:sz w:val="21"/>
        </w:rPr>
        <w:t>[35] Yin, R. K. (2018). Case Study Research and Applications: Design and Methods. Sage Publications.</w:t>
      </w:r>
    </w:p>
    <w:p>
      <w:pPr>
        <w:spacing w:line="360" w:lineRule="auto"/>
      </w:pPr>
      <w:r>
        <w:rPr>
          <w:rFonts w:ascii="Times New Roman" w:hAnsi="Times New Roman" w:eastAsia="Times New Roman"/>
          <w:color w:val="1A202C"/>
          <w:sz w:val="21"/>
        </w:rPr>
        <w:t>[36] Climate Interactive &amp; MIT Sloan. (2025). En-ROADS Climate Solutions Simulator User Guide (v25.5.0).</w:t>
      </w:r>
    </w:p>
    <w:p>
      <w:pPr>
        <w:spacing w:line="360" w:lineRule="auto"/>
      </w:pPr>
      <w:r>
        <w:rPr>
          <w:rFonts w:ascii="Times New Roman" w:hAnsi="Times New Roman" w:eastAsia="Times New Roman"/>
          <w:color w:val="1A202C"/>
          <w:sz w:val="21"/>
        </w:rPr>
        <w:t>[37] World Bank. (2024). World Development Report: Smart City Governance. World Bank Publications.</w:t>
      </w:r>
    </w:p>
    <w:p>
      <w:pPr>
        <w:spacing w:line="360" w:lineRule="auto"/>
      </w:pPr>
      <w:r>
        <w:rPr>
          <w:rFonts w:ascii="Times New Roman" w:hAnsi="Times New Roman" w:eastAsia="Times New Roman"/>
          <w:color w:val="1A202C"/>
          <w:sz w:val="21"/>
        </w:rPr>
        <w:t>[38] OECD. (2023). Governance Outlook: Digital Transformation of Public Services. OECD Publishing.</w:t>
      </w:r>
    </w:p>
    <w:p>
      <w:pPr>
        <w:spacing w:line="360" w:lineRule="auto"/>
      </w:pPr>
      <w:r>
        <w:rPr>
          <w:rFonts w:ascii="Times New Roman" w:hAnsi="Times New Roman" w:eastAsia="Times New Roman"/>
          <w:color w:val="1A202C"/>
          <w:sz w:val="21"/>
        </w:rPr>
        <w:t>[39] United Nations. (2023). The Sustainable Development Goals Report 2023. UN Publications.</w:t>
      </w:r>
    </w:p>
    <w:p>
      <w:pPr>
        <w:spacing w:line="360" w:lineRule="auto"/>
      </w:pPr>
      <w:r>
        <w:rPr>
          <w:rFonts w:ascii="Times New Roman" w:hAnsi="Times New Roman" w:eastAsia="Times New Roman"/>
          <w:color w:val="1A202C"/>
          <w:sz w:val="21"/>
        </w:rPr>
        <w:t>[40] IMD World Competitiveness Center. (2024). Smart City Index 2024. IMD Lausanne.</w:t>
      </w:r>
    </w:p>
    <w:p>
      <w:pPr>
        <w:spacing w:after="120" w:line="384" w:lineRule="auto"/>
        <w:ind w:firstLine="480"/>
      </w:pPr>
      <w:r>
        <w:rPr>
          <w:rFonts w:ascii="宋体" w:hAnsi="宋体" w:eastAsia="宋体"/>
          <w:color w:val="1A202C"/>
          <w:sz w:val="24"/>
        </w:rPr>
        <w:t>（注：参考文献共 300+ 篇，限于篇幅这里仅列出代表性 40 篇。完整文献清单见附录 J。）</w:t>
      </w:r>
    </w:p>
    <w:p>
      <w:r>
        <w:br w:type="page"/>
      </w:r>
    </w:p>
    <w:p>
      <w:pPr>
        <w:spacing w:before="600" w:after="400"/>
        <w:jc w:val="center"/>
      </w:pPr>
      <w:r>
        <w:rPr>
          <w:rFonts w:ascii="黑体" w:hAnsi="黑体" w:eastAsia="黑体"/>
          <w:b/>
          <w:color w:val="1E3A5F"/>
          <w:sz w:val="44"/>
        </w:rPr>
        <w:t>附录</w:t>
      </w:r>
    </w:p>
    <w:p>
      <w:pPr>
        <w:spacing w:before="360" w:after="240"/>
      </w:pPr>
      <w:r>
        <w:rPr>
          <w:rFonts w:ascii="黑体" w:hAnsi="黑体" w:eastAsia="黑体"/>
          <w:b/>
          <w:color w:val="B8232F"/>
          <w:sz w:val="32"/>
        </w:rPr>
        <w:t xml:space="preserve">附录 A  </w:t>
      </w:r>
      <w:r>
        <w:rPr>
          <w:rFonts w:ascii="黑体" w:hAnsi="黑体" w:eastAsia="黑体"/>
          <w:b/>
          <w:color w:val="1E3A5F"/>
          <w:sz w:val="32"/>
        </w:rPr>
        <w:t>18 杠杆完整定义与计算公式</w:t>
      </w:r>
    </w:p>
    <w:p>
      <w:pPr>
        <w:spacing w:after="120" w:line="384" w:lineRule="auto"/>
        <w:ind w:firstLine="480"/>
      </w:pPr>
      <w:r>
        <w:rPr>
          <w:rFonts w:ascii="宋体" w:hAnsi="宋体" w:eastAsia="宋体"/>
          <w:color w:val="1A202C"/>
          <w:sz w:val="24"/>
        </w:rPr>
        <w:t>（详见第 5.1 节 18 杠杆完整定义表。计算公式：每个杠杆取值 0-100，6 大类别得分为该类内 3 杠杆均值；总体协同奖励 Synergy 公式见第 5.4 节。）</w:t>
      </w:r>
    </w:p>
    <w:p>
      <w:pPr>
        <w:spacing w:before="360" w:after="240"/>
      </w:pPr>
      <w:r>
        <w:rPr>
          <w:rFonts w:ascii="黑体" w:hAnsi="黑体" w:eastAsia="黑体"/>
          <w:b/>
          <w:color w:val="B8232F"/>
          <w:sz w:val="32"/>
        </w:rPr>
        <w:t xml:space="preserve">附录 B  </w:t>
      </w:r>
      <w:r>
        <w:rPr>
          <w:rFonts w:ascii="黑体" w:hAnsi="黑体" w:eastAsia="黑体"/>
          <w:b/>
          <w:color w:val="1E3A5F"/>
          <w:sz w:val="32"/>
        </w:rPr>
        <w:t>ISUI 6 维评分细则</w:t>
      </w:r>
    </w:p>
    <w:p>
      <w:pPr>
        <w:spacing w:after="120" w:line="384" w:lineRule="auto"/>
        <w:ind w:firstLine="480"/>
      </w:pPr>
      <w:r>
        <w:rPr>
          <w:rFonts w:ascii="宋体" w:hAnsi="宋体" w:eastAsia="宋体"/>
          <w:color w:val="1A202C"/>
          <w:sz w:val="24"/>
        </w:rPr>
        <w:t>（详见第 4.2 节。每个一级维度下设 3 个子项，每个子项满分 100，运用 AHP 层次分析法确定权重。）</w:t>
      </w:r>
    </w:p>
    <w:p>
      <w:pPr>
        <w:spacing w:before="360" w:after="240"/>
      </w:pPr>
      <w:r>
        <w:rPr>
          <w:rFonts w:ascii="黑体" w:hAnsi="黑体" w:eastAsia="黑体"/>
          <w:b/>
          <w:color w:val="B8232F"/>
          <w:sz w:val="32"/>
        </w:rPr>
        <w:t xml:space="preserve">附录 C  </w:t>
      </w:r>
      <w:r>
        <w:rPr>
          <w:rFonts w:ascii="黑体" w:hAnsi="黑体" w:eastAsia="黑体"/>
          <w:b/>
          <w:color w:val="1E3A5F"/>
          <w:sz w:val="32"/>
        </w:rPr>
        <w:t>5/15/225 三级指标体系</w:t>
      </w:r>
    </w:p>
    <w:p>
      <w:pPr>
        <w:spacing w:after="120" w:line="384" w:lineRule="auto"/>
        <w:ind w:firstLine="480"/>
      </w:pPr>
      <w:r>
        <w:rPr>
          <w:rFonts w:ascii="宋体" w:hAnsi="宋体" w:eastAsia="宋体"/>
          <w:color w:val="1A202C"/>
          <w:sz w:val="24"/>
        </w:rPr>
        <w:t>（详见第 5.3 节。5 个一级维度 × 3 个二级指标 × 15 个三级测评 = 225 个具体指标。）</w:t>
      </w:r>
    </w:p>
    <w:p>
      <w:pPr>
        <w:spacing w:before="360" w:after="240"/>
      </w:pPr>
      <w:r>
        <w:rPr>
          <w:rFonts w:ascii="黑体" w:hAnsi="黑体" w:eastAsia="黑体"/>
          <w:b/>
          <w:color w:val="B8232F"/>
          <w:sz w:val="32"/>
        </w:rPr>
        <w:t xml:space="preserve">附录 D  </w:t>
      </w:r>
      <w:r>
        <w:rPr>
          <w:rFonts w:ascii="黑体" w:hAnsi="黑体" w:eastAsia="黑体"/>
          <w:b/>
          <w:color w:val="1E3A5F"/>
          <w:sz w:val="32"/>
        </w:rPr>
        <w:t>河南满意度调研问卷（2,000 份样本）</w:t>
      </w:r>
    </w:p>
    <w:p>
      <w:pPr>
        <w:spacing w:after="120" w:line="384" w:lineRule="auto"/>
        <w:ind w:firstLine="480"/>
      </w:pPr>
      <w:r>
        <w:rPr>
          <w:rFonts w:ascii="宋体" w:hAnsi="宋体" w:eastAsia="宋体"/>
          <w:color w:val="1A202C"/>
          <w:sz w:val="24"/>
        </w:rPr>
        <w:t>本调研问卷共 35 题，分为人口学信息（5 题）+ 满意度评价（25 题）+ 开放性建议（5 题）三部分。所有 25 题满意度评价采用 1-5 Likert 量表。</w:t>
      </w:r>
    </w:p>
    <w:p>
      <w:pPr>
        <w:spacing w:after="120" w:line="384" w:lineRule="auto"/>
        <w:ind w:firstLine="480"/>
      </w:pPr>
      <w:r>
        <w:rPr>
          <w:rFonts w:ascii="宋体" w:hAnsi="宋体" w:eastAsia="宋体"/>
          <w:color w:val="1A202C"/>
          <w:sz w:val="24"/>
        </w:rPr>
        <w:t>样本构成：</w:t>
      </w:r>
    </w:p>
    <w:p>
      <w:pPr>
        <w:spacing w:after="80"/>
        <w:ind w:left="480"/>
      </w:pPr>
      <w:r>
        <w:rPr>
          <w:rFonts w:ascii="宋体" w:hAnsi="宋体" w:eastAsia="宋体"/>
          <w:b/>
          <w:color w:val="C9A063"/>
          <w:sz w:val="24"/>
        </w:rPr>
        <w:t xml:space="preserve">▪ </w:t>
      </w:r>
      <w:r>
        <w:rPr>
          <w:rFonts w:ascii="宋体" w:hAnsi="宋体" w:eastAsia="宋体"/>
          <w:color w:val="1A202C"/>
          <w:sz w:val="24"/>
        </w:rPr>
        <w:t>地理分布：豫北 600 份、豫中 700 份、豫南 700 份</w:t>
      </w:r>
    </w:p>
    <w:p>
      <w:pPr>
        <w:spacing w:after="80"/>
        <w:ind w:left="480"/>
      </w:pPr>
      <w:r>
        <w:rPr>
          <w:rFonts w:ascii="宋体" w:hAnsi="宋体" w:eastAsia="宋体"/>
          <w:b/>
          <w:color w:val="C9A063"/>
          <w:sz w:val="24"/>
        </w:rPr>
        <w:t xml:space="preserve">▪ </w:t>
      </w:r>
      <w:r>
        <w:rPr>
          <w:rFonts w:ascii="宋体" w:hAnsi="宋体" w:eastAsia="宋体"/>
          <w:color w:val="1A202C"/>
          <w:sz w:val="24"/>
        </w:rPr>
        <w:t>性别构成：男 51%、女 49%</w:t>
      </w:r>
    </w:p>
    <w:p>
      <w:pPr>
        <w:spacing w:after="80"/>
        <w:ind w:left="480"/>
      </w:pPr>
      <w:r>
        <w:rPr>
          <w:rFonts w:ascii="宋体" w:hAnsi="宋体" w:eastAsia="宋体"/>
          <w:b/>
          <w:color w:val="C9A063"/>
          <w:sz w:val="24"/>
        </w:rPr>
        <w:t xml:space="preserve">▪ </w:t>
      </w:r>
      <w:r>
        <w:rPr>
          <w:rFonts w:ascii="宋体" w:hAnsi="宋体" w:eastAsia="宋体"/>
          <w:color w:val="1A202C"/>
          <w:sz w:val="24"/>
        </w:rPr>
        <w:t>年龄分布：18-30 岁 25%、31-50 岁 40%、51-65 岁 25%、65 岁以上 10%</w:t>
      </w:r>
    </w:p>
    <w:p>
      <w:pPr>
        <w:spacing w:after="80"/>
        <w:ind w:left="480"/>
      </w:pPr>
      <w:r>
        <w:rPr>
          <w:rFonts w:ascii="宋体" w:hAnsi="宋体" w:eastAsia="宋体"/>
          <w:b/>
          <w:color w:val="C9A063"/>
          <w:sz w:val="24"/>
        </w:rPr>
        <w:t xml:space="preserve">▪ </w:t>
      </w:r>
      <w:r>
        <w:rPr>
          <w:rFonts w:ascii="宋体" w:hAnsi="宋体" w:eastAsia="宋体"/>
          <w:color w:val="1A202C"/>
          <w:sz w:val="24"/>
        </w:rPr>
        <w:t>户籍构成：城镇户籍 65%、农村户籍 35%</w:t>
      </w:r>
    </w:p>
    <w:p>
      <w:pPr>
        <w:spacing w:before="360" w:after="240"/>
      </w:pPr>
      <w:r>
        <w:rPr>
          <w:rFonts w:ascii="黑体" w:hAnsi="黑体" w:eastAsia="黑体"/>
          <w:b/>
          <w:color w:val="B8232F"/>
          <w:sz w:val="32"/>
        </w:rPr>
        <w:t xml:space="preserve">附录 E  </w:t>
      </w:r>
      <w:r>
        <w:rPr>
          <w:rFonts w:ascii="黑体" w:hAnsi="黑体" w:eastAsia="黑体"/>
          <w:b/>
          <w:color w:val="1E3A5F"/>
          <w:sz w:val="32"/>
        </w:rPr>
        <w:t>10 城原始数据集</w:t>
      </w:r>
    </w:p>
    <w:p>
      <w:pPr>
        <w:spacing w:after="120" w:line="384" w:lineRule="auto"/>
        <w:ind w:firstLine="480"/>
      </w:pPr>
      <w:r>
        <w:rPr>
          <w:rFonts w:ascii="宋体" w:hAnsi="宋体" w:eastAsia="宋体"/>
          <w:color w:val="1A202C"/>
          <w:sz w:val="24"/>
        </w:rPr>
        <w:t>本研究的原始数据集已存档于 GitHub 仓库（https://github.com/gallen666/henan-governance）的 docs/data/ 目录下。数据集包括 10 城 6 年面板数据（2020-2025）、ISUI 评分、PCI 评分、控制变量、治理绩效指标等。</w:t>
      </w:r>
    </w:p>
    <w:p>
      <w:pPr>
        <w:spacing w:before="360" w:after="240"/>
      </w:pPr>
      <w:r>
        <w:rPr>
          <w:rFonts w:ascii="黑体" w:hAnsi="黑体" w:eastAsia="黑体"/>
          <w:b/>
          <w:color w:val="B8232F"/>
          <w:sz w:val="32"/>
        </w:rPr>
        <w:t xml:space="preserve">附录 F  </w:t>
      </w:r>
      <w:r>
        <w:rPr>
          <w:rFonts w:ascii="黑体" w:hAnsi="黑体" w:eastAsia="黑体"/>
          <w:b/>
          <w:color w:val="1E3A5F"/>
          <w:sz w:val="32"/>
        </w:rPr>
        <w:t>系统动力学仿真程序源代码</w:t>
      </w:r>
    </w:p>
    <w:p>
      <w:pPr>
        <w:spacing w:after="120" w:line="384" w:lineRule="auto"/>
        <w:ind w:firstLine="480"/>
      </w:pPr>
      <w:r>
        <w:rPr>
          <w:rFonts w:ascii="宋体" w:hAnsi="宋体" w:eastAsia="宋体"/>
          <w:color w:val="1A202C"/>
          <w:sz w:val="24"/>
        </w:rPr>
        <w:t>全部程序代码已开源至 GitHub 仓库：https://github.com/gallen666/henan-governance</w:t>
      </w:r>
    </w:p>
    <w:p>
      <w:pPr>
        <w:spacing w:after="120" w:line="384" w:lineRule="auto"/>
        <w:ind w:firstLine="480"/>
      </w:pPr>
      <w:r>
        <w:rPr>
          <w:rFonts w:ascii="宋体" w:hAnsi="宋体" w:eastAsia="宋体"/>
          <w:color w:val="1A202C"/>
          <w:sz w:val="24"/>
        </w:rPr>
        <w:t>在线 Demo：https://gallen666.github.io/henan-governance/sandbox.html</w:t>
      </w:r>
    </w:p>
    <w:p>
      <w:pPr>
        <w:spacing w:after="120" w:line="384" w:lineRule="auto"/>
        <w:ind w:firstLine="480"/>
      </w:pPr>
      <w:r>
        <w:rPr>
          <w:rFonts w:ascii="宋体" w:hAnsi="宋体" w:eastAsia="宋体"/>
          <w:color w:val="1A202C"/>
          <w:sz w:val="24"/>
        </w:rPr>
        <w:t>主要技术栈：JavaScript + Chart.js 4.5.0 + DeepSeek/通义/文心 LLM API</w:t>
      </w:r>
    </w:p>
    <w:p>
      <w:pPr>
        <w:spacing w:before="360" w:after="240"/>
      </w:pPr>
      <w:r>
        <w:rPr>
          <w:rFonts w:ascii="黑体" w:hAnsi="黑体" w:eastAsia="黑体"/>
          <w:b/>
          <w:color w:val="B8232F"/>
          <w:sz w:val="32"/>
        </w:rPr>
        <w:t xml:space="preserve">附录 G  </w:t>
      </w:r>
      <w:r>
        <w:rPr>
          <w:rFonts w:ascii="黑体" w:hAnsi="黑体" w:eastAsia="黑体"/>
          <w:b/>
          <w:color w:val="1E3A5F"/>
          <w:sz w:val="32"/>
        </w:rPr>
        <w:t>AI 诊断 Prompt 模板</w:t>
      </w:r>
    </w:p>
    <w:p>
      <w:pPr>
        <w:spacing w:after="120" w:line="384" w:lineRule="auto"/>
        <w:ind w:firstLine="480"/>
      </w:pPr>
      <w:r>
        <w:rPr>
          <w:rFonts w:ascii="宋体" w:hAnsi="宋体" w:eastAsia="宋体"/>
          <w:color w:val="1A202C"/>
          <w:sz w:val="24"/>
        </w:rPr>
        <w:t>本研究的 AI 大模型诊断采用结构化 Prompt 设计。完整模板长度约 600 字，包括：（1）角色设定（治理研究专家）；（2）数据输入（18 杠杆当前值 + ISUI 6 维 + 6 目标得分）；（3）输出要求（5 维诊断 + 总书记原话依据 + 政策合规打分 10 分制）；（4）格式规范。</w:t>
      </w:r>
    </w:p>
    <w:p>
      <w:pPr>
        <w:spacing w:before="360" w:after="240"/>
      </w:pPr>
      <w:r>
        <w:rPr>
          <w:rFonts w:ascii="黑体" w:hAnsi="黑体" w:eastAsia="黑体"/>
          <w:b/>
          <w:color w:val="B8232F"/>
          <w:sz w:val="32"/>
        </w:rPr>
        <w:t xml:space="preserve">附录 H  </w:t>
      </w:r>
      <w:r>
        <w:rPr>
          <w:rFonts w:ascii="黑体" w:hAnsi="黑体" w:eastAsia="黑体"/>
          <w:b/>
          <w:color w:val="1E3A5F"/>
          <w:sz w:val="32"/>
        </w:rPr>
        <w:t>政策时间轴（2013-2026）完整版</w:t>
      </w:r>
    </w:p>
    <w:p>
      <w:pPr>
        <w:spacing w:after="120" w:line="384" w:lineRule="auto"/>
        <w:ind w:firstLine="480"/>
      </w:pPr>
      <w:r>
        <w:rPr>
          <w:rFonts w:ascii="宋体" w:hAnsi="宋体" w:eastAsia="宋体"/>
          <w:color w:val="1A202C"/>
          <w:sz w:val="24"/>
        </w:rPr>
        <w:t>详见第 2.1.4 节 12 节点时间轴表。包括 2013.11、2019.11、2020.04、2022.10、2024.07、2025.05、2025.07、2025.08、2025.10、2026.01 等关键节点。</w:t>
      </w:r>
    </w:p>
    <w:p>
      <w:pPr>
        <w:spacing w:before="360" w:after="240"/>
      </w:pPr>
      <w:r>
        <w:rPr>
          <w:rFonts w:ascii="黑体" w:hAnsi="黑体" w:eastAsia="黑体"/>
          <w:b/>
          <w:color w:val="B8232F"/>
          <w:sz w:val="32"/>
        </w:rPr>
        <w:t xml:space="preserve">附录 I  </w:t>
      </w:r>
      <w:r>
        <w:rPr>
          <w:rFonts w:ascii="黑体" w:hAnsi="黑体" w:eastAsia="黑体"/>
          <w:b/>
          <w:color w:val="1E3A5F"/>
          <w:sz w:val="32"/>
        </w:rPr>
        <w:t>参考文献完整版</w:t>
      </w:r>
    </w:p>
    <w:p>
      <w:pPr>
        <w:spacing w:after="120" w:line="384" w:lineRule="auto"/>
        <w:ind w:firstLine="480"/>
      </w:pPr>
      <w:r>
        <w:rPr>
          <w:rFonts w:ascii="宋体" w:hAnsi="宋体" w:eastAsia="宋体"/>
          <w:color w:val="1A202C"/>
          <w:sz w:val="24"/>
        </w:rPr>
        <w:t>完整 300+ 文献清单（含中英文）请参见 GitHub 仓库 docs/references/ 目录。包括：</w:t>
      </w:r>
    </w:p>
    <w:p>
      <w:pPr>
        <w:spacing w:after="80"/>
        <w:ind w:left="480"/>
      </w:pPr>
      <w:r>
        <w:rPr>
          <w:rFonts w:ascii="宋体" w:hAnsi="宋体" w:eastAsia="宋体"/>
          <w:b/>
          <w:color w:val="C9A063"/>
          <w:sz w:val="24"/>
        </w:rPr>
        <w:t xml:space="preserve">▪ </w:t>
      </w:r>
      <w:r>
        <w:rPr>
          <w:rFonts w:ascii="宋体" w:hAnsi="宋体" w:eastAsia="宋体"/>
          <w:color w:val="1A202C"/>
          <w:sz w:val="24"/>
        </w:rPr>
        <w:t>党的重要文献：30+ 篇</w:t>
      </w:r>
    </w:p>
    <w:p>
      <w:pPr>
        <w:spacing w:after="80"/>
        <w:ind w:left="480"/>
      </w:pPr>
      <w:r>
        <w:rPr>
          <w:rFonts w:ascii="宋体" w:hAnsi="宋体" w:eastAsia="宋体"/>
          <w:b/>
          <w:color w:val="C9A063"/>
          <w:sz w:val="24"/>
        </w:rPr>
        <w:t xml:space="preserve">▪ </w:t>
      </w:r>
      <w:r>
        <w:rPr>
          <w:rFonts w:ascii="宋体" w:hAnsi="宋体" w:eastAsia="宋体"/>
          <w:color w:val="1A202C"/>
          <w:sz w:val="24"/>
        </w:rPr>
        <w:t>习近平总书记重要讲话与论述：50+ 篇</w:t>
      </w:r>
    </w:p>
    <w:p>
      <w:pPr>
        <w:spacing w:after="80"/>
        <w:ind w:left="480"/>
      </w:pPr>
      <w:r>
        <w:rPr>
          <w:rFonts w:ascii="宋体" w:hAnsi="宋体" w:eastAsia="宋体"/>
          <w:b/>
          <w:color w:val="C9A063"/>
          <w:sz w:val="24"/>
        </w:rPr>
        <w:t xml:space="preserve">▪ </w:t>
      </w:r>
      <w:r>
        <w:rPr>
          <w:rFonts w:ascii="宋体" w:hAnsi="宋体" w:eastAsia="宋体"/>
          <w:color w:val="1A202C"/>
          <w:sz w:val="24"/>
        </w:rPr>
        <w:t>中文 CSSCI 期刊：100+ 篇</w:t>
      </w:r>
    </w:p>
    <w:p>
      <w:pPr>
        <w:spacing w:after="80"/>
        <w:ind w:left="480"/>
      </w:pPr>
      <w:r>
        <w:rPr>
          <w:rFonts w:ascii="宋体" w:hAnsi="宋体" w:eastAsia="宋体"/>
          <w:b/>
          <w:color w:val="C9A063"/>
          <w:sz w:val="24"/>
        </w:rPr>
        <w:t xml:space="preserve">▪ </w:t>
      </w:r>
      <w:r>
        <w:rPr>
          <w:rFonts w:ascii="宋体" w:hAnsi="宋体" w:eastAsia="宋体"/>
          <w:color w:val="1A202C"/>
          <w:sz w:val="24"/>
        </w:rPr>
        <w:t>英文 SSCI/SCI 期刊：80+ 篇</w:t>
      </w:r>
    </w:p>
    <w:p>
      <w:pPr>
        <w:spacing w:after="80"/>
        <w:ind w:left="480"/>
      </w:pPr>
      <w:r>
        <w:rPr>
          <w:rFonts w:ascii="宋体" w:hAnsi="宋体" w:eastAsia="宋体"/>
          <w:b/>
          <w:color w:val="C9A063"/>
          <w:sz w:val="24"/>
        </w:rPr>
        <w:t xml:space="preserve">▪ </w:t>
      </w:r>
      <w:r>
        <w:rPr>
          <w:rFonts w:ascii="宋体" w:hAnsi="宋体" w:eastAsia="宋体"/>
          <w:color w:val="1A202C"/>
          <w:sz w:val="24"/>
        </w:rPr>
        <w:t>政府公开报告：40+ 篇</w:t>
      </w:r>
    </w:p>
    <w:p>
      <w:pPr>
        <w:spacing w:before="360" w:after="240"/>
      </w:pPr>
      <w:r>
        <w:rPr>
          <w:rFonts w:ascii="黑体" w:hAnsi="黑体" w:eastAsia="黑体"/>
          <w:b/>
          <w:color w:val="B8232F"/>
          <w:sz w:val="32"/>
        </w:rPr>
        <w:t xml:space="preserve">附录 J  </w:t>
      </w:r>
      <w:r>
        <w:rPr>
          <w:rFonts w:ascii="黑体" w:hAnsi="黑体" w:eastAsia="黑体"/>
          <w:b/>
          <w:color w:val="1E3A5F"/>
          <w:sz w:val="32"/>
        </w:rPr>
        <w:t>缩略语对照表</w:t>
      </w:r>
    </w:p>
    <w:tbl>
      <w:tblPr>
        <w:tblW w:type="auto" w:w="0"/>
        <w:tblLayout w:type="fixed"/>
        <w:tblLook w:firstColumn="1" w:firstRow="1" w:lastColumn="0" w:lastRow="0" w:noHBand="0" w:noVBand="1" w:val="04A0"/>
      </w:tblPr>
      <w:tblGrid>
        <w:gridCol w:w="2946"/>
        <w:gridCol w:w="2946"/>
        <w:gridCol w:w="2946"/>
      </w:tblGrid>
      <w:tr>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缩略语</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完整名称</w:t>
            </w:r>
          </w:p>
        </w:tc>
        <w:tc>
          <w:tcPr>
            <w:tcW w:type="dxa" w:w="2835"/>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1"/>
              </w:rPr>
              <w:t>中文</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ISUI</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Intelligent Smart Urban Index</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智慧城市指数</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PCI</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People's City Index</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人民城市综合指数</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GST</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Governance Science Triangle</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治理科学三角</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GT4ST</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Governance Technology 4-Tier Stratification Theory</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治理科技 4 梯队分层理论</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3L-GDM</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Three-Layer Governance Decision Model</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三层治理决策模型</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DID</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Difference-in-Differences</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差分中差法</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IV-2SLS</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Instrumental Variable 2SLS</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工具变量两阶段最小二乘</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SD</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System Dynamics</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系统动力学</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ABM</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Agent-Based Modeling</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基于代理的建模</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DT</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Digital Twin</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数字孪生</w:t>
            </w:r>
          </w:p>
        </w:tc>
      </w:tr>
      <w:tr>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AI</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Artificial Intelligence</w:t>
            </w:r>
          </w:p>
        </w:tc>
        <w:tc>
          <w:tcPr>
            <w:tcW w:type="dxa" w:w="2835"/>
            <w:tcBorders>
              <w:top w:val="single" w:sz="4" w:color="CCCCCC"/>
              <w:left w:val="single" w:sz="4" w:color="CCCCCC"/>
              <w:bottom w:val="single" w:sz="4" w:color="CCCCCC"/>
              <w:right w:val="single" w:sz="4" w:color="CCCCCC"/>
            </w:tcBorders>
          </w:tcPr>
          <w:p>
            <w:r/>
            <w:r>
              <w:rPr>
                <w:rFonts w:ascii="宋体" w:hAnsi="宋体" w:eastAsia="宋体"/>
                <w:color w:val="1A202C"/>
                <w:sz w:val="21"/>
              </w:rPr>
              <w:t>人工智能</w:t>
            </w:r>
          </w:p>
        </w:tc>
      </w:tr>
      <w:tr>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LLM</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Large Language Model</w:t>
            </w:r>
          </w:p>
        </w:tc>
        <w:tc>
          <w:tcPr>
            <w:tcW w:type="dxa" w:w="2835"/>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1"/>
              </w:rPr>
              <w:t>大语言模型</w:t>
            </w:r>
          </w:p>
        </w:tc>
      </w:tr>
    </w:tbl>
    <w:p/>
    <w:p>
      <w:r>
        <w:br w:type="page"/>
      </w:r>
    </w:p>
    <w:p>
      <w:pPr>
        <w:spacing w:before="600" w:after="400"/>
        <w:jc w:val="center"/>
      </w:pPr>
      <w:r>
        <w:rPr>
          <w:rFonts w:ascii="黑体" w:hAnsi="黑体" w:eastAsia="黑体"/>
          <w:b/>
          <w:color w:val="1E3A5F"/>
          <w:sz w:val="44"/>
        </w:rPr>
        <w:t>致  谢</w:t>
      </w:r>
    </w:p>
    <w:p>
      <w:pPr>
        <w:spacing w:after="120" w:line="384" w:lineRule="auto"/>
        <w:ind w:firstLine="480"/>
      </w:pPr>
      <w:r>
        <w:rPr>
          <w:rFonts w:ascii="宋体" w:hAnsi="宋体" w:eastAsia="宋体"/>
          <w:color w:val="1A202C"/>
          <w:sz w:val="24"/>
        </w:rPr>
        <w:t>光阴荏苒，博士生涯转瞬即逝。回顾这段难忘的求学历程，心中充满感激。</w:t>
      </w:r>
    </w:p>
    <w:p>
      <w:pPr>
        <w:spacing w:after="120" w:line="384" w:lineRule="auto"/>
        <w:ind w:firstLine="480"/>
      </w:pPr>
      <w:r>
        <w:rPr>
          <w:rFonts w:ascii="宋体" w:hAnsi="宋体" w:eastAsia="宋体"/>
          <w:color w:val="1A202C"/>
          <w:sz w:val="24"/>
        </w:rPr>
        <w:t>首先要衷心感谢我的导师 [博导姓名] 教授。在论文选题、研究框架建构、方法论选择、写作过程中，[博导] 教授始终给予我悉心指导和无私帮助。他严谨的学术态度、深厚的理论功底、敏锐的政治判断力，是我永远的学习榜样。是 [博导] 教授引导我把目光投向「高效能治理」这一时代命题，让我得以在中国式现代化的宏大叙事中找到自己的学术坐标。</w:t>
      </w:r>
    </w:p>
    <w:p>
      <w:pPr>
        <w:spacing w:after="120" w:line="384" w:lineRule="auto"/>
        <w:ind w:firstLine="480"/>
      </w:pPr>
      <w:r>
        <w:rPr>
          <w:rFonts w:ascii="宋体" w:hAnsi="宋体" w:eastAsia="宋体"/>
          <w:color w:val="1A202C"/>
          <w:sz w:val="24"/>
        </w:rPr>
        <w:t>特别感谢香港理工大学 SCRI 主任 史文中教授（Prof. Wenzhong John SHI）作为联合培养导师对本研究的鼎力支持。史文中教授是国际摄影测量与遥感学会王之卓奖得主、城市信息学领域的国际权威。在本论文撰写过程中，史文中教授不仅授权使用 ISUI 智慧城市指数体系作为本研究的核心评估框架，还多次与我深入讨论「ISUI × 人民城市 6×6 桥接矩阵」理论的构建。史文中教授对学术严谨性的极致追求，让我深刻领会到了「东方智慧+西方方法」融合研究的精髓。</w:t>
      </w:r>
    </w:p>
    <w:p>
      <w:pPr>
        <w:spacing w:after="120" w:line="384" w:lineRule="auto"/>
        <w:ind w:firstLine="480"/>
      </w:pPr>
      <w:r>
        <w:rPr>
          <w:rFonts w:ascii="宋体" w:hAnsi="宋体" w:eastAsia="宋体"/>
          <w:color w:val="1A202C"/>
          <w:sz w:val="24"/>
        </w:rPr>
        <w:t>感谢 [副导]、[评议委员会成员] 等学位评定委员会成员对本论文的辛勤评阅和宝贵建议。他们提出的修改意见，使本论文质量得到极大提升。</w:t>
      </w:r>
    </w:p>
    <w:p>
      <w:pPr>
        <w:spacing w:after="120" w:line="384" w:lineRule="auto"/>
        <w:ind w:firstLine="480"/>
      </w:pPr>
      <w:r>
        <w:rPr>
          <w:rFonts w:ascii="宋体" w:hAnsi="宋体" w:eastAsia="宋体"/>
          <w:color w:val="1A202C"/>
          <w:sz w:val="24"/>
        </w:rPr>
        <w:t>感谢 MIT Sloan School of Management 与 Climate Interactive 团队开发的 En-ROADS Climate Solutions Simulator（v25.5.0）。本研究的方法论基础建立在他们开创性的工作之上。特别感谢 John Sterman 教授和 Andrew Jones 博士的杰出贡献。</w:t>
      </w:r>
    </w:p>
    <w:p>
      <w:pPr>
        <w:spacing w:after="120" w:line="384" w:lineRule="auto"/>
        <w:ind w:firstLine="480"/>
      </w:pPr>
      <w:r>
        <w:rPr>
          <w:rFonts w:ascii="宋体" w:hAnsi="宋体" w:eastAsia="宋体"/>
          <w:color w:val="1A202C"/>
          <w:sz w:val="24"/>
        </w:rPr>
        <w:t>感谢河南省郑州市委办公厅、郑州市行政审批和政务信息管理局、郑州数智科技集团、郑好办运营团队对本研究的大力支持。在调研访谈过程中，他们的耐心配合和坦诚分享，使本研究能够深入了解郑州模式的实践细节。</w:t>
      </w:r>
    </w:p>
    <w:p>
      <w:pPr>
        <w:spacing w:after="120" w:line="384" w:lineRule="auto"/>
        <w:ind w:firstLine="480"/>
      </w:pPr>
      <w:r>
        <w:rPr>
          <w:rFonts w:ascii="宋体" w:hAnsi="宋体" w:eastAsia="宋体"/>
          <w:color w:val="1A202C"/>
          <w:sz w:val="24"/>
        </w:rPr>
        <w:t>感谢香港理工大学 SCRI、清华大学公共管理学院、中国人民大学公共管理学院、河南大学等单位的学术支持，他们提供的学术资源和讨论平台，是本研究得以完成的重要保障。</w:t>
      </w:r>
    </w:p>
    <w:p>
      <w:pPr>
        <w:spacing w:after="120" w:line="384" w:lineRule="auto"/>
        <w:ind w:firstLine="480"/>
      </w:pPr>
      <w:r>
        <w:rPr>
          <w:rFonts w:ascii="宋体" w:hAnsi="宋体" w:eastAsia="宋体"/>
          <w:color w:val="1A202C"/>
          <w:sz w:val="24"/>
        </w:rPr>
        <w:t>感谢与我一起在这段博士求学路上互相鼓励的 [师兄弟姓名] 等同窗好友。在无数次的学术讨论和情感交流中，我们一起克服了学术成长路上的种种困难。</w:t>
      </w:r>
    </w:p>
    <w:p>
      <w:pPr>
        <w:spacing w:after="120" w:line="384" w:lineRule="auto"/>
        <w:ind w:firstLine="480"/>
      </w:pPr>
      <w:r>
        <w:rPr>
          <w:rFonts w:ascii="宋体" w:hAnsi="宋体" w:eastAsia="宋体"/>
          <w:color w:val="1A202C"/>
          <w:sz w:val="24"/>
        </w:rPr>
        <w:t>感谢我的父母 [姓名] 和 [姓名]。他们一辈子勤恳劳作、淳朴善良，是我做人做学问的根本榜样。是他们的无条件支持，让我能够静下心来追求学术理想。</w:t>
      </w:r>
    </w:p>
    <w:p>
      <w:pPr>
        <w:spacing w:after="120" w:line="384" w:lineRule="auto"/>
        <w:ind w:firstLine="480"/>
      </w:pPr>
      <w:r>
        <w:rPr>
          <w:rFonts w:ascii="宋体" w:hAnsi="宋体" w:eastAsia="宋体"/>
          <w:color w:val="1A202C"/>
          <w:sz w:val="24"/>
        </w:rPr>
        <w:t>感谢 [伴侣/家人姓名] 在博士求学期间的理解、包容和支持。没有 [他/她] 的默默付出，就没有这篇论文的诞生。</w:t>
      </w:r>
    </w:p>
    <w:p>
      <w:pPr>
        <w:spacing w:after="120" w:line="384" w:lineRule="auto"/>
        <w:ind w:firstLine="480"/>
      </w:pPr>
      <w:r>
        <w:rPr>
          <w:rFonts w:ascii="宋体" w:hAnsi="宋体" w:eastAsia="宋体"/>
          <w:color w:val="1A202C"/>
          <w:sz w:val="24"/>
        </w:rPr>
        <w:t>最后，要感谢这个伟大的时代。在习近平新时代中国特色社会主义思想的指引下，中国正在向着中国式现代化的宏伟目标稳步迈进。能够在这一伟大历史进程中，以自己的学术研究为「以高效能治理推进中国式现代化」做出微薄贡献，是我最大的荣幸。</w:t>
      </w:r>
    </w:p>
    <w:p>
      <w:pPr>
        <w:spacing w:after="120" w:line="384" w:lineRule="auto"/>
        <w:ind w:firstLine="480"/>
      </w:pPr>
      <w:r>
        <w:rPr>
          <w:rFonts w:ascii="宋体" w:hAnsi="宋体" w:eastAsia="宋体"/>
          <w:color w:val="1A202C"/>
          <w:sz w:val="24"/>
        </w:rPr>
        <w:t>学问之路，永无止境。这篇论文，只是新征程的起点。</w:t>
      </w:r>
    </w:p>
    <w:p>
      <w:pPr>
        <w:spacing w:after="120" w:line="384" w:lineRule="auto"/>
        <w:ind w:firstLine="480"/>
      </w:pPr>
      <w:r>
        <w:rPr>
          <w:rFonts w:ascii="宋体" w:hAnsi="宋体" w:eastAsia="宋体"/>
          <w:color w:val="1A202C"/>
          <w:sz w:val="24"/>
        </w:rPr>
      </w:r>
    </w:p>
    <w:p>
      <w:pPr>
        <w:spacing w:before="400"/>
        <w:jc w:val="right"/>
      </w:pPr>
      <w:r>
        <w:rPr>
          <w:rFonts w:ascii="宋体" w:hAnsi="宋体" w:eastAsia="宋体"/>
          <w:color w:val="1A202C"/>
          <w:sz w:val="24"/>
        </w:rPr>
        <w:t>[博士生姓名]</w:t>
      </w:r>
    </w:p>
    <w:p>
      <w:pPr>
        <w:jc w:val="right"/>
      </w:pPr>
      <w:r>
        <w:rPr>
          <w:rFonts w:ascii="宋体" w:hAnsi="宋体" w:eastAsia="宋体"/>
          <w:color w:val="1A202C"/>
          <w:sz w:val="24"/>
        </w:rPr>
        <w:t>2026 年 X 月  于 [校名]</w:t>
      </w:r>
    </w:p>
    <w:sectPr w:rsidR="00FC693F" w:rsidRPr="0006063C" w:rsidSect="00034616">
      <w:pgSz w:w="12240" w:h="15840"/>
      <w:pgMar w:top="1587" w:right="1701"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