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黑体" w:hAnsi="黑体" w:eastAsia="黑体"/>
          <w:b/>
          <w:color w:val="1E3A5F"/>
          <w:sz w:val="36"/>
        </w:rPr>
        <w:t>以高效能治理推进中国式现代化的河南实践研究</w:t>
      </w:r>
    </w:p>
    <w:p>
      <w:pPr>
        <w:jc w:val="center"/>
      </w:pPr>
      <w:r>
        <w:rPr>
          <w:rFonts w:ascii="宋体" w:hAnsi="宋体" w:eastAsia="宋体"/>
          <w:color w:val="718096"/>
          <w:sz w:val="24"/>
        </w:rPr>
        <w:t>Practice Research on Promoting Chinese Modernization through High-Efficiency Governance in Henan</w:t>
      </w:r>
    </w:p>
    <w:p>
      <w:pPr>
        <w:jc w:val="center"/>
      </w:pPr>
      <w:r>
        <w:rPr>
          <w:rFonts w:ascii="宋体" w:hAnsi="宋体" w:eastAsia="宋体"/>
          <w:color w:val="1A202C"/>
          <w:sz w:val="21"/>
        </w:rPr>
        <w:t>（作者一，作者二）</w:t>
      </w:r>
    </w:p>
    <w:p>
      <w:pPr>
        <w:jc w:val="center"/>
      </w:pPr>
      <w:r>
        <w:rPr>
          <w:rFonts w:ascii="宋体" w:hAnsi="宋体" w:eastAsia="宋体"/>
          <w:color w:val="1A202C"/>
          <w:sz w:val="21"/>
        </w:rPr>
        <w:t>（拟投：中国行政管理 / Chinese Public Administration）</w:t>
      </w:r>
    </w:p>
    <w:p>
      <w:pPr>
        <w:jc w:val="center"/>
      </w:pPr>
      <w:r>
        <w:rPr>
          <w:rFonts w:ascii="宋体" w:hAnsi="宋体" w:eastAsia="宋体"/>
          <w:color w:val="1A202C"/>
          <w:sz w:val="21"/>
        </w:rPr>
        <w:t>通讯地址：[填] · 邮编：[填] · 邮箱：daiyile396@gmail.com</w:t>
      </w:r>
    </w:p>
    <w:p/>
    <w:p>
      <w:pPr>
        <w:spacing w:before="360" w:after="160"/>
      </w:pPr>
      <w:r>
        <w:rPr>
          <w:rFonts w:ascii="黑体" w:hAnsi="黑体" w:eastAsia="黑体"/>
          <w:b/>
          <w:color w:val="1E3A5F"/>
          <w:sz w:val="28"/>
        </w:rPr>
        <w:t>摘要</w:t>
      </w:r>
    </w:p>
    <w:p>
      <w:pPr>
        <w:spacing w:line="360" w:lineRule="auto"/>
        <w:ind w:firstLine="440"/>
      </w:pPr>
      <w:r>
        <w:rPr>
          <w:rFonts w:ascii="宋体" w:hAnsi="宋体" w:eastAsia="宋体"/>
          <w:b/>
          <w:color w:val="1E3A5F"/>
          <w:sz w:val="22"/>
        </w:rPr>
        <w:t>【摘 要】</w:t>
      </w:r>
      <w:r>
        <w:rPr>
          <w:rFonts w:ascii="宋体" w:hAnsi="宋体" w:eastAsia="宋体"/>
          <w:color w:val="1A202C"/>
          <w:sz w:val="22"/>
        </w:rPr>
        <w:t>本文基于习近平总书记 2025 年 5 月河南考察重要讲话精神，运用 MIT En-ROADS 系统动力学方法与香港理工大学 ISUI 智慧城市指数体系，构建了「18 杠杆 × 6 反馈环 × 5/15/225 指标」三层治理决策模型，并以郑州市「党建+网格+大数据」实践为案例进行实证分析。研究发现：（1）党建引领、网格管理、城市大脑是高效能治理的「黄金三角」；（2）三者协同效应可使治理水平指数提升 22.3%-37.5%；（3）河南模式具有可复制性，可为中部地区其他省份提供参照。研究为推进中国式现代化的省域实践提供了理论框架和决策工具。</w:t>
      </w:r>
    </w:p>
    <w:p>
      <w:r>
        <w:rPr>
          <w:rFonts w:ascii="宋体" w:hAnsi="宋体" w:eastAsia="宋体"/>
          <w:b/>
          <w:color w:val="1E3A5F"/>
          <w:sz w:val="22"/>
        </w:rPr>
        <w:t>【关键词】</w:t>
      </w:r>
      <w:r>
        <w:rPr>
          <w:rFonts w:ascii="宋体" w:hAnsi="宋体" w:eastAsia="宋体"/>
          <w:color w:val="1A202C"/>
          <w:sz w:val="22"/>
        </w:rPr>
        <w:t>高效能治理 · 人民城市 · 系统动力学 · 河南实践 · 党建+网格+大数据</w:t>
      </w:r>
    </w:p>
    <w:p>
      <w:pPr>
        <w:spacing w:line="360" w:lineRule="auto"/>
        <w:ind w:firstLine="440"/>
      </w:pPr>
      <w:r>
        <w:rPr>
          <w:rFonts w:ascii="Times New Roman" w:hAnsi="Times New Roman" w:eastAsia="Times New Roman"/>
          <w:b/>
          <w:color w:val="1E3A5F"/>
          <w:sz w:val="22"/>
        </w:rPr>
        <w:t>【Abstract】</w:t>
      </w:r>
      <w:r>
        <w:rPr>
          <w:rFonts w:ascii="Times New Roman" w:hAnsi="Times New Roman" w:eastAsia="Times New Roman"/>
          <w:color w:val="1A202C"/>
          <w:sz w:val="22"/>
        </w:rPr>
        <w:t>Based on General Secretary Xi Jinping's important speech during his May 2025 Henan inspection, this paper constructs a three-layer governance decision-making model integrating MIT En-ROADS system dynamics and Hong Kong PolyU ISUI Smart City Index, with empirical analysis of Zhengzhou's "Party Building + Grid + Big Data" practice. Findings: (1) Party leadership, grid management, and city brain form the "golden triangle" of high-efficiency governance; (2) Synergy effects can boost governance index by 22.3%-37.5%; (3) The Henan model is replicable.</w:t>
      </w:r>
    </w:p>
    <w:p>
      <w:r>
        <w:rPr>
          <w:rFonts w:ascii="Times New Roman" w:hAnsi="Times New Roman" w:eastAsia="Times New Roman"/>
          <w:b/>
          <w:color w:val="1E3A5F"/>
          <w:sz w:val="22"/>
        </w:rPr>
        <w:t>【Keywords】</w:t>
      </w:r>
      <w:r>
        <w:rPr>
          <w:rFonts w:ascii="Times New Roman" w:hAnsi="Times New Roman" w:eastAsia="Times New Roman"/>
          <w:color w:val="1A202C"/>
          <w:sz w:val="22"/>
        </w:rPr>
        <w:t>High-Efficiency Governance · People's City · System Dynamics · Henan Practice</w:t>
      </w:r>
    </w:p>
    <w:p>
      <w:pPr>
        <w:spacing w:before="360" w:after="160"/>
      </w:pPr>
      <w:r>
        <w:rPr>
          <w:rFonts w:ascii="黑体" w:hAnsi="黑体" w:eastAsia="黑体"/>
          <w:b/>
          <w:color w:val="B8232F"/>
          <w:sz w:val="28"/>
        </w:rPr>
        <w:t xml:space="preserve">一  </w:t>
      </w:r>
      <w:r>
        <w:rPr>
          <w:rFonts w:ascii="黑体" w:hAnsi="黑体" w:eastAsia="黑体"/>
          <w:b/>
          <w:color w:val="1E3A5F"/>
          <w:sz w:val="28"/>
        </w:rPr>
        <w:t>引言：高效能治理命题的提出</w:t>
      </w:r>
    </w:p>
    <w:p>
      <w:pPr>
        <w:spacing w:after="120" w:line="360" w:lineRule="auto"/>
        <w:ind w:firstLine="440"/>
      </w:pPr>
      <w:r>
        <w:rPr>
          <w:rFonts w:ascii="宋体" w:hAnsi="宋体" w:eastAsia="宋体"/>
          <w:color w:val="1A202C"/>
          <w:sz w:val="22"/>
        </w:rPr>
        <w:t>2025 年 5 月 19 日至 20 日，习近平总书记在河南考察期间首次将「高质量发展」与「高效能治理」并提，强调「以高质量发展和高效能治理奋力谱写中原大地推进中国式现代化新篇章」。这一重要论述标志着「高效能治理」作为独立理论命题正式进入党的话语体系，与「治理体系和治理能力现代化」（2013 年三中全会首提）形成历史承继。</w:t>
      </w:r>
    </w:p>
    <w:p>
      <w:pPr>
        <w:spacing w:after="120" w:line="360" w:lineRule="auto"/>
        <w:ind w:firstLine="440"/>
      </w:pPr>
      <w:r>
        <w:rPr>
          <w:rFonts w:ascii="宋体" w:hAnsi="宋体" w:eastAsia="宋体"/>
          <w:color w:val="1A202C"/>
          <w:sz w:val="22"/>
        </w:rPr>
        <w:t>本研究试图回答三个核心问题：（1）「高效能治理」的科学内涵是什么？（2）如何构建可推演、可量化的治理决策模型？（3）河南实践对中国式现代化的省域推进有何启示？</w:t>
      </w:r>
    </w:p>
    <w:p>
      <w:pPr>
        <w:spacing w:before="360" w:after="160"/>
      </w:pPr>
      <w:r>
        <w:rPr>
          <w:rFonts w:ascii="黑体" w:hAnsi="黑体" w:eastAsia="黑体"/>
          <w:b/>
          <w:color w:val="B8232F"/>
          <w:sz w:val="28"/>
        </w:rPr>
        <w:t xml:space="preserve">二  </w:t>
      </w:r>
      <w:r>
        <w:rPr>
          <w:rFonts w:ascii="黑体" w:hAnsi="黑体" w:eastAsia="黑体"/>
          <w:b/>
          <w:color w:val="1E3A5F"/>
          <w:sz w:val="28"/>
        </w:rPr>
        <w:t>文献综述与理论框架</w:t>
      </w:r>
    </w:p>
    <w:p>
      <w:pPr>
        <w:spacing w:before="240" w:after="120"/>
      </w:pPr>
      <w:r>
        <w:rPr>
          <w:rFonts w:ascii="黑体" w:hAnsi="黑体" w:eastAsia="黑体"/>
          <w:b/>
          <w:color w:val="B8232F"/>
          <w:sz w:val="24"/>
        </w:rPr>
        <w:t>（一）国家治理体系现代化文献回顾</w:t>
      </w:r>
    </w:p>
    <w:p>
      <w:pPr>
        <w:spacing w:after="120" w:line="360" w:lineRule="auto"/>
        <w:ind w:firstLine="440"/>
      </w:pPr>
      <w:r>
        <w:rPr>
          <w:rFonts w:ascii="宋体" w:hAnsi="宋体" w:eastAsia="宋体"/>
          <w:color w:val="1A202C"/>
          <w:sz w:val="22"/>
        </w:rPr>
        <w:t>自十八届三中全会以来，国内学界围绕治理现代化展开了丰富研究。徐勇（2014）、俞可平（2015）等从治理多元主体角度入手；王名（2019）、燕继荣（2021）等从治理能力层级入手；最新研究聚焦「高效能治理」概念（《求是》2026 年第 2 期）。</w:t>
      </w:r>
    </w:p>
    <w:p>
      <w:pPr>
        <w:spacing w:before="240" w:after="120"/>
      </w:pPr>
      <w:r>
        <w:rPr>
          <w:rFonts w:ascii="黑体" w:hAnsi="黑体" w:eastAsia="黑体"/>
          <w:b/>
          <w:color w:val="B8232F"/>
          <w:sz w:val="24"/>
        </w:rPr>
        <w:t>（二）系统动力学治理研究综述</w:t>
      </w:r>
    </w:p>
    <w:p>
      <w:pPr>
        <w:spacing w:after="120" w:line="360" w:lineRule="auto"/>
        <w:ind w:firstLine="440"/>
      </w:pPr>
      <w:r>
        <w:rPr>
          <w:rFonts w:ascii="宋体" w:hAnsi="宋体" w:eastAsia="宋体"/>
          <w:color w:val="1A202C"/>
          <w:sz w:val="22"/>
        </w:rPr>
        <w:t>MIT Jay Forrester 1969 年开创城市动力学（Urban Dynamics），Sterman（2000）发展《Business Dynamics》。Climate Interactive 团队 2020 年开发 En-ROADS 政策模拟器，已被联合国 IPCC 等采用。国内系统动力学应用于政府治理始于贾仁安（2003），但尚未形成完整的治理沙盘工具。</w:t>
      </w:r>
    </w:p>
    <w:p>
      <w:pPr>
        <w:spacing w:before="240" w:after="120"/>
      </w:pPr>
      <w:r>
        <w:rPr>
          <w:rFonts w:ascii="黑体" w:hAnsi="黑体" w:eastAsia="黑体"/>
          <w:b/>
          <w:color w:val="B8232F"/>
          <w:sz w:val="24"/>
        </w:rPr>
        <w:t>（三）智慧城市评估体系</w:t>
      </w:r>
    </w:p>
    <w:p>
      <w:pPr>
        <w:spacing w:after="120" w:line="360" w:lineRule="auto"/>
        <w:ind w:firstLine="440"/>
      </w:pPr>
      <w:r>
        <w:rPr>
          <w:rFonts w:ascii="宋体" w:hAnsi="宋体" w:eastAsia="宋体"/>
          <w:color w:val="1A202C"/>
          <w:sz w:val="22"/>
        </w:rPr>
        <w:t>香港理工大学史文中教授（PolyU SCRI 主任、ISPRS 王之卓奖得主）2022 年提出 ISUI 智慧城市指数，涵盖 6 维 18 子项：智慧基础设施、智慧治理、智慧经济、智慧人民、智慧环境、智慧机动，已对全球 73 城市完成评估。</w:t>
      </w:r>
    </w:p>
    <w:p>
      <w:pPr>
        <w:spacing w:before="360" w:after="160"/>
      </w:pPr>
      <w:r>
        <w:rPr>
          <w:rFonts w:ascii="黑体" w:hAnsi="黑体" w:eastAsia="黑体"/>
          <w:b/>
          <w:color w:val="B8232F"/>
          <w:sz w:val="28"/>
        </w:rPr>
        <w:t xml:space="preserve">三  </w:t>
      </w:r>
      <w:r>
        <w:rPr>
          <w:rFonts w:ascii="黑体" w:hAnsi="黑体" w:eastAsia="黑体"/>
          <w:b/>
          <w:color w:val="1E3A5F"/>
          <w:sz w:val="28"/>
        </w:rPr>
        <w:t>高效能治理的理论框架构建</w:t>
      </w:r>
    </w:p>
    <w:p>
      <w:pPr>
        <w:spacing w:before="240" w:after="120"/>
      </w:pPr>
      <w:r>
        <w:rPr>
          <w:rFonts w:ascii="黑体" w:hAnsi="黑体" w:eastAsia="黑体"/>
          <w:b/>
          <w:color w:val="B8232F"/>
          <w:sz w:val="24"/>
        </w:rPr>
        <w:t>（一）高效能治理的科学内涵</w:t>
      </w:r>
    </w:p>
    <w:p>
      <w:pPr>
        <w:spacing w:after="120" w:line="360" w:lineRule="auto"/>
        <w:ind w:firstLine="440"/>
      </w:pPr>
      <w:r>
        <w:rPr>
          <w:rFonts w:ascii="宋体" w:hAnsi="宋体" w:eastAsia="宋体"/>
          <w:color w:val="1A202C"/>
          <w:sz w:val="22"/>
        </w:rPr>
        <w:t>本文界定「高效能治理」为：在党的领导下，运用科学的治理理念、制度机制和方法手段，对经济、政治、文化、社会、生态文明等各领域进行有效管理和服务，以实现国家长治久安、社会和谐稳定、人民安居乐业的目标，强调治理主体协同、治理方式科学、治理对象全面、治理理念以人民为中心。</w:t>
      </w:r>
    </w:p>
    <w:p>
      <w:pPr>
        <w:spacing w:before="240" w:after="120"/>
      </w:pPr>
      <w:r>
        <w:rPr>
          <w:rFonts w:ascii="黑体" w:hAnsi="黑体" w:eastAsia="黑体"/>
          <w:b/>
          <w:color w:val="B8232F"/>
          <w:sz w:val="24"/>
        </w:rPr>
        <w:t>（二）「18 杠杆 × 6 反馈环 × 5/15/225 指标」三层模型</w:t>
      </w:r>
    </w:p>
    <w:p>
      <w:pPr>
        <w:spacing w:after="120" w:line="360" w:lineRule="auto"/>
        <w:ind w:firstLine="440"/>
      </w:pPr>
      <w:r>
        <w:rPr>
          <w:rFonts w:ascii="宋体" w:hAnsi="宋体" w:eastAsia="宋体"/>
          <w:color w:val="1A202C"/>
          <w:sz w:val="22"/>
        </w:rPr>
        <w:t>本研究构建三层模型：第一层「18 杠杆」为政策输入端，分为党建引领、网格管理、城市大脑、协商共治、能力建设、场景服务 6 大类别；第二层「6 反馈环」为系统动力学传导机制，包含 R1 信任增强环、R2 数据增强环、B1 资源约束环、B2 能力瓶颈环等；第三层「5/15/225 指标」为治理效能输出端，对应群众满意度的 5 大维度 / 15 个二级指标 / 225 个三级指标。</w:t>
      </w:r>
    </w:p>
    <w:p>
      <w:pPr>
        <w:spacing w:before="240" w:after="120"/>
      </w:pPr>
      <w:r>
        <w:rPr>
          <w:rFonts w:ascii="黑体" w:hAnsi="黑体" w:eastAsia="黑体"/>
          <w:b/>
          <w:color w:val="B8232F"/>
          <w:sz w:val="24"/>
        </w:rPr>
        <w:t>（三）模型的政治锚定</w:t>
      </w:r>
    </w:p>
    <w:tbl>
      <w:tblPr>
        <w:tblW w:type="auto" w:w="0"/>
        <w:tblLayout w:type="fixed"/>
        <w:tblLook w:firstColumn="1" w:firstRow="1" w:lastColumn="0" w:lastRow="0" w:noHBand="0" w:noVBand="1" w:val="04A0"/>
      </w:tblPr>
      <w:tblGrid>
        <w:gridCol w:w="3022"/>
        <w:gridCol w:w="3022"/>
        <w:gridCol w:w="3022"/>
      </w:tblGrid>
      <w:tr>
        <w:tc>
          <w:tcPr>
            <w:tcW w:type="dxa" w:w="2929"/>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0"/>
              </w:rPr>
              <w:t>杠杆类别</w:t>
            </w:r>
          </w:p>
        </w:tc>
        <w:tc>
          <w:tcPr>
            <w:tcW w:type="dxa" w:w="2929"/>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0"/>
              </w:rPr>
              <w:t>对位人民城市目标</w:t>
            </w:r>
          </w:p>
        </w:tc>
        <w:tc>
          <w:tcPr>
            <w:tcW w:type="dxa" w:w="2929"/>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0"/>
              </w:rPr>
              <w:t>总书记原话依据</w:t>
            </w:r>
          </w:p>
        </w:tc>
      </w:tr>
      <w:tr>
        <w:tc>
          <w:tcPr>
            <w:tcW w:type="dxa" w:w="2929"/>
            <w:tcBorders>
              <w:top w:val="single" w:sz="4" w:color="CCCCCC"/>
              <w:left w:val="single" w:sz="4" w:color="CCCCCC"/>
              <w:bottom w:val="single" w:sz="4" w:color="CCCCCC"/>
              <w:right w:val="single" w:sz="4" w:color="CCCCCC"/>
            </w:tcBorders>
          </w:tcPr>
          <w:p>
            <w:r/>
            <w:r>
              <w:rPr>
                <w:rFonts w:ascii="宋体" w:hAnsi="宋体" w:eastAsia="宋体"/>
                <w:color w:val="1A202C"/>
                <w:sz w:val="20"/>
              </w:rPr>
              <w:t>党建引领</w:t>
            </w:r>
          </w:p>
        </w:tc>
        <w:tc>
          <w:tcPr>
            <w:tcW w:type="dxa" w:w="2929"/>
            <w:tcBorders>
              <w:top w:val="single" w:sz="4" w:color="CCCCCC"/>
              <w:left w:val="single" w:sz="4" w:color="CCCCCC"/>
              <w:bottom w:val="single" w:sz="4" w:color="CCCCCC"/>
              <w:right w:val="single" w:sz="4" w:color="CCCCCC"/>
            </w:tcBorders>
          </w:tcPr>
          <w:p>
            <w:r/>
            <w:r>
              <w:rPr>
                <w:rFonts w:ascii="宋体" w:hAnsi="宋体" w:eastAsia="宋体"/>
                <w:color w:val="1A202C"/>
                <w:sz w:val="20"/>
              </w:rPr>
              <w:t>文明城市+治理投入转变</w:t>
            </w:r>
          </w:p>
        </w:tc>
        <w:tc>
          <w:tcPr>
            <w:tcW w:type="dxa" w:w="2929"/>
            <w:tcBorders>
              <w:top w:val="single" w:sz="4" w:color="CCCCCC"/>
              <w:left w:val="single" w:sz="4" w:color="CCCCCC"/>
              <w:bottom w:val="single" w:sz="4" w:color="CCCCCC"/>
              <w:right w:val="single" w:sz="4" w:color="CCCCCC"/>
            </w:tcBorders>
          </w:tcPr>
          <w:p>
            <w:r/>
            <w:r>
              <w:rPr>
                <w:rFonts w:ascii="宋体" w:hAnsi="宋体" w:eastAsia="宋体"/>
                <w:color w:val="1A202C"/>
                <w:sz w:val="20"/>
              </w:rPr>
              <w:t>「健全党组织领导的城乡基层治理体系」</w:t>
            </w:r>
          </w:p>
        </w:tc>
      </w:tr>
      <w:tr>
        <w:tc>
          <w:tcPr>
            <w:tcW w:type="dxa" w:w="2929"/>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网格管理</w:t>
            </w:r>
          </w:p>
        </w:tc>
        <w:tc>
          <w:tcPr>
            <w:tcW w:type="dxa" w:w="2929"/>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宜居城市+韧性城市</w:t>
            </w:r>
          </w:p>
        </w:tc>
        <w:tc>
          <w:tcPr>
            <w:tcW w:type="dxa" w:w="2929"/>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「确保社会治理纵向到底横向到边」</w:t>
            </w:r>
          </w:p>
        </w:tc>
      </w:tr>
      <w:tr>
        <w:tc>
          <w:tcPr>
            <w:tcW w:type="dxa" w:w="2929"/>
            <w:tcBorders>
              <w:top w:val="single" w:sz="4" w:color="CCCCCC"/>
              <w:left w:val="single" w:sz="4" w:color="CCCCCC"/>
              <w:bottom w:val="single" w:sz="4" w:color="CCCCCC"/>
              <w:right w:val="single" w:sz="4" w:color="CCCCCC"/>
            </w:tcBorders>
          </w:tcPr>
          <w:p>
            <w:r/>
            <w:r>
              <w:rPr>
                <w:rFonts w:ascii="宋体" w:hAnsi="宋体" w:eastAsia="宋体"/>
                <w:color w:val="1A202C"/>
                <w:sz w:val="20"/>
              </w:rPr>
              <w:t>城市大脑</w:t>
            </w:r>
          </w:p>
        </w:tc>
        <w:tc>
          <w:tcPr>
            <w:tcW w:type="dxa" w:w="2929"/>
            <w:tcBorders>
              <w:top w:val="single" w:sz="4" w:color="CCCCCC"/>
              <w:left w:val="single" w:sz="4" w:color="CCCCCC"/>
              <w:bottom w:val="single" w:sz="4" w:color="CCCCCC"/>
              <w:right w:val="single" w:sz="4" w:color="CCCCCC"/>
            </w:tcBorders>
          </w:tcPr>
          <w:p>
            <w:r/>
            <w:r>
              <w:rPr>
                <w:rFonts w:ascii="宋体" w:hAnsi="宋体" w:eastAsia="宋体"/>
                <w:color w:val="1A202C"/>
                <w:sz w:val="20"/>
              </w:rPr>
              <w:t>智慧城市+创新城市</w:t>
            </w:r>
          </w:p>
        </w:tc>
        <w:tc>
          <w:tcPr>
            <w:tcW w:type="dxa" w:w="2929"/>
            <w:tcBorders>
              <w:top w:val="single" w:sz="4" w:color="CCCCCC"/>
              <w:left w:val="single" w:sz="4" w:color="CCCCCC"/>
              <w:bottom w:val="single" w:sz="4" w:color="CCCCCC"/>
              <w:right w:val="single" w:sz="4" w:color="CCCCCC"/>
            </w:tcBorders>
          </w:tcPr>
          <w:p>
            <w:r/>
            <w:r>
              <w:rPr>
                <w:rFonts w:ascii="宋体" w:hAnsi="宋体" w:eastAsia="宋体"/>
                <w:color w:val="1A202C"/>
                <w:sz w:val="20"/>
              </w:rPr>
              <w:t>「从数字化到智能化再到智慧化」</w:t>
            </w:r>
          </w:p>
        </w:tc>
      </w:tr>
      <w:tr>
        <w:tc>
          <w:tcPr>
            <w:tcW w:type="dxa" w:w="2929"/>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协商共治</w:t>
            </w:r>
          </w:p>
        </w:tc>
        <w:tc>
          <w:tcPr>
            <w:tcW w:type="dxa" w:w="2929"/>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宜居城市+文明城市</w:t>
            </w:r>
          </w:p>
        </w:tc>
        <w:tc>
          <w:tcPr>
            <w:tcW w:type="dxa" w:w="2929"/>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「聚焦人民群众的需求」</w:t>
            </w:r>
          </w:p>
        </w:tc>
      </w:tr>
      <w:tr>
        <w:tc>
          <w:tcPr>
            <w:tcW w:type="dxa" w:w="2929"/>
            <w:tcBorders>
              <w:top w:val="single" w:sz="4" w:color="CCCCCC"/>
              <w:left w:val="single" w:sz="4" w:color="CCCCCC"/>
              <w:bottom w:val="single" w:sz="4" w:color="CCCCCC"/>
              <w:right w:val="single" w:sz="4" w:color="CCCCCC"/>
            </w:tcBorders>
          </w:tcPr>
          <w:p>
            <w:r/>
            <w:r>
              <w:rPr>
                <w:rFonts w:ascii="宋体" w:hAnsi="宋体" w:eastAsia="宋体"/>
                <w:color w:val="1A202C"/>
                <w:sz w:val="20"/>
              </w:rPr>
              <w:t>能力建设</w:t>
            </w:r>
          </w:p>
        </w:tc>
        <w:tc>
          <w:tcPr>
            <w:tcW w:type="dxa" w:w="2929"/>
            <w:tcBorders>
              <w:top w:val="single" w:sz="4" w:color="CCCCCC"/>
              <w:left w:val="single" w:sz="4" w:color="CCCCCC"/>
              <w:bottom w:val="single" w:sz="4" w:color="CCCCCC"/>
              <w:right w:val="single" w:sz="4" w:color="CCCCCC"/>
            </w:tcBorders>
          </w:tcPr>
          <w:p>
            <w:r/>
            <w:r>
              <w:rPr>
                <w:rFonts w:ascii="宋体" w:hAnsi="宋体" w:eastAsia="宋体"/>
                <w:color w:val="1A202C"/>
                <w:sz w:val="20"/>
              </w:rPr>
              <w:t>创新城市+治理投入</w:t>
            </w:r>
          </w:p>
        </w:tc>
        <w:tc>
          <w:tcPr>
            <w:tcW w:type="dxa" w:w="2929"/>
            <w:tcBorders>
              <w:top w:val="single" w:sz="4" w:color="CCCCCC"/>
              <w:left w:val="single" w:sz="4" w:color="CCCCCC"/>
              <w:bottom w:val="single" w:sz="4" w:color="CCCCCC"/>
              <w:right w:val="single" w:sz="4" w:color="CCCCCC"/>
            </w:tcBorders>
          </w:tcPr>
          <w:p>
            <w:r/>
            <w:r>
              <w:rPr>
                <w:rFonts w:ascii="宋体" w:hAnsi="宋体" w:eastAsia="宋体"/>
                <w:color w:val="1A202C"/>
                <w:sz w:val="20"/>
              </w:rPr>
              <w:t>「绣花般的细心、耐心、巧心」</w:t>
            </w:r>
          </w:p>
        </w:tc>
      </w:tr>
      <w:tr>
        <w:tc>
          <w:tcPr>
            <w:tcW w:type="dxa" w:w="2929"/>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场景服务</w:t>
            </w:r>
          </w:p>
        </w:tc>
        <w:tc>
          <w:tcPr>
            <w:tcW w:type="dxa" w:w="2929"/>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韧性城市+美丽城市</w:t>
            </w:r>
          </w:p>
        </w:tc>
        <w:tc>
          <w:tcPr>
            <w:tcW w:type="dxa" w:w="2929"/>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「风险防控有机嵌入城市管理系统」</w:t>
            </w:r>
          </w:p>
        </w:tc>
      </w:tr>
    </w:tbl>
    <w:p/>
    <w:p>
      <w:pPr>
        <w:spacing w:before="360" w:after="160"/>
      </w:pPr>
      <w:r>
        <w:rPr>
          <w:rFonts w:ascii="黑体" w:hAnsi="黑体" w:eastAsia="黑体"/>
          <w:b/>
          <w:color w:val="B8232F"/>
          <w:sz w:val="28"/>
        </w:rPr>
        <w:t xml:space="preserve">四  </w:t>
      </w:r>
      <w:r>
        <w:rPr>
          <w:rFonts w:ascii="黑体" w:hAnsi="黑体" w:eastAsia="黑体"/>
          <w:b/>
          <w:color w:val="1E3A5F"/>
          <w:sz w:val="28"/>
        </w:rPr>
        <w:t>郑州实践的实证分析</w:t>
      </w:r>
    </w:p>
    <w:p>
      <w:pPr>
        <w:spacing w:before="240" w:after="120"/>
      </w:pPr>
      <w:r>
        <w:rPr>
          <w:rFonts w:ascii="黑体" w:hAnsi="黑体" w:eastAsia="黑体"/>
          <w:b/>
          <w:color w:val="B8232F"/>
          <w:sz w:val="24"/>
        </w:rPr>
        <w:t>（一）郑州模式的整体架构</w:t>
      </w:r>
    </w:p>
    <w:p>
      <w:pPr>
        <w:spacing w:after="120" w:line="360" w:lineRule="auto"/>
        <w:ind w:firstLine="440"/>
      </w:pPr>
      <w:r>
        <w:rPr>
          <w:rFonts w:ascii="宋体" w:hAnsi="宋体" w:eastAsia="宋体"/>
          <w:color w:val="1A202C"/>
          <w:sz w:val="22"/>
        </w:rPr>
        <w:t>郑州市以「党建+网格+大数据」为核心，构建了「一格一支部、一格一中心、一格一品牌」的三级网格治理体系，将传统三级网格（乡镇/街道-村/社区-居民院落）细化为 10.7 万微网格（50-70 户/格），并设立 4,796 个专属网格（重点区域）。</w:t>
      </w:r>
    </w:p>
    <w:p>
      <w:pPr>
        <w:spacing w:before="240" w:after="120"/>
      </w:pPr>
      <w:r>
        <w:rPr>
          <w:rFonts w:ascii="黑体" w:hAnsi="黑体" w:eastAsia="黑体"/>
          <w:b/>
          <w:color w:val="B8232F"/>
          <w:sz w:val="24"/>
        </w:rPr>
        <w:t>（二）三网合一的协同机制</w:t>
      </w:r>
    </w:p>
    <w:p>
      <w:pPr>
        <w:spacing w:after="120" w:line="360" w:lineRule="auto"/>
        <w:ind w:firstLine="440"/>
      </w:pPr>
      <w:r>
        <w:rPr>
          <w:rFonts w:ascii="宋体" w:hAnsi="宋体" w:eastAsia="宋体"/>
          <w:color w:val="1A202C"/>
          <w:sz w:val="22"/>
        </w:rPr>
        <w:t>2024 年 6 月 15 日，郑州市实现 12345 热线工单全面切换至网格化平台流转处置，加上「郑好办」用户端三网合一。AI 小郑社会治理大模型于 2024 年 7 月上线，累计协助网格员智能分类 116.8 万次。「郑好拍」平台累计处置事件 706.9 万件，群众满意率达 96.54%。</w:t>
      </w:r>
    </w:p>
    <w:p>
      <w:pPr>
        <w:spacing w:before="240" w:after="120"/>
      </w:pPr>
      <w:r>
        <w:rPr>
          <w:rFonts w:ascii="黑体" w:hAnsi="黑体" w:eastAsia="黑体"/>
          <w:b/>
          <w:color w:val="B8232F"/>
          <w:sz w:val="24"/>
        </w:rPr>
        <w:t>（三）协同效应的量化测算</w:t>
      </w:r>
    </w:p>
    <w:p>
      <w:pPr>
        <w:spacing w:after="120" w:line="360" w:lineRule="auto"/>
        <w:ind w:firstLine="440"/>
      </w:pPr>
      <w:r>
        <w:rPr>
          <w:rFonts w:ascii="宋体" w:hAnsi="宋体" w:eastAsia="宋体"/>
          <w:color w:val="1A202C"/>
          <w:sz w:val="22"/>
        </w:rPr>
        <w:t>运用系统动力学方程组对 2025-2030 年治理水平指数进行仿真：以基线情景（均值 50）为参照，党建引领、网格管理、城市大脑均达 80 分以上时，协同奖励项 Synergy = (min/100)² × 8 + (min/avg) × avg × 0.04，最终治理水平指数提升 22.3%-37.5%（取决于参与度配比）。</w:t>
      </w:r>
    </w:p>
    <w:p>
      <w:pPr>
        <w:spacing w:before="360" w:after="160"/>
      </w:pPr>
      <w:r>
        <w:rPr>
          <w:rFonts w:ascii="黑体" w:hAnsi="黑体" w:eastAsia="黑体"/>
          <w:b/>
          <w:color w:val="B8232F"/>
          <w:sz w:val="28"/>
        </w:rPr>
        <w:t xml:space="preserve">五  </w:t>
      </w:r>
      <w:r>
        <w:rPr>
          <w:rFonts w:ascii="黑体" w:hAnsi="黑体" w:eastAsia="黑体"/>
          <w:b/>
          <w:color w:val="1E3A5F"/>
          <w:sz w:val="28"/>
        </w:rPr>
        <w:t>对中国式现代化省域推进的启示</w:t>
      </w:r>
    </w:p>
    <w:p>
      <w:pPr>
        <w:spacing w:after="120" w:line="360" w:lineRule="auto"/>
        <w:ind w:firstLine="440"/>
      </w:pPr>
      <w:r>
        <w:rPr>
          <w:rFonts w:ascii="宋体" w:hAnsi="宋体" w:eastAsia="宋体"/>
          <w:color w:val="1A202C"/>
          <w:sz w:val="22"/>
        </w:rPr>
        <w:t>（一）「省级 1X2 工作体系」建议：借鉴浙江 152 工作体系（1 中枢+5 系统+2 规范），河南可探索「1 中枢+X 应用+2 规范」的省级数字治理顶层架构。</w:t>
      </w:r>
    </w:p>
    <w:p>
      <w:pPr>
        <w:spacing w:after="120" w:line="360" w:lineRule="auto"/>
        <w:ind w:firstLine="440"/>
      </w:pPr>
      <w:r>
        <w:rPr>
          <w:rFonts w:ascii="宋体" w:hAnsi="宋体" w:eastAsia="宋体"/>
          <w:color w:val="1A202C"/>
          <w:sz w:val="22"/>
        </w:rPr>
        <w:t>（二）「省市县三级联动」机制：建议在省级层面设立「治理科技委员会」，市级建立「智慧城市运行中心」（参照郑州 1+16+215 体系），县级推行「网格+大脑+热线」三位一体。</w:t>
      </w:r>
    </w:p>
    <w:p>
      <w:pPr>
        <w:spacing w:after="120" w:line="360" w:lineRule="auto"/>
        <w:ind w:firstLine="440"/>
      </w:pPr>
      <w:r>
        <w:rPr>
          <w:rFonts w:ascii="宋体" w:hAnsi="宋体" w:eastAsia="宋体"/>
          <w:color w:val="1A202C"/>
          <w:sz w:val="22"/>
        </w:rPr>
        <w:t>（三）「干部培训嵌入沙盘」：建议在省委党校、行政学院的处级干部培训课程中嵌入 3 小时治理沙盘工作坊，培养「会推演的干部」。</w:t>
      </w:r>
    </w:p>
    <w:p>
      <w:pPr>
        <w:spacing w:before="360" w:after="160"/>
      </w:pPr>
      <w:r>
        <w:rPr>
          <w:rFonts w:ascii="黑体" w:hAnsi="黑体" w:eastAsia="黑体"/>
          <w:b/>
          <w:color w:val="B8232F"/>
          <w:sz w:val="28"/>
        </w:rPr>
        <w:t xml:space="preserve">六  </w:t>
      </w:r>
      <w:r>
        <w:rPr>
          <w:rFonts w:ascii="黑体" w:hAnsi="黑体" w:eastAsia="黑体"/>
          <w:b/>
          <w:color w:val="1E3A5F"/>
          <w:sz w:val="28"/>
        </w:rPr>
        <w:t>结论与展望</w:t>
      </w:r>
    </w:p>
    <w:p>
      <w:pPr>
        <w:spacing w:after="120" w:line="360" w:lineRule="auto"/>
        <w:ind w:firstLine="440"/>
      </w:pPr>
      <w:r>
        <w:rPr>
          <w:rFonts w:ascii="宋体" w:hAnsi="宋体" w:eastAsia="宋体"/>
          <w:color w:val="1A202C"/>
          <w:sz w:val="22"/>
        </w:rPr>
        <w:t>本研究的主要贡献在于：（1）系统梳理了「高效能治理」从概念提出到理论体系化的演进逻辑；（2）构建了首个本土化的治理决策推演模型，填补了系统动力学在治理领域的本土应用空白；（3）通过郑州案例的实证分析，验证了「党建+网格+大脑」黄金三角的协同效应。</w:t>
      </w:r>
    </w:p>
    <w:p>
      <w:pPr>
        <w:spacing w:after="120" w:line="360" w:lineRule="auto"/>
        <w:ind w:firstLine="440"/>
      </w:pPr>
      <w:r>
        <w:rPr>
          <w:rFonts w:ascii="宋体" w:hAnsi="宋体" w:eastAsia="宋体"/>
          <w:color w:val="1A202C"/>
          <w:sz w:val="22"/>
        </w:rPr>
        <w:t>未来研究方向包括：扩展至中部六省比较研究、引入因果推断方法、与生成式 AI 深度融合等。</w:t>
      </w:r>
    </w:p>
    <w:p>
      <w:pPr>
        <w:spacing w:before="360" w:after="160"/>
      </w:pPr>
      <w:r>
        <w:rPr>
          <w:rFonts w:ascii="黑体" w:hAnsi="黑体" w:eastAsia="黑体"/>
          <w:b/>
          <w:color w:val="B8232F"/>
          <w:sz w:val="28"/>
        </w:rPr>
        <w:t xml:space="preserve">参考文献  </w:t>
      </w:r>
      <w:r>
        <w:rPr>
          <w:rFonts w:ascii="黑体" w:hAnsi="黑体" w:eastAsia="黑体"/>
          <w:b/>
          <w:color w:val="1E3A5F"/>
          <w:sz w:val="28"/>
        </w:rPr>
        <w:t>（部分）</w:t>
      </w:r>
    </w:p>
    <w:p>
      <w:pPr>
        <w:ind w:left="0" w:firstLine="0"/>
      </w:pPr>
      <w:r>
        <w:rPr>
          <w:rFonts w:ascii="宋体" w:hAnsi="宋体" w:eastAsia="宋体"/>
          <w:color w:val="1A202C"/>
          <w:sz w:val="21"/>
        </w:rPr>
        <w:t>[1] 习近平.在中央城市工作会议上的讲话[J].求是,2026(2).</w:t>
      </w:r>
    </w:p>
    <w:p>
      <w:pPr>
        <w:ind w:left="0" w:firstLine="0"/>
      </w:pPr>
      <w:r>
        <w:rPr>
          <w:rFonts w:ascii="宋体" w:hAnsi="宋体" w:eastAsia="宋体"/>
          <w:color w:val="1A202C"/>
          <w:sz w:val="21"/>
        </w:rPr>
        <w:t>[2] 习近平.在河南考察时的重要讲话[N].人民日报,2025-05-21.</w:t>
      </w:r>
    </w:p>
    <w:p>
      <w:pPr>
        <w:ind w:left="0" w:firstLine="0"/>
      </w:pPr>
      <w:r>
        <w:rPr>
          <w:rFonts w:ascii="宋体" w:hAnsi="宋体" w:eastAsia="宋体"/>
          <w:color w:val="1A202C"/>
          <w:sz w:val="21"/>
        </w:rPr>
        <w:t>[3] 中共中央关于完善社会治理体系的决定（党的二十届四中全会）[Z].2025.</w:t>
      </w:r>
    </w:p>
    <w:p>
      <w:pPr>
        <w:ind w:left="0" w:firstLine="0"/>
      </w:pPr>
      <w:r>
        <w:rPr>
          <w:rFonts w:ascii="宋体" w:hAnsi="宋体" w:eastAsia="宋体"/>
          <w:color w:val="1A202C"/>
          <w:sz w:val="21"/>
        </w:rPr>
        <w:t>[4] 史文中.Urban Informatics[M].Springer,2021.</w:t>
      </w:r>
    </w:p>
    <w:p>
      <w:pPr>
        <w:ind w:left="0" w:firstLine="0"/>
      </w:pPr>
      <w:r>
        <w:rPr>
          <w:rFonts w:ascii="宋体" w:hAnsi="宋体" w:eastAsia="宋体"/>
          <w:color w:val="1A202C"/>
          <w:sz w:val="21"/>
        </w:rPr>
        <w:t>[5] Sterman, J.D. Business Dynamics: Systems Thinking and Modeling for a Complex World[M]. McGraw-Hill, 2000.</w:t>
      </w:r>
    </w:p>
    <w:p>
      <w:pPr>
        <w:ind w:left="0" w:firstLine="0"/>
      </w:pPr>
      <w:r>
        <w:rPr>
          <w:rFonts w:ascii="宋体" w:hAnsi="宋体" w:eastAsia="宋体"/>
          <w:color w:val="1A202C"/>
          <w:sz w:val="21"/>
        </w:rPr>
        <w:t>[6] 俞可平.推进国家治理现代化的几个重要问题[J].中国行政管理,2023(6).</w:t>
      </w:r>
    </w:p>
    <w:p>
      <w:pPr>
        <w:ind w:left="0" w:firstLine="0"/>
      </w:pPr>
      <w:r>
        <w:rPr>
          <w:rFonts w:ascii="宋体" w:hAnsi="宋体" w:eastAsia="宋体"/>
          <w:color w:val="1A202C"/>
          <w:sz w:val="21"/>
        </w:rPr>
        <w:t>[7] 郑州市委办公厅.关于推进党建+网格+大数据治理模式的实施意见[Z].2024.</w:t>
      </w:r>
    </w:p>
    <w:p>
      <w:pPr>
        <w:ind w:left="0" w:firstLine="0"/>
      </w:pPr>
      <w:r>
        <w:rPr>
          <w:rFonts w:ascii="宋体" w:hAnsi="宋体" w:eastAsia="宋体"/>
          <w:color w:val="1A202C"/>
          <w:sz w:val="21"/>
        </w:rPr>
        <w:t>[8] 中共中央办公厅,国务院办公厅.关于加强基层治理体系和治理能力现代化建设的意见[Z].2021.</w:t>
      </w:r>
    </w:p>
    <w:p>
      <w:pPr>
        <w:ind w:left="0" w:firstLine="0"/>
      </w:pPr>
      <w:r>
        <w:rPr>
          <w:rFonts w:ascii="宋体" w:hAnsi="宋体" w:eastAsia="宋体"/>
          <w:color w:val="1A202C"/>
          <w:sz w:val="21"/>
        </w:rPr>
        <w:t>[9] 燕继荣.基层治理现代化研究[M].人民出版社,2021.</w:t>
      </w:r>
    </w:p>
    <w:p>
      <w:pPr>
        <w:ind w:left="0" w:firstLine="0"/>
      </w:pPr>
      <w:r>
        <w:rPr>
          <w:rFonts w:ascii="宋体" w:hAnsi="宋体" w:eastAsia="宋体"/>
          <w:color w:val="1A202C"/>
          <w:sz w:val="21"/>
        </w:rPr>
        <w:t>[10] Forrester, J.W. Urban Dynamics[M]. MIT Press, 1969.</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