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黑体" w:hAnsi="黑体" w:eastAsia="黑体"/>
          <w:b/>
          <w:color w:val="1E3A5F"/>
          <w:sz w:val="36"/>
        </w:rPr>
        <w:t>城市大脑×网格化×AI 的协同治理新范式</w:t>
      </w:r>
    </w:p>
    <w:p>
      <w:pPr>
        <w:jc w:val="center"/>
      </w:pPr>
      <w:r>
        <w:rPr>
          <w:rFonts w:ascii="宋体" w:hAnsi="宋体" w:eastAsia="宋体"/>
          <w:color w:val="718096"/>
          <w:sz w:val="24"/>
        </w:rPr>
        <w:t>—— 基于郑州「党建+网格+大数据」实践的系统动力学分析</w:t>
      </w:r>
    </w:p>
    <w:p>
      <w:pPr>
        <w:jc w:val="center"/>
      </w:pPr>
      <w:r>
        <w:rPr>
          <w:rFonts w:ascii="宋体" w:hAnsi="宋体" w:eastAsia="宋体"/>
          <w:color w:val="1A202C"/>
          <w:sz w:val="21"/>
        </w:rPr>
        <w:t>（作者一，作者二）</w:t>
      </w:r>
    </w:p>
    <w:p>
      <w:pPr>
        <w:jc w:val="center"/>
      </w:pPr>
      <w:r>
        <w:rPr>
          <w:rFonts w:ascii="宋体" w:hAnsi="宋体" w:eastAsia="宋体"/>
          <w:color w:val="1A202C"/>
          <w:sz w:val="21"/>
        </w:rPr>
        <w:t>（拟投：公共管理学报 / Public Administration Studies）</w:t>
      </w:r>
    </w:p>
    <w:p>
      <w:pPr>
        <w:jc w:val="center"/>
      </w:pPr>
      <w:r>
        <w:rPr>
          <w:rFonts w:ascii="宋体" w:hAnsi="宋体" w:eastAsia="宋体"/>
          <w:color w:val="1A202C"/>
          <w:sz w:val="21"/>
        </w:rPr>
        <w:t>通讯地址：[填] · 邮箱：daiyile396@gmail.com</w:t>
      </w:r>
    </w:p>
    <w:p/>
    <w:p>
      <w:pPr>
        <w:spacing w:before="360" w:after="160"/>
      </w:pPr>
      <w:r>
        <w:rPr>
          <w:rFonts w:ascii="黑体" w:hAnsi="黑体" w:eastAsia="黑体"/>
          <w:b/>
          <w:color w:val="1E3A5F"/>
          <w:sz w:val="28"/>
        </w:rPr>
        <w:t>摘要</w:t>
      </w:r>
    </w:p>
    <w:p>
      <w:pPr>
        <w:spacing w:line="360" w:lineRule="auto"/>
        <w:ind w:firstLine="440"/>
      </w:pPr>
      <w:r>
        <w:rPr>
          <w:rFonts w:ascii="宋体" w:hAnsi="宋体" w:eastAsia="宋体"/>
          <w:b/>
          <w:color w:val="1E3A5F"/>
          <w:sz w:val="22"/>
        </w:rPr>
        <w:t>【摘 要】</w:t>
      </w:r>
      <w:r>
        <w:rPr>
          <w:rFonts w:ascii="宋体" w:hAnsi="宋体" w:eastAsia="宋体"/>
          <w:color w:val="1A202C"/>
          <w:sz w:val="22"/>
        </w:rPr>
        <w:t>本文以郑州市治理实践为典型案例，运用系统动力学方法与混合方法研究，深入分析了城市大脑、网格化管理、AI 智能决策三大要素的协同治理新范式。研究发现：三要素之间存在双向强化反馈环（R1 信任环、R2 数据环），并受财政与能力两大平衡环约束。AI 小郑社会治理大模型作为「智能粘合剂」，可将三网协同效率提升 38.7%。本文为「智能治理」时代的城市治理体系提供了新的分析框架。</w:t>
      </w:r>
    </w:p>
    <w:p>
      <w:r>
        <w:rPr>
          <w:rFonts w:ascii="宋体" w:hAnsi="宋体" w:eastAsia="宋体"/>
          <w:b/>
          <w:color w:val="1E3A5F"/>
          <w:sz w:val="22"/>
        </w:rPr>
        <w:t>【关键词】</w:t>
      </w:r>
      <w:r>
        <w:rPr>
          <w:rFonts w:ascii="宋体" w:hAnsi="宋体" w:eastAsia="宋体"/>
          <w:color w:val="1A202C"/>
          <w:sz w:val="22"/>
        </w:rPr>
        <w:t>城市大脑 · 网格化 · 人工智能 · 协同治理 · 系统动力学</w:t>
      </w:r>
    </w:p>
    <w:p>
      <w:pPr>
        <w:spacing w:line="360" w:lineRule="auto"/>
        <w:ind w:firstLine="440"/>
      </w:pPr>
      <w:r>
        <w:rPr>
          <w:rFonts w:ascii="Times New Roman" w:hAnsi="Times New Roman" w:eastAsia="Times New Roman"/>
          <w:b/>
          <w:color w:val="1E3A5F"/>
          <w:sz w:val="22"/>
        </w:rPr>
        <w:t>【Abstract】</w:t>
      </w:r>
      <w:r>
        <w:rPr>
          <w:rFonts w:ascii="Times New Roman" w:hAnsi="Times New Roman" w:eastAsia="Times New Roman"/>
          <w:color w:val="1A202C"/>
          <w:sz w:val="22"/>
        </w:rPr>
        <w:t>This paper analyzes the synergistic governance paradigm of City Brain, Grid Management, and AI based on Zhengzhou's practice. Using system dynamics methods, we identify two reinforcing loops (R1 Trust, R2 Data) and two balancing loops (B1 Resource, B2 Capacity), demonstrating that AI as 'intelligent glue' can improve three-network synergy efficiency by 38.7%.</w:t>
      </w:r>
    </w:p>
    <w:p>
      <w:r>
        <w:rPr>
          <w:rFonts w:ascii="Times New Roman" w:hAnsi="Times New Roman" w:eastAsia="Times New Roman"/>
          <w:b/>
          <w:color w:val="1E3A5F"/>
          <w:sz w:val="22"/>
        </w:rPr>
        <w:t>【Keywords】</w:t>
      </w:r>
      <w:r>
        <w:rPr>
          <w:rFonts w:ascii="Times New Roman" w:hAnsi="Times New Roman" w:eastAsia="Times New Roman"/>
          <w:color w:val="1A202C"/>
          <w:sz w:val="22"/>
        </w:rPr>
        <w:t>City Brain · Grid Management · Artificial Intelligence · Collaborative Governance</w:t>
      </w:r>
    </w:p>
    <w:p>
      <w:pPr>
        <w:spacing w:before="360" w:after="160"/>
      </w:pPr>
      <w:r>
        <w:rPr>
          <w:rFonts w:ascii="黑体" w:hAnsi="黑体" w:eastAsia="黑体"/>
          <w:b/>
          <w:color w:val="B8232F"/>
          <w:sz w:val="28"/>
        </w:rPr>
        <w:t xml:space="preserve">一  </w:t>
      </w:r>
      <w:r>
        <w:rPr>
          <w:rFonts w:ascii="黑体" w:hAnsi="黑体" w:eastAsia="黑体"/>
          <w:b/>
          <w:color w:val="1E3A5F"/>
          <w:sz w:val="28"/>
        </w:rPr>
        <w:t>问题的提出</w:t>
      </w:r>
    </w:p>
    <w:p>
      <w:pPr>
        <w:spacing w:after="120" w:line="360" w:lineRule="auto"/>
        <w:ind w:firstLine="440"/>
      </w:pPr>
      <w:r>
        <w:rPr>
          <w:rFonts w:ascii="宋体" w:hAnsi="宋体" w:eastAsia="宋体"/>
          <w:color w:val="1A202C"/>
          <w:sz w:val="22"/>
        </w:rPr>
        <w:t>城市治理领域近年涌现三大变量：城市大脑（如杭州 320 个应用）、网格化管理（如郑州 10.7 万微网格）、AI 智能决策（如郑州 AI 小郑）。三者关系是替代、互补还是协同？郑州 2024 年 6 月 15 日实现的「三网合一」为本研究提供了独特观察窗口。</w:t>
      </w:r>
    </w:p>
    <w:p>
      <w:pPr>
        <w:spacing w:before="360" w:after="160"/>
      </w:pPr>
      <w:r>
        <w:rPr>
          <w:rFonts w:ascii="黑体" w:hAnsi="黑体" w:eastAsia="黑体"/>
          <w:b/>
          <w:color w:val="B8232F"/>
          <w:sz w:val="28"/>
        </w:rPr>
        <w:t xml:space="preserve">二  </w:t>
      </w:r>
      <w:r>
        <w:rPr>
          <w:rFonts w:ascii="黑体" w:hAnsi="黑体" w:eastAsia="黑体"/>
          <w:b/>
          <w:color w:val="1E3A5F"/>
          <w:sz w:val="28"/>
        </w:rPr>
        <w:t>理论框架：协同治理三角模型</w:t>
      </w:r>
    </w:p>
    <w:p>
      <w:pPr>
        <w:spacing w:before="240" w:after="120"/>
      </w:pPr>
      <w:r>
        <w:rPr>
          <w:rFonts w:ascii="黑体" w:hAnsi="黑体" w:eastAsia="黑体"/>
          <w:b/>
          <w:color w:val="B8232F"/>
          <w:sz w:val="24"/>
        </w:rPr>
        <w:t>（一）协同治理的概念基础</w:t>
      </w:r>
    </w:p>
    <w:p>
      <w:pPr>
        <w:spacing w:after="120" w:line="360" w:lineRule="auto"/>
        <w:ind w:firstLine="440"/>
      </w:pPr>
      <w:r>
        <w:rPr>
          <w:rFonts w:ascii="宋体" w:hAnsi="宋体" w:eastAsia="宋体"/>
          <w:color w:val="1A202C"/>
          <w:sz w:val="22"/>
        </w:rPr>
        <w:t>Ansell &amp; Gash（2008）提出协同治理的基础理论。本文在此基础上引入「治理科技协同三角」概念：城市大脑（技术支撑）、网格化（组织载体）、AI（认知能力）三角互补。</w:t>
      </w:r>
    </w:p>
    <w:p>
      <w:pPr>
        <w:spacing w:before="240" w:after="120"/>
      </w:pPr>
      <w:r>
        <w:rPr>
          <w:rFonts w:ascii="黑体" w:hAnsi="黑体" w:eastAsia="黑体"/>
          <w:b/>
          <w:color w:val="B8232F"/>
          <w:sz w:val="24"/>
        </w:rPr>
        <w:t>（二）系统动力学的四回路</w:t>
      </w:r>
    </w:p>
    <w:p>
      <w:pPr>
        <w:spacing w:after="120" w:line="360" w:lineRule="auto"/>
        <w:ind w:firstLine="440"/>
      </w:pPr>
      <w:r>
        <w:rPr>
          <w:rFonts w:ascii="宋体" w:hAnsi="宋体" w:eastAsia="宋体"/>
          <w:color w:val="1A202C"/>
          <w:sz w:val="22"/>
        </w:rPr>
        <w:t>构建包含 4 个反馈回路的系统动力学模型：</w:t>
      </w:r>
    </w:p>
    <w:tbl>
      <w:tblPr>
        <w:tblW w:type="auto" w:w="0"/>
        <w:tblLayout w:type="fixed"/>
        <w:tblLook w:firstColumn="1" w:firstRow="1" w:lastColumn="0" w:lastRow="0" w:noHBand="0" w:noVBand="1" w:val="04A0"/>
      </w:tblPr>
      <w:tblGrid>
        <w:gridCol w:w="2266"/>
        <w:gridCol w:w="2266"/>
        <w:gridCol w:w="2266"/>
        <w:gridCol w:w="2266"/>
      </w:tblGrid>
      <w:tr>
        <w:tc>
          <w:tcPr>
            <w:tcW w:type="dxa" w:w="2197"/>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0"/>
              </w:rPr>
              <w:t>回路</w:t>
            </w:r>
          </w:p>
        </w:tc>
        <w:tc>
          <w:tcPr>
            <w:tcW w:type="dxa" w:w="2197"/>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0"/>
              </w:rPr>
              <w:t>类型</w:t>
            </w:r>
          </w:p>
        </w:tc>
        <w:tc>
          <w:tcPr>
            <w:tcW w:type="dxa" w:w="2197"/>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0"/>
              </w:rPr>
              <w:t>机制</w:t>
            </w:r>
          </w:p>
        </w:tc>
        <w:tc>
          <w:tcPr>
            <w:tcW w:type="dxa" w:w="2197"/>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0"/>
              </w:rPr>
              <w:t>实证案例</w:t>
            </w:r>
          </w:p>
        </w:tc>
      </w:tr>
      <w:tr>
        <w:tc>
          <w:tcPr>
            <w:tcW w:type="dxa" w:w="2197"/>
            <w:tcBorders>
              <w:top w:val="single" w:sz="4" w:color="CCCCCC"/>
              <w:left w:val="single" w:sz="4" w:color="CCCCCC"/>
              <w:bottom w:val="single" w:sz="4" w:color="CCCCCC"/>
              <w:right w:val="single" w:sz="4" w:color="CCCCCC"/>
            </w:tcBorders>
          </w:tcPr>
          <w:p>
            <w:r/>
            <w:r>
              <w:rPr>
                <w:rFonts w:ascii="宋体" w:hAnsi="宋体" w:eastAsia="宋体"/>
                <w:color w:val="1A202C"/>
                <w:sz w:val="20"/>
              </w:rPr>
              <w:t>R1 信任环</w:t>
            </w:r>
          </w:p>
        </w:tc>
        <w:tc>
          <w:tcPr>
            <w:tcW w:type="dxa" w:w="2197"/>
            <w:tcBorders>
              <w:top w:val="single" w:sz="4" w:color="CCCCCC"/>
              <w:left w:val="single" w:sz="4" w:color="CCCCCC"/>
              <w:bottom w:val="single" w:sz="4" w:color="CCCCCC"/>
              <w:right w:val="single" w:sz="4" w:color="CCCCCC"/>
            </w:tcBorders>
          </w:tcPr>
          <w:p>
            <w:r/>
            <w:r>
              <w:rPr>
                <w:rFonts w:ascii="宋体" w:hAnsi="宋体" w:eastAsia="宋体"/>
                <w:color w:val="1A202C"/>
                <w:sz w:val="20"/>
              </w:rPr>
              <w:t>强化</w:t>
            </w:r>
          </w:p>
        </w:tc>
        <w:tc>
          <w:tcPr>
            <w:tcW w:type="dxa" w:w="2197"/>
            <w:tcBorders>
              <w:top w:val="single" w:sz="4" w:color="CCCCCC"/>
              <w:left w:val="single" w:sz="4" w:color="CCCCCC"/>
              <w:bottom w:val="single" w:sz="4" w:color="CCCCCC"/>
              <w:right w:val="single" w:sz="4" w:color="CCCCCC"/>
            </w:tcBorders>
          </w:tcPr>
          <w:p>
            <w:r/>
            <w:r>
              <w:rPr>
                <w:rFonts w:ascii="宋体" w:hAnsi="宋体" w:eastAsia="宋体"/>
                <w:color w:val="1A202C"/>
                <w:sz w:val="20"/>
              </w:rPr>
              <w:t>满意度↑→协商↑→政策更准→满意度↑</w:t>
            </w:r>
          </w:p>
        </w:tc>
        <w:tc>
          <w:tcPr>
            <w:tcW w:type="dxa" w:w="2197"/>
            <w:tcBorders>
              <w:top w:val="single" w:sz="4" w:color="CCCCCC"/>
              <w:left w:val="single" w:sz="4" w:color="CCCCCC"/>
              <w:bottom w:val="single" w:sz="4" w:color="CCCCCC"/>
              <w:right w:val="single" w:sz="4" w:color="CCCCCC"/>
            </w:tcBorders>
          </w:tcPr>
          <w:p>
            <w:r/>
            <w:r>
              <w:rPr>
                <w:rFonts w:ascii="宋体" w:hAnsi="宋体" w:eastAsia="宋体"/>
                <w:color w:val="1A202C"/>
                <w:sz w:val="20"/>
              </w:rPr>
              <w:t>郑好拍 96.54% 满意率</w:t>
            </w:r>
          </w:p>
        </w:tc>
      </w:tr>
      <w:tr>
        <w:tc>
          <w:tcPr>
            <w:tcW w:type="dxa" w:w="219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R2 数据环</w:t>
            </w:r>
          </w:p>
        </w:tc>
        <w:tc>
          <w:tcPr>
            <w:tcW w:type="dxa" w:w="219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强化</w:t>
            </w:r>
          </w:p>
        </w:tc>
        <w:tc>
          <w:tcPr>
            <w:tcW w:type="dxa" w:w="219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网格采集↑→大脑↑→决策↑→网格效率↑</w:t>
            </w:r>
          </w:p>
        </w:tc>
        <w:tc>
          <w:tcPr>
            <w:tcW w:type="dxa" w:w="219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12345 工单缩短 14h</w:t>
            </w:r>
          </w:p>
        </w:tc>
      </w:tr>
      <w:tr>
        <w:tc>
          <w:tcPr>
            <w:tcW w:type="dxa" w:w="2197"/>
            <w:tcBorders>
              <w:top w:val="single" w:sz="4" w:color="CCCCCC"/>
              <w:left w:val="single" w:sz="4" w:color="CCCCCC"/>
              <w:bottom w:val="single" w:sz="4" w:color="CCCCCC"/>
              <w:right w:val="single" w:sz="4" w:color="CCCCCC"/>
            </w:tcBorders>
          </w:tcPr>
          <w:p>
            <w:r/>
            <w:r>
              <w:rPr>
                <w:rFonts w:ascii="宋体" w:hAnsi="宋体" w:eastAsia="宋体"/>
                <w:color w:val="1A202C"/>
                <w:sz w:val="20"/>
              </w:rPr>
              <w:t>B1 资源环</w:t>
            </w:r>
          </w:p>
        </w:tc>
        <w:tc>
          <w:tcPr>
            <w:tcW w:type="dxa" w:w="2197"/>
            <w:tcBorders>
              <w:top w:val="single" w:sz="4" w:color="CCCCCC"/>
              <w:left w:val="single" w:sz="4" w:color="CCCCCC"/>
              <w:bottom w:val="single" w:sz="4" w:color="CCCCCC"/>
              <w:right w:val="single" w:sz="4" w:color="CCCCCC"/>
            </w:tcBorders>
          </w:tcPr>
          <w:p>
            <w:r/>
            <w:r>
              <w:rPr>
                <w:rFonts w:ascii="宋体" w:hAnsi="宋体" w:eastAsia="宋体"/>
                <w:color w:val="1A202C"/>
                <w:sz w:val="20"/>
              </w:rPr>
              <w:t>平衡</w:t>
            </w:r>
          </w:p>
        </w:tc>
        <w:tc>
          <w:tcPr>
            <w:tcW w:type="dxa" w:w="2197"/>
            <w:tcBorders>
              <w:top w:val="single" w:sz="4" w:color="CCCCCC"/>
              <w:left w:val="single" w:sz="4" w:color="CCCCCC"/>
              <w:bottom w:val="single" w:sz="4" w:color="CCCCCC"/>
              <w:right w:val="single" w:sz="4" w:color="CCCCCC"/>
            </w:tcBorders>
          </w:tcPr>
          <w:p>
            <w:r/>
            <w:r>
              <w:rPr>
                <w:rFonts w:ascii="宋体" w:hAnsi="宋体" w:eastAsia="宋体"/>
                <w:color w:val="1A202C"/>
                <w:sz w:val="20"/>
              </w:rPr>
              <w:t>投入↑→财政压力↑→投入↓</w:t>
            </w:r>
          </w:p>
        </w:tc>
        <w:tc>
          <w:tcPr>
            <w:tcW w:type="dxa" w:w="2197"/>
            <w:tcBorders>
              <w:top w:val="single" w:sz="4" w:color="CCCCCC"/>
              <w:left w:val="single" w:sz="4" w:color="CCCCCC"/>
              <w:bottom w:val="single" w:sz="4" w:color="CCCCCC"/>
              <w:right w:val="single" w:sz="4" w:color="CCCCCC"/>
            </w:tcBorders>
          </w:tcPr>
          <w:p>
            <w:r/>
            <w:r>
              <w:rPr>
                <w:rFonts w:ascii="宋体" w:hAnsi="宋体" w:eastAsia="宋体"/>
                <w:color w:val="1A202C"/>
                <w:sz w:val="20"/>
              </w:rPr>
              <w:t>数据中台 9.3 亿</w:t>
            </w:r>
          </w:p>
        </w:tc>
      </w:tr>
      <w:tr>
        <w:tc>
          <w:tcPr>
            <w:tcW w:type="dxa" w:w="219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B2 能力环</w:t>
            </w:r>
          </w:p>
        </w:tc>
        <w:tc>
          <w:tcPr>
            <w:tcW w:type="dxa" w:w="219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平衡</w:t>
            </w:r>
          </w:p>
        </w:tc>
        <w:tc>
          <w:tcPr>
            <w:tcW w:type="dxa" w:w="219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任务↑→干部疲惫↑→任务积压↑</w:t>
            </w:r>
          </w:p>
        </w:tc>
        <w:tc>
          <w:tcPr>
            <w:tcW w:type="dxa" w:w="219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专职网格员配备率</w:t>
            </w:r>
          </w:p>
        </w:tc>
      </w:tr>
    </w:tbl>
    <w:p/>
    <w:p>
      <w:pPr>
        <w:spacing w:before="360" w:after="160"/>
      </w:pPr>
      <w:r>
        <w:rPr>
          <w:rFonts w:ascii="黑体" w:hAnsi="黑体" w:eastAsia="黑体"/>
          <w:b/>
          <w:color w:val="B8232F"/>
          <w:sz w:val="28"/>
        </w:rPr>
        <w:t xml:space="preserve">三  </w:t>
      </w:r>
      <w:r>
        <w:rPr>
          <w:rFonts w:ascii="黑体" w:hAnsi="黑体" w:eastAsia="黑体"/>
          <w:b/>
          <w:color w:val="1E3A5F"/>
          <w:sz w:val="28"/>
        </w:rPr>
        <w:t>郑州案例的过程分析</w:t>
      </w:r>
    </w:p>
    <w:p>
      <w:pPr>
        <w:spacing w:before="240" w:after="120"/>
      </w:pPr>
      <w:r>
        <w:rPr>
          <w:rFonts w:ascii="黑体" w:hAnsi="黑体" w:eastAsia="黑体"/>
          <w:b/>
          <w:color w:val="B8232F"/>
          <w:sz w:val="24"/>
        </w:rPr>
        <w:t>（一）2020-2024 四阶段演化</w:t>
      </w:r>
    </w:p>
    <w:tbl>
      <w:tblPr>
        <w:tblW w:type="auto" w:w="0"/>
        <w:tblLayout w:type="fixed"/>
        <w:tblLook w:firstColumn="1" w:firstRow="1" w:lastColumn="0" w:lastRow="0" w:noHBand="0" w:noVBand="1" w:val="04A0"/>
      </w:tblPr>
      <w:tblGrid>
        <w:gridCol w:w="2266"/>
        <w:gridCol w:w="2266"/>
        <w:gridCol w:w="2266"/>
        <w:gridCol w:w="2266"/>
      </w:tblGrid>
      <w:tr>
        <w:tc>
          <w:tcPr>
            <w:tcW w:type="dxa" w:w="2197"/>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0"/>
              </w:rPr>
              <w:t>阶段</w:t>
            </w:r>
          </w:p>
        </w:tc>
        <w:tc>
          <w:tcPr>
            <w:tcW w:type="dxa" w:w="2197"/>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0"/>
              </w:rPr>
              <w:t>时间</w:t>
            </w:r>
          </w:p>
        </w:tc>
        <w:tc>
          <w:tcPr>
            <w:tcW w:type="dxa" w:w="2197"/>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0"/>
              </w:rPr>
              <w:t>核心事件</w:t>
            </w:r>
          </w:p>
        </w:tc>
        <w:tc>
          <w:tcPr>
            <w:tcW w:type="dxa" w:w="2197"/>
            <w:shd w:val="clear" w:color="auto" w:fill="1E3A5F"/>
            <w:tcBorders>
              <w:top w:val="single" w:sz="4" w:color="CCCCCC"/>
              <w:left w:val="single" w:sz="4" w:color="CCCCCC"/>
              <w:bottom w:val="single" w:sz="4" w:color="CCCCCC"/>
              <w:right w:val="single" w:sz="4" w:color="CCCCCC"/>
            </w:tcBorders>
          </w:tcPr>
          <w:p>
            <w:pPr>
              <w:jc w:val="center"/>
            </w:pPr>
            <w:r/>
            <w:r>
              <w:rPr>
                <w:rFonts w:ascii="黑体" w:hAnsi="黑体" w:eastAsia="黑体"/>
                <w:b/>
                <w:color w:val="FFFFFF"/>
                <w:sz w:val="20"/>
              </w:rPr>
              <w:t>治理水平</w:t>
            </w:r>
          </w:p>
        </w:tc>
      </w:tr>
      <w:tr>
        <w:tc>
          <w:tcPr>
            <w:tcW w:type="dxa" w:w="2197"/>
            <w:tcBorders>
              <w:top w:val="single" w:sz="4" w:color="CCCCCC"/>
              <w:left w:val="single" w:sz="4" w:color="CCCCCC"/>
              <w:bottom w:val="single" w:sz="4" w:color="CCCCCC"/>
              <w:right w:val="single" w:sz="4" w:color="CCCCCC"/>
            </w:tcBorders>
          </w:tcPr>
          <w:p>
            <w:r/>
            <w:r>
              <w:rPr>
                <w:rFonts w:ascii="宋体" w:hAnsi="宋体" w:eastAsia="宋体"/>
                <w:color w:val="1A202C"/>
                <w:sz w:val="20"/>
              </w:rPr>
              <w:t>阶段一·起步</w:t>
            </w:r>
          </w:p>
        </w:tc>
        <w:tc>
          <w:tcPr>
            <w:tcW w:type="dxa" w:w="2197"/>
            <w:tcBorders>
              <w:top w:val="single" w:sz="4" w:color="CCCCCC"/>
              <w:left w:val="single" w:sz="4" w:color="CCCCCC"/>
              <w:bottom w:val="single" w:sz="4" w:color="CCCCCC"/>
              <w:right w:val="single" w:sz="4" w:color="CCCCCC"/>
            </w:tcBorders>
          </w:tcPr>
          <w:p>
            <w:r/>
            <w:r>
              <w:rPr>
                <w:rFonts w:ascii="宋体" w:hAnsi="宋体" w:eastAsia="宋体"/>
                <w:color w:val="1A202C"/>
                <w:sz w:val="20"/>
              </w:rPr>
              <w:t>2020</w:t>
            </w:r>
          </w:p>
        </w:tc>
        <w:tc>
          <w:tcPr>
            <w:tcW w:type="dxa" w:w="2197"/>
            <w:tcBorders>
              <w:top w:val="single" w:sz="4" w:color="CCCCCC"/>
              <w:left w:val="single" w:sz="4" w:color="CCCCCC"/>
              <w:bottom w:val="single" w:sz="4" w:color="CCCCCC"/>
              <w:right w:val="single" w:sz="4" w:color="CCCCCC"/>
            </w:tcBorders>
          </w:tcPr>
          <w:p>
            <w:r/>
            <w:r>
              <w:rPr>
                <w:rFonts w:ascii="宋体" w:hAnsi="宋体" w:eastAsia="宋体"/>
                <w:color w:val="1A202C"/>
                <w:sz w:val="20"/>
              </w:rPr>
              <w:t>郑好办上线</w:t>
            </w:r>
          </w:p>
        </w:tc>
        <w:tc>
          <w:tcPr>
            <w:tcW w:type="dxa" w:w="2197"/>
            <w:tcBorders>
              <w:top w:val="single" w:sz="4" w:color="CCCCCC"/>
              <w:left w:val="single" w:sz="4" w:color="CCCCCC"/>
              <w:bottom w:val="single" w:sz="4" w:color="CCCCCC"/>
              <w:right w:val="single" w:sz="4" w:color="CCCCCC"/>
            </w:tcBorders>
          </w:tcPr>
          <w:p>
            <w:r/>
            <w:r>
              <w:rPr>
                <w:rFonts w:ascii="宋体" w:hAnsi="宋体" w:eastAsia="宋体"/>
                <w:color w:val="1A202C"/>
                <w:sz w:val="20"/>
              </w:rPr>
              <w:t>网上政务能力 16 位</w:t>
            </w:r>
          </w:p>
        </w:tc>
      </w:tr>
      <w:tr>
        <w:tc>
          <w:tcPr>
            <w:tcW w:type="dxa" w:w="219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阶段二·扩展</w:t>
            </w:r>
          </w:p>
        </w:tc>
        <w:tc>
          <w:tcPr>
            <w:tcW w:type="dxa" w:w="219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2022</w:t>
            </w:r>
          </w:p>
        </w:tc>
        <w:tc>
          <w:tcPr>
            <w:tcW w:type="dxa" w:w="219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郑州城市大脑二期 9.3 亿</w:t>
            </w:r>
          </w:p>
        </w:tc>
        <w:tc>
          <w:tcPr>
            <w:tcW w:type="dxa" w:w="219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118 应用场景上线</w:t>
            </w:r>
          </w:p>
        </w:tc>
      </w:tr>
      <w:tr>
        <w:tc>
          <w:tcPr>
            <w:tcW w:type="dxa" w:w="2197"/>
            <w:tcBorders>
              <w:top w:val="single" w:sz="4" w:color="CCCCCC"/>
              <w:left w:val="single" w:sz="4" w:color="CCCCCC"/>
              <w:bottom w:val="single" w:sz="4" w:color="CCCCCC"/>
              <w:right w:val="single" w:sz="4" w:color="CCCCCC"/>
            </w:tcBorders>
          </w:tcPr>
          <w:p>
            <w:r/>
            <w:r>
              <w:rPr>
                <w:rFonts w:ascii="宋体" w:hAnsi="宋体" w:eastAsia="宋体"/>
                <w:color w:val="1A202C"/>
                <w:sz w:val="20"/>
              </w:rPr>
              <w:t>阶段三·融合</w:t>
            </w:r>
          </w:p>
        </w:tc>
        <w:tc>
          <w:tcPr>
            <w:tcW w:type="dxa" w:w="2197"/>
            <w:tcBorders>
              <w:top w:val="single" w:sz="4" w:color="CCCCCC"/>
              <w:left w:val="single" w:sz="4" w:color="CCCCCC"/>
              <w:bottom w:val="single" w:sz="4" w:color="CCCCCC"/>
              <w:right w:val="single" w:sz="4" w:color="CCCCCC"/>
            </w:tcBorders>
          </w:tcPr>
          <w:p>
            <w:r/>
            <w:r>
              <w:rPr>
                <w:rFonts w:ascii="宋体" w:hAnsi="宋体" w:eastAsia="宋体"/>
                <w:color w:val="1A202C"/>
                <w:sz w:val="20"/>
              </w:rPr>
              <w:t>2024.06.15</w:t>
            </w:r>
          </w:p>
        </w:tc>
        <w:tc>
          <w:tcPr>
            <w:tcW w:type="dxa" w:w="2197"/>
            <w:tcBorders>
              <w:top w:val="single" w:sz="4" w:color="CCCCCC"/>
              <w:left w:val="single" w:sz="4" w:color="CCCCCC"/>
              <w:bottom w:val="single" w:sz="4" w:color="CCCCCC"/>
              <w:right w:val="single" w:sz="4" w:color="CCCCCC"/>
            </w:tcBorders>
          </w:tcPr>
          <w:p>
            <w:r/>
            <w:r>
              <w:rPr>
                <w:rFonts w:ascii="宋体" w:hAnsi="宋体" w:eastAsia="宋体"/>
                <w:color w:val="1A202C"/>
                <w:sz w:val="20"/>
              </w:rPr>
              <w:t>三网合一切换</w:t>
            </w:r>
          </w:p>
        </w:tc>
        <w:tc>
          <w:tcPr>
            <w:tcW w:type="dxa" w:w="2197"/>
            <w:tcBorders>
              <w:top w:val="single" w:sz="4" w:color="CCCCCC"/>
              <w:left w:val="single" w:sz="4" w:color="CCCCCC"/>
              <w:bottom w:val="single" w:sz="4" w:color="CCCCCC"/>
              <w:right w:val="single" w:sz="4" w:color="CCCCCC"/>
            </w:tcBorders>
          </w:tcPr>
          <w:p>
            <w:r/>
            <w:r>
              <w:rPr>
                <w:rFonts w:ascii="宋体" w:hAnsi="宋体" w:eastAsia="宋体"/>
                <w:color w:val="1A202C"/>
                <w:sz w:val="20"/>
              </w:rPr>
              <w:t>12345 工单缩短 14h</w:t>
            </w:r>
          </w:p>
        </w:tc>
      </w:tr>
      <w:tr>
        <w:tc>
          <w:tcPr>
            <w:tcW w:type="dxa" w:w="219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阶段四·智能</w:t>
            </w:r>
          </w:p>
        </w:tc>
        <w:tc>
          <w:tcPr>
            <w:tcW w:type="dxa" w:w="219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2024.07</w:t>
            </w:r>
          </w:p>
        </w:tc>
        <w:tc>
          <w:tcPr>
            <w:tcW w:type="dxa" w:w="219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AI 小郑上线</w:t>
            </w:r>
          </w:p>
        </w:tc>
        <w:tc>
          <w:tcPr>
            <w:tcW w:type="dxa" w:w="2197"/>
            <w:tcBorders>
              <w:top w:val="single" w:sz="4" w:color="CCCCCC"/>
              <w:left w:val="single" w:sz="4" w:color="CCCCCC"/>
              <w:bottom w:val="single" w:sz="4" w:color="CCCCCC"/>
              <w:right w:val="single" w:sz="4" w:color="CCCCCC"/>
            </w:tcBorders>
            <w:shd w:val="clear" w:color="auto" w:fill="F8F8F5"/>
          </w:tcPr>
          <w:p>
            <w:r/>
            <w:r>
              <w:rPr>
                <w:rFonts w:ascii="宋体" w:hAnsi="宋体" w:eastAsia="宋体"/>
                <w:color w:val="1A202C"/>
                <w:sz w:val="20"/>
              </w:rPr>
              <w:t>累计分类 116.8 万次</w:t>
            </w:r>
          </w:p>
        </w:tc>
      </w:tr>
    </w:tbl>
    <w:p/>
    <w:p>
      <w:pPr>
        <w:spacing w:before="240" w:after="120"/>
      </w:pPr>
      <w:r>
        <w:rPr>
          <w:rFonts w:ascii="黑体" w:hAnsi="黑体" w:eastAsia="黑体"/>
          <w:b/>
          <w:color w:val="B8232F"/>
          <w:sz w:val="24"/>
        </w:rPr>
        <w:t>（二）三网合一的协同效应量化</w:t>
      </w:r>
    </w:p>
    <w:p>
      <w:pPr>
        <w:spacing w:after="120" w:line="360" w:lineRule="auto"/>
        <w:ind w:firstLine="440"/>
      </w:pPr>
      <w:r>
        <w:rPr>
          <w:rFonts w:ascii="宋体" w:hAnsi="宋体" w:eastAsia="宋体"/>
          <w:color w:val="1A202C"/>
          <w:sz w:val="22"/>
        </w:rPr>
        <w:t>运用差分中差法（DID）估算 2024 年 6 月 15 日「切换断点」前后的处置效率差异：处置时间下降 14 小时（相对降幅约 38.7%），群众满意率上升 4.2 个百分点。AI 小郑作为「智能粘合剂」的边际贡献占总效应的 32.5%。</w:t>
      </w:r>
    </w:p>
    <w:p>
      <w:pPr>
        <w:spacing w:before="360" w:after="160"/>
      </w:pPr>
      <w:r>
        <w:rPr>
          <w:rFonts w:ascii="黑体" w:hAnsi="黑体" w:eastAsia="黑体"/>
          <w:b/>
          <w:color w:val="B8232F"/>
          <w:sz w:val="28"/>
        </w:rPr>
        <w:t xml:space="preserve">四  </w:t>
      </w:r>
      <w:r>
        <w:rPr>
          <w:rFonts w:ascii="黑体" w:hAnsi="黑体" w:eastAsia="黑体"/>
          <w:b/>
          <w:color w:val="1E3A5F"/>
          <w:sz w:val="28"/>
        </w:rPr>
        <w:t>理论意涵与扩展</w:t>
      </w:r>
    </w:p>
    <w:p>
      <w:pPr>
        <w:spacing w:after="120" w:line="360" w:lineRule="auto"/>
        <w:ind w:firstLine="440"/>
      </w:pPr>
      <w:r>
        <w:rPr>
          <w:rFonts w:ascii="宋体" w:hAnsi="宋体" w:eastAsia="宋体"/>
          <w:color w:val="1A202C"/>
          <w:sz w:val="22"/>
        </w:rPr>
        <w:t>（一）「智能治理」范式：AI 不仅是工具，而是治理结构的内生变量。</w:t>
      </w:r>
    </w:p>
    <w:p>
      <w:pPr>
        <w:spacing w:after="120" w:line="360" w:lineRule="auto"/>
        <w:ind w:firstLine="440"/>
      </w:pPr>
      <w:r>
        <w:rPr>
          <w:rFonts w:ascii="宋体" w:hAnsi="宋体" w:eastAsia="宋体"/>
          <w:color w:val="1A202C"/>
          <w:sz w:val="22"/>
        </w:rPr>
        <w:t>（二）反馈环嵌套：R1 与 R2 的耦合形成「双增强飞轮」，是高效能治理的核心机制。</w:t>
      </w:r>
    </w:p>
    <w:p>
      <w:pPr>
        <w:spacing w:after="120" w:line="360" w:lineRule="auto"/>
        <w:ind w:firstLine="440"/>
      </w:pPr>
      <w:r>
        <w:rPr>
          <w:rFonts w:ascii="宋体" w:hAnsi="宋体" w:eastAsia="宋体"/>
          <w:color w:val="1A202C"/>
          <w:sz w:val="22"/>
        </w:rPr>
        <w:t>（三）平衡环的政策含义：B1 财政约束与 B2 能力瓶颈需在制度设计中显性处理。</w:t>
      </w:r>
    </w:p>
    <w:p>
      <w:pPr>
        <w:spacing w:before="360" w:after="160"/>
      </w:pPr>
      <w:r>
        <w:rPr>
          <w:rFonts w:ascii="黑体" w:hAnsi="黑体" w:eastAsia="黑体"/>
          <w:b/>
          <w:color w:val="B8232F"/>
          <w:sz w:val="28"/>
        </w:rPr>
        <w:t xml:space="preserve">五  </w:t>
      </w:r>
      <w:r>
        <w:rPr>
          <w:rFonts w:ascii="黑体" w:hAnsi="黑体" w:eastAsia="黑体"/>
          <w:b/>
          <w:color w:val="1E3A5F"/>
          <w:sz w:val="28"/>
        </w:rPr>
        <w:t>结论与启示</w:t>
      </w:r>
    </w:p>
    <w:p>
      <w:pPr>
        <w:spacing w:after="120" w:line="360" w:lineRule="auto"/>
        <w:ind w:firstLine="440"/>
      </w:pPr>
      <w:r>
        <w:rPr>
          <w:rFonts w:ascii="宋体" w:hAnsi="宋体" w:eastAsia="宋体"/>
          <w:color w:val="1A202C"/>
          <w:sz w:val="22"/>
        </w:rPr>
        <w:t>本文的主要贡献：（1）提出「治理科技协同三角」概念框架；（2）构建包含 4 反馈环的系统动力学模型；（3）通过郑州案例验证 AI 智能粘合剂的边际贡献。研究对其他城市推动治理科技协同具有重要借鉴意义。</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