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黑体" w:hAnsi="黑体" w:eastAsia="黑体"/>
          <w:b/>
          <w:color w:val="1E3A5F"/>
          <w:sz w:val="36"/>
        </w:rPr>
        <w:t>深刻把握「高质量发展+高效能治理」的理论意涵</w:t>
      </w:r>
    </w:p>
    <w:p>
      <w:pPr>
        <w:jc w:val="center"/>
      </w:pPr>
      <w:r>
        <w:rPr>
          <w:rFonts w:ascii="宋体" w:hAnsi="宋体" w:eastAsia="宋体"/>
          <w:color w:val="718096"/>
          <w:sz w:val="24"/>
        </w:rPr>
        <w:t>—— 学习领会习近平总书记关于河南考察重要讲话精神</w:t>
      </w:r>
    </w:p>
    <w:p>
      <w:pPr>
        <w:jc w:val="center"/>
      </w:pPr>
      <w:r>
        <w:rPr>
          <w:rFonts w:ascii="宋体" w:hAnsi="宋体" w:eastAsia="宋体"/>
          <w:color w:val="1A202C"/>
          <w:sz w:val="21"/>
        </w:rPr>
        <w:t>[作者]</w:t>
      </w:r>
    </w:p>
    <w:p>
      <w:pPr>
        <w:jc w:val="center"/>
      </w:pPr>
      <w:r>
        <w:rPr>
          <w:rFonts w:ascii="宋体" w:hAnsi="宋体" w:eastAsia="宋体"/>
          <w:color w:val="1A202C"/>
          <w:sz w:val="21"/>
        </w:rPr>
        <w:t>拟投：人民日报理论版 · 求是网</w:t>
      </w:r>
    </w:p>
    <w:p/>
    <w:p>
      <w:pPr>
        <w:spacing w:after="120" w:line="360" w:lineRule="auto"/>
        <w:ind w:firstLine="440"/>
      </w:pPr>
      <w:r>
        <w:rPr>
          <w:rFonts w:ascii="宋体" w:hAnsi="宋体" w:eastAsia="宋体"/>
          <w:color w:val="1A202C"/>
          <w:sz w:val="22"/>
        </w:rPr>
        <w:t>2025 年 5 月，习近平总书记在河南考察时强调，「以高质量发展和高效能治理奋力谱写中原大地推进中国式现代化新篇章」。这是总书记首次将「高质量发展」与「高效能治理」并提，形成完整的「双高」战略框架，标志着党对中国式现代化推进规律的认识达到新高度。</w:t>
      </w:r>
    </w:p>
    <w:p>
      <w:pPr>
        <w:spacing w:before="360" w:after="160"/>
      </w:pPr>
      <w:r>
        <w:rPr>
          <w:rFonts w:ascii="黑体" w:hAnsi="黑体" w:eastAsia="黑体"/>
          <w:b/>
          <w:color w:val="B8232F"/>
          <w:sz w:val="28"/>
        </w:rPr>
        <w:t xml:space="preserve">一  </w:t>
      </w:r>
      <w:r>
        <w:rPr>
          <w:rFonts w:ascii="黑体" w:hAnsi="黑体" w:eastAsia="黑体"/>
          <w:b/>
          <w:color w:val="1E3A5F"/>
          <w:sz w:val="28"/>
        </w:rPr>
        <w:t>「双高并提」的战略意义</w:t>
      </w:r>
    </w:p>
    <w:p>
      <w:pPr>
        <w:spacing w:after="120" w:line="360" w:lineRule="auto"/>
        <w:ind w:firstLine="440"/>
      </w:pPr>
      <w:r>
        <w:rPr>
          <w:rFonts w:ascii="宋体" w:hAnsi="宋体" w:eastAsia="宋体"/>
          <w:color w:val="1A202C"/>
          <w:sz w:val="22"/>
        </w:rPr>
        <w:t>「高质量发展」与「高效能治理」并提，体现了党对现代化推进规律的深刻把握。高质量发展是动力，高效能治理是保障，二者相辅相成，共同支撑中国式现代化的省域实践。</w:t>
      </w:r>
    </w:p>
    <w:p>
      <w:pPr>
        <w:spacing w:after="120" w:line="360" w:lineRule="auto"/>
        <w:ind w:left="480" w:right="480"/>
      </w:pPr>
      <w:r>
        <w:rPr>
          <w:rFonts w:ascii="楷体" w:hAnsi="楷体" w:eastAsia="楷体"/>
          <w:color w:val="1A202C"/>
          <w:sz w:val="21"/>
        </w:rPr>
        <w:t>"以高效能治理促进高质量发展和高水平安全良性互动。"</w:t>
      </w:r>
    </w:p>
    <w:p>
      <w:pPr>
        <w:ind w:left="480"/>
        <w:jc w:val="right"/>
      </w:pPr>
      <w:r>
        <w:rPr>
          <w:rFonts w:ascii="宋体" w:hAnsi="宋体" w:eastAsia="宋体"/>
          <w:color w:val="718096"/>
          <w:sz w:val="20"/>
        </w:rPr>
        <w:t>—— 党的二十届四中全会精神</w:t>
      </w:r>
    </w:p>
    <w:p>
      <w:pPr>
        <w:spacing w:after="120" w:line="360" w:lineRule="auto"/>
        <w:ind w:firstLine="440"/>
      </w:pPr>
      <w:r>
        <w:rPr>
          <w:rFonts w:ascii="宋体" w:hAnsi="宋体" w:eastAsia="宋体"/>
          <w:color w:val="1A202C"/>
          <w:sz w:val="22"/>
        </w:rPr>
        <w:t>正如总书记所言：「发展是安全的基础，高质量发展为国家安全提供坚实支撑；安全是发展的前提，高水平安全是中国式现代化的重要基石。」「双高」战略正是处理好发展和安全关系的根本路径。</w:t>
      </w:r>
    </w:p>
    <w:p>
      <w:pPr>
        <w:spacing w:before="360" w:after="160"/>
      </w:pPr>
      <w:r>
        <w:rPr>
          <w:rFonts w:ascii="黑体" w:hAnsi="黑体" w:eastAsia="黑体"/>
          <w:b/>
          <w:color w:val="B8232F"/>
          <w:sz w:val="28"/>
        </w:rPr>
        <w:t xml:space="preserve">二  </w:t>
      </w:r>
      <w:r>
        <w:rPr>
          <w:rFonts w:ascii="黑体" w:hAnsi="黑体" w:eastAsia="黑体"/>
          <w:b/>
          <w:color w:val="1E3A5F"/>
          <w:sz w:val="28"/>
        </w:rPr>
        <w:t>「高效能治理」的科学内涵</w:t>
      </w:r>
    </w:p>
    <w:p>
      <w:pPr>
        <w:spacing w:after="120" w:line="360" w:lineRule="auto"/>
        <w:ind w:firstLine="440"/>
      </w:pPr>
      <w:r>
        <w:rPr>
          <w:rFonts w:ascii="宋体" w:hAnsi="宋体" w:eastAsia="宋体"/>
          <w:color w:val="1A202C"/>
          <w:sz w:val="22"/>
        </w:rPr>
        <w:t>「高效能治理」既含有效率、效果的内涵，也包含能量、能级的要义。它要求政府、市场、社会等多元主体协同参与，形成共建共治共享的社会治理格局，提升治理的科学性、精准性、协同性和有效性。</w:t>
      </w:r>
    </w:p>
    <w:p>
      <w:pPr>
        <w:spacing w:before="240" w:after="120"/>
      </w:pPr>
      <w:r>
        <w:rPr>
          <w:rFonts w:ascii="黑体" w:hAnsi="黑体" w:eastAsia="黑体"/>
          <w:b/>
          <w:color w:val="B8232F"/>
          <w:sz w:val="24"/>
        </w:rPr>
        <w:t>（一）治理主体的协同</w:t>
      </w:r>
    </w:p>
    <w:p>
      <w:pPr>
        <w:spacing w:after="120" w:line="360" w:lineRule="auto"/>
        <w:ind w:firstLine="440"/>
      </w:pPr>
      <w:r>
        <w:rPr>
          <w:rFonts w:ascii="宋体" w:hAnsi="宋体" w:eastAsia="宋体"/>
          <w:color w:val="1A202C"/>
          <w:sz w:val="22"/>
        </w:rPr>
        <w:t>坚持党的全面领导是高效能治理的根本保证。在此基础上，调动政府、市场、社会、群众多元主体共同参与，避免单一主体的局限性。</w:t>
      </w:r>
    </w:p>
    <w:p>
      <w:pPr>
        <w:spacing w:before="240" w:after="120"/>
      </w:pPr>
      <w:r>
        <w:rPr>
          <w:rFonts w:ascii="黑体" w:hAnsi="黑体" w:eastAsia="黑体"/>
          <w:b/>
          <w:color w:val="B8232F"/>
          <w:sz w:val="24"/>
        </w:rPr>
        <w:t>（二）治理方式的科学</w:t>
      </w:r>
    </w:p>
    <w:p>
      <w:pPr>
        <w:spacing w:after="120" w:line="360" w:lineRule="auto"/>
        <w:ind w:firstLine="440"/>
      </w:pPr>
      <w:r>
        <w:rPr>
          <w:rFonts w:ascii="宋体" w:hAnsi="宋体" w:eastAsia="宋体"/>
          <w:color w:val="1A202C"/>
          <w:sz w:val="22"/>
        </w:rPr>
        <w:t>高效能治理强调运用大数据、人工智能等现代信息技术，让治理决策从「经验判断」转向「数据驱动」，从「事后处置」转向「事前预警」。</w:t>
      </w:r>
    </w:p>
    <w:p>
      <w:pPr>
        <w:spacing w:before="240" w:after="120"/>
      </w:pPr>
      <w:r>
        <w:rPr>
          <w:rFonts w:ascii="黑体" w:hAnsi="黑体" w:eastAsia="黑体"/>
          <w:b/>
          <w:color w:val="B8232F"/>
          <w:sz w:val="24"/>
        </w:rPr>
        <w:t>（三）治理对象的全面</w:t>
      </w:r>
    </w:p>
    <w:p>
      <w:pPr>
        <w:spacing w:after="120" w:line="360" w:lineRule="auto"/>
        <w:ind w:firstLine="440"/>
      </w:pPr>
      <w:r>
        <w:rPr>
          <w:rFonts w:ascii="宋体" w:hAnsi="宋体" w:eastAsia="宋体"/>
          <w:color w:val="1A202C"/>
          <w:sz w:val="22"/>
        </w:rPr>
        <w:t>高效能治理涵盖经济、政治、文化、社会、生态文明等各个领域，形成「五位一体」的整体性治理格局。</w:t>
      </w:r>
    </w:p>
    <w:p>
      <w:pPr>
        <w:spacing w:before="240" w:after="120"/>
      </w:pPr>
      <w:r>
        <w:rPr>
          <w:rFonts w:ascii="黑体" w:hAnsi="黑体" w:eastAsia="黑体"/>
          <w:b/>
          <w:color w:val="B8232F"/>
          <w:sz w:val="24"/>
        </w:rPr>
        <w:t>（四）治理理念的人民性</w:t>
      </w:r>
    </w:p>
    <w:p>
      <w:pPr>
        <w:spacing w:after="120" w:line="360" w:lineRule="auto"/>
        <w:ind w:firstLine="440"/>
      </w:pPr>
      <w:r>
        <w:rPr>
          <w:rFonts w:ascii="宋体" w:hAnsi="宋体" w:eastAsia="宋体"/>
          <w:color w:val="1A202C"/>
          <w:sz w:val="22"/>
        </w:rPr>
        <w:t>高效能治理以人民为中心，与「人民城市人民建、人民城市为人民」一脉相承，让人民群众成为治理的真正主体和最大受益者。</w:t>
      </w:r>
    </w:p>
    <w:p>
      <w:pPr>
        <w:spacing w:before="360" w:after="160"/>
      </w:pPr>
      <w:r>
        <w:rPr>
          <w:rFonts w:ascii="黑体" w:hAnsi="黑体" w:eastAsia="黑体"/>
          <w:b/>
          <w:color w:val="B8232F"/>
          <w:sz w:val="28"/>
        </w:rPr>
        <w:t xml:space="preserve">三  </w:t>
      </w:r>
      <w:r>
        <w:rPr>
          <w:rFonts w:ascii="黑体" w:hAnsi="黑体" w:eastAsia="黑体"/>
          <w:b/>
          <w:color w:val="1E3A5F"/>
          <w:sz w:val="28"/>
        </w:rPr>
        <w:t>河南实践的鲜活案例</w:t>
      </w:r>
    </w:p>
    <w:p>
      <w:pPr>
        <w:spacing w:after="120" w:line="360" w:lineRule="auto"/>
        <w:ind w:firstLine="440"/>
      </w:pPr>
      <w:r>
        <w:rPr>
          <w:rFonts w:ascii="宋体" w:hAnsi="宋体" w:eastAsia="宋体"/>
          <w:color w:val="1A202C"/>
          <w:sz w:val="22"/>
        </w:rPr>
        <w:t>总书记把「双高」战略首先在河南提出，有其深刻考量。河南人口总量、人口密度、人口流动量都比较大，社会问题复杂多样，是测试高效能治理的最佳样本。</w:t>
      </w:r>
    </w:p>
    <w:p>
      <w:pPr>
        <w:spacing w:after="120" w:line="360" w:lineRule="auto"/>
        <w:ind w:firstLine="440"/>
      </w:pPr>
      <w:r>
        <w:rPr>
          <w:rFonts w:ascii="宋体" w:hAnsi="宋体" w:eastAsia="宋体"/>
          <w:color w:val="1A202C"/>
          <w:sz w:val="22"/>
        </w:rPr>
        <w:t>郑州市探索的「党建+网格+大数据」模式，将 10.7 万微网格、12345 热线、郑好办用户端深度融合，构建起特大城市高效能治理的新体系。2024 年 7 月上线的「AI 小郑」社会治理大模型，累计协助网格员智能分类 116.8 万次。这些实践，正是「双高」战略的鲜活体现。</w:t>
      </w:r>
    </w:p>
    <w:p>
      <w:pPr>
        <w:spacing w:before="360" w:after="160"/>
      </w:pPr>
      <w:r>
        <w:rPr>
          <w:rFonts w:ascii="黑体" w:hAnsi="黑体" w:eastAsia="黑体"/>
          <w:b/>
          <w:color w:val="B8232F"/>
          <w:sz w:val="28"/>
        </w:rPr>
        <w:t xml:space="preserve">四  </w:t>
      </w:r>
      <w:r>
        <w:rPr>
          <w:rFonts w:ascii="黑体" w:hAnsi="黑体" w:eastAsia="黑体"/>
          <w:b/>
          <w:color w:val="1E3A5F"/>
          <w:sz w:val="28"/>
        </w:rPr>
        <w:t>推进路径的几点思考</w:t>
      </w:r>
    </w:p>
    <w:p>
      <w:pPr>
        <w:spacing w:after="120" w:line="360" w:lineRule="auto"/>
        <w:ind w:firstLine="440"/>
      </w:pPr>
      <w:r>
        <w:rPr>
          <w:rFonts w:ascii="宋体" w:hAnsi="宋体" w:eastAsia="宋体"/>
          <w:color w:val="1A202C"/>
          <w:sz w:val="22"/>
        </w:rPr>
        <w:t>落实总书记重要讲话精神，需要在「双高」战略指引下，重点抓好以下几个方面：</w:t>
      </w:r>
    </w:p>
    <w:p>
      <w:pPr>
        <w:spacing w:after="120" w:line="360" w:lineRule="auto"/>
        <w:ind w:firstLine="440"/>
      </w:pPr>
      <w:r>
        <w:rPr>
          <w:rFonts w:ascii="宋体" w:hAnsi="宋体" w:eastAsia="宋体"/>
          <w:color w:val="1A202C"/>
          <w:sz w:val="22"/>
        </w:rPr>
        <w:t>一是坚持党的领导贯穿始终。把党的领导贯穿治理体系建设全过程各方面，确保「双高」始终沿着正确政治方向推进。</w:t>
      </w:r>
    </w:p>
    <w:p>
      <w:pPr>
        <w:spacing w:after="120" w:line="360" w:lineRule="auto"/>
        <w:ind w:firstLine="440"/>
      </w:pPr>
      <w:r>
        <w:rPr>
          <w:rFonts w:ascii="宋体" w:hAnsi="宋体" w:eastAsia="宋体"/>
          <w:color w:val="1A202C"/>
          <w:sz w:val="22"/>
        </w:rPr>
        <w:t>二是强化数字技术支撑。运用大数据、云计算、AI 等技术，让治理「更聪明一些、更智慧一些」。</w:t>
      </w:r>
    </w:p>
    <w:p>
      <w:pPr>
        <w:spacing w:after="120" w:line="360" w:lineRule="auto"/>
        <w:ind w:firstLine="440"/>
      </w:pPr>
      <w:r>
        <w:rPr>
          <w:rFonts w:ascii="宋体" w:hAnsi="宋体" w:eastAsia="宋体"/>
          <w:color w:val="1A202C"/>
          <w:sz w:val="22"/>
        </w:rPr>
        <w:t>三是激发群众参与活力。把群众的「金点子」转化为治理的「金钥匙」，真正实现人民城市人民建。</w:t>
      </w:r>
    </w:p>
    <w:p>
      <w:pPr>
        <w:spacing w:after="120" w:line="360" w:lineRule="auto"/>
        <w:ind w:firstLine="440"/>
      </w:pPr>
      <w:r>
        <w:rPr>
          <w:rFonts w:ascii="宋体" w:hAnsi="宋体" w:eastAsia="宋体"/>
          <w:color w:val="1A202C"/>
          <w:sz w:val="22"/>
        </w:rPr>
        <w:t>四是注重制度机制建设。形成可持续、可复制、可推广的制度安排，避免运动式治理。</w:t>
      </w:r>
    </w:p>
    <w:p>
      <w:pPr>
        <w:spacing w:after="120" w:line="360" w:lineRule="auto"/>
        <w:ind w:firstLine="440"/>
      </w:pPr>
      <w:r>
        <w:rPr>
          <w:rFonts w:ascii="宋体" w:hAnsi="宋体" w:eastAsia="宋体"/>
          <w:color w:val="1A202C"/>
          <w:sz w:val="22"/>
        </w:rPr>
        <w:t>（作者单位：[填]）</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