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40"/>
        <w:jc w:val="center"/>
      </w:pPr>
      <w:r>
        <w:rPr>
          <w:rFonts w:ascii="黑体" w:hAnsi="黑体" w:eastAsia="黑体"/>
          <w:b/>
          <w:color w:val="1E3A5F"/>
          <w:sz w:val="36"/>
        </w:rPr>
        <w:t>《高效能治理：理论与中国实践》专著大纲</w:t>
      </w:r>
    </w:p>
    <w:p>
      <w:pPr>
        <w:jc w:val="center"/>
      </w:pPr>
      <w:r>
        <w:rPr>
          <w:rFonts w:ascii="宋体" w:hAnsi="宋体" w:eastAsia="宋体"/>
          <w:color w:val="718096"/>
          <w:sz w:val="24"/>
        </w:rPr>
        <w:t>《High-Efficiency Governance: Theory and Chinese Practice》</w:t>
      </w:r>
    </w:p>
    <w:p>
      <w:pPr>
        <w:jc w:val="center"/>
      </w:pPr>
      <w:r>
        <w:rPr>
          <w:rFonts w:ascii="宋体" w:hAnsi="宋体" w:eastAsia="宋体"/>
          <w:color w:val="1A202C"/>
          <w:sz w:val="21"/>
        </w:rPr>
        <w:t>主编：[填]</w:t>
      </w:r>
    </w:p>
    <w:p>
      <w:pPr>
        <w:jc w:val="center"/>
      </w:pPr>
      <w:r>
        <w:rPr>
          <w:rFonts w:ascii="宋体" w:hAnsi="宋体" w:eastAsia="宋体"/>
          <w:color w:val="1A202C"/>
          <w:sz w:val="21"/>
        </w:rPr>
        <w:t>拟出版社：人民出版社 / 中国社会科学出版社</w:t>
      </w:r>
    </w:p>
    <w:p>
      <w:pPr>
        <w:jc w:val="center"/>
      </w:pPr>
      <w:r>
        <w:rPr>
          <w:rFonts w:ascii="宋体" w:hAnsi="宋体" w:eastAsia="宋体"/>
          <w:color w:val="1A202C"/>
          <w:sz w:val="21"/>
        </w:rPr>
        <w:t>预计字数：12 万字 · 全书 12 章</w:t>
      </w:r>
    </w:p>
    <w:p/>
    <w:p>
      <w:pPr>
        <w:spacing w:before="360" w:after="160"/>
      </w:pPr>
      <w:r>
        <w:rPr>
          <w:rFonts w:ascii="黑体" w:hAnsi="黑体" w:eastAsia="黑体"/>
          <w:b/>
          <w:color w:val="B8232F"/>
          <w:sz w:val="28"/>
        </w:rPr>
        <w:t xml:space="preserve">0  </w:t>
      </w:r>
      <w:r>
        <w:rPr>
          <w:rFonts w:ascii="黑体" w:hAnsi="黑体" w:eastAsia="黑体"/>
          <w:b/>
          <w:color w:val="1E3A5F"/>
          <w:sz w:val="28"/>
        </w:rPr>
        <w:t>概述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本书系统梳理了习近平总书记关于「高效能治理」的重要论述，结合 MIT En-ROADS 系统动力学方法、香港理工大学 ISUI 智慧城市指数，构建了完整的「理论-方法-实证-政策」框架，对推动中国式现代化的省域实践具有重要理论价值和实践意义。</w:t>
      </w:r>
    </w:p>
    <w:p>
      <w:pPr>
        <w:spacing w:before="360" w:after="160"/>
      </w:pPr>
      <w:r>
        <w:rPr>
          <w:rFonts w:ascii="黑体" w:hAnsi="黑体" w:eastAsia="黑体"/>
          <w:b/>
          <w:color w:val="B8232F"/>
          <w:sz w:val="28"/>
        </w:rPr>
        <w:t xml:space="preserve">一  </w:t>
      </w:r>
      <w:r>
        <w:rPr>
          <w:rFonts w:ascii="黑体" w:hAnsi="黑体" w:eastAsia="黑体"/>
          <w:b/>
          <w:color w:val="1E3A5F"/>
          <w:sz w:val="28"/>
        </w:rPr>
        <w:t>导论：高效能治理的命题缘起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第 1 章 · 引言（约 5,000 字）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1.1 「高效能治理」概念的提出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1.2 研究问题与价值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1.3 本书结构与方法论</w:t>
      </w:r>
    </w:p>
    <w:p>
      <w:pPr>
        <w:spacing w:before="360" w:after="160"/>
      </w:pPr>
      <w:r>
        <w:rPr>
          <w:rFonts w:ascii="黑体" w:hAnsi="黑体" w:eastAsia="黑体"/>
          <w:b/>
          <w:color w:val="B8232F"/>
          <w:sz w:val="28"/>
        </w:rPr>
        <w:t xml:space="preserve">二  </w:t>
      </w:r>
      <w:r>
        <w:rPr>
          <w:rFonts w:ascii="黑体" w:hAnsi="黑体" w:eastAsia="黑体"/>
          <w:b/>
          <w:color w:val="1E3A5F"/>
          <w:sz w:val="28"/>
        </w:rPr>
        <w:t>上篇：理论篇（4 章 · 约 4 万字）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第 2 章 · 习近平人民城市理念的理论谱系（约 1.2 万字）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 xml:space="preserve">  从「人民城市人民建为人民」到「现代化人民城市」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第 3 章 · 高效能治理的科学内涵（约 1 万字）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 xml:space="preserve">  4 维内涵 · 与高质量发展、高水平安全的关系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第 4 章 · 系统动力学治理方法论（约 1 万字）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 xml:space="preserve">  MIT En-ROADS 的启示 · 本土化改造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第 5 章 · ISUI 智慧城市指数体系（约 8,000 字）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 xml:space="preserve">  6 维框架 · 全球对标 · 与人民城市 6 目标对位</w:t>
      </w:r>
    </w:p>
    <w:p>
      <w:pPr>
        <w:spacing w:before="360" w:after="160"/>
      </w:pPr>
      <w:r>
        <w:rPr>
          <w:rFonts w:ascii="黑体" w:hAnsi="黑体" w:eastAsia="黑体"/>
          <w:b/>
          <w:color w:val="B8232F"/>
          <w:sz w:val="28"/>
        </w:rPr>
        <w:t xml:space="preserve">三  </w:t>
      </w:r>
      <w:r>
        <w:rPr>
          <w:rFonts w:ascii="黑体" w:hAnsi="黑体" w:eastAsia="黑体"/>
          <w:b/>
          <w:color w:val="1E3A5F"/>
          <w:sz w:val="28"/>
        </w:rPr>
        <w:t>中篇：实证篇（4 章 · 约 5 万字）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第 6 章 · 全球 10 城治理科技对标（约 1.2 万字）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 xml:space="preserve">  4 梯队 · 中国 7 城 + 国际 4 城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第 7 章 · 郑州「党建+网格+大数据」模式（约 1.5 万字）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 xml:space="preserve">  3,042 事项 · 10.7 万微网格 · AI 小郑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第 8 章 · 杭州「152+城市大脑3.0」模式（约 1.2 万字）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 xml:space="preserve">  整体智治+数字政府+三个一网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第 9 章 · 河南治理沙盘工具的设计与应用（约 1.1 万字）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 xml:space="preserve">  18 杠杆 · 4 反馈环 · 5/15/225 指标</w:t>
      </w:r>
    </w:p>
    <w:p>
      <w:pPr>
        <w:spacing w:before="360" w:after="160"/>
      </w:pPr>
      <w:r>
        <w:rPr>
          <w:rFonts w:ascii="黑体" w:hAnsi="黑体" w:eastAsia="黑体"/>
          <w:b/>
          <w:color w:val="B8232F"/>
          <w:sz w:val="28"/>
        </w:rPr>
        <w:t xml:space="preserve">四  </w:t>
      </w:r>
      <w:r>
        <w:rPr>
          <w:rFonts w:ascii="黑体" w:hAnsi="黑体" w:eastAsia="黑体"/>
          <w:b/>
          <w:color w:val="1E3A5F"/>
          <w:sz w:val="28"/>
        </w:rPr>
        <w:t>下篇：政策篇（3 章 · 约 2 万字）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第 10 章 · 中国式现代化的省域推进（约 7,000 字）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 xml:space="preserve">  以河南为例的方案设计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第 11 章 · 治理科技产业的发展前景（约 7,000 字）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 xml:space="preserve">  从工具到生态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第 12 章 · 结论与展望（约 6,000 字）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 xml:space="preserve">  理论贡献·政策含义·未来研究方向</w:t>
      </w:r>
    </w:p>
    <w:p>
      <w:pPr>
        <w:spacing w:before="360" w:after="160"/>
      </w:pPr>
      <w:r>
        <w:rPr>
          <w:rFonts w:ascii="黑体" w:hAnsi="黑体" w:eastAsia="黑体"/>
          <w:b/>
          <w:color w:val="B8232F"/>
          <w:sz w:val="28"/>
        </w:rPr>
        <w:t xml:space="preserve">五  </w:t>
      </w:r>
      <w:r>
        <w:rPr>
          <w:rFonts w:ascii="黑体" w:hAnsi="黑体" w:eastAsia="黑体"/>
          <w:b/>
          <w:color w:val="1E3A5F"/>
          <w:sz w:val="28"/>
        </w:rPr>
        <w:t>附录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附录 A：18 杠杆完整定义与计算公式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附录 B：ISUI 6 维评分表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附录 C：政策时间轴（2013-2026）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附录 D：参考文献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附录 E：术语对照表（中英对照）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附录 F：致谢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