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40"/>
        <w:jc w:val="center"/>
      </w:pPr>
      <w:r>
        <w:rPr>
          <w:rFonts w:ascii="黑体" w:hAnsi="黑体" w:eastAsia="黑体"/>
          <w:b/>
          <w:color w:val="1E3A5F"/>
          <w:sz w:val="36"/>
        </w:rPr>
        <w:t>以高效能治理推进河南治理体系和治理能力现代化</w:t>
      </w:r>
    </w:p>
    <w:p>
      <w:pPr>
        <w:jc w:val="center"/>
      </w:pPr>
      <w:r>
        <w:rPr>
          <w:rFonts w:ascii="宋体" w:hAnsi="宋体" w:eastAsia="宋体"/>
          <w:color w:val="718096"/>
          <w:sz w:val="24"/>
        </w:rPr>
        <w:t>—— 智库决策参考报告</w:t>
      </w:r>
    </w:p>
    <w:p>
      <w:pPr>
        <w:jc w:val="center"/>
      </w:pPr>
      <w:r>
        <w:rPr>
          <w:rFonts w:ascii="宋体" w:hAnsi="宋体" w:eastAsia="宋体"/>
          <w:color w:val="1A202C"/>
          <w:sz w:val="21"/>
        </w:rPr>
        <w:t>报送：国家行政学院 · 中央党校</w:t>
      </w:r>
    </w:p>
    <w:p>
      <w:pPr>
        <w:jc w:val="center"/>
      </w:pPr>
      <w:r>
        <w:rPr>
          <w:rFonts w:ascii="宋体" w:hAnsi="宋体" w:eastAsia="宋体"/>
          <w:color w:val="1A202C"/>
          <w:sz w:val="21"/>
        </w:rPr>
        <w:t>[作者] · HENAN-ROADS 研究团队</w:t>
      </w:r>
    </w:p>
    <w:p>
      <w:pPr>
        <w:jc w:val="center"/>
      </w:pPr>
      <w:r>
        <w:rPr>
          <w:rFonts w:ascii="宋体" w:hAnsi="宋体" w:eastAsia="宋体"/>
          <w:color w:val="1A202C"/>
          <w:sz w:val="21"/>
        </w:rPr>
        <w:t>2026 年 6 月</w:t>
      </w:r>
    </w:p>
    <w:p/>
    <w:p>
      <w:pPr>
        <w:spacing w:before="360" w:after="160"/>
      </w:pPr>
      <w:r>
        <w:rPr>
          <w:rFonts w:ascii="黑体" w:hAnsi="黑体" w:eastAsia="黑体"/>
          <w:b/>
          <w:color w:val="B8232F"/>
          <w:sz w:val="28"/>
        </w:rPr>
        <w:t xml:space="preserve">0  </w:t>
      </w:r>
      <w:r>
        <w:rPr>
          <w:rFonts w:ascii="黑体" w:hAnsi="黑体" w:eastAsia="黑体"/>
          <w:b/>
          <w:color w:val="1E3A5F"/>
          <w:sz w:val="28"/>
        </w:rPr>
        <w:t>执行摘要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color w:val="1A202C"/>
          <w:sz w:val="22"/>
        </w:rPr>
        <w:t>本报告基于习近平总书记 2025 年 5 月河南考察重要讲话精神，深入研究河南省推进高效能治理的现状、问题、对策。报告主要发现：（1）河南治理科技投入仍偏低，仅占全省财政 0.3%；（2）郑州模式具备复制基础，但「省级 1X2 工作体系」尚未建立；（3）建议在「十五五」规划中将「高效能治理工程」列为重点。</w:t>
      </w:r>
    </w:p>
    <w:p>
      <w:pPr>
        <w:spacing w:before="360" w:after="160"/>
      </w:pPr>
      <w:r>
        <w:rPr>
          <w:rFonts w:ascii="黑体" w:hAnsi="黑体" w:eastAsia="黑体"/>
          <w:b/>
          <w:color w:val="B8232F"/>
          <w:sz w:val="28"/>
        </w:rPr>
        <w:t xml:space="preserve">一  </w:t>
      </w:r>
      <w:r>
        <w:rPr>
          <w:rFonts w:ascii="黑体" w:hAnsi="黑体" w:eastAsia="黑体"/>
          <w:b/>
          <w:color w:val="1E3A5F"/>
          <w:sz w:val="28"/>
        </w:rPr>
        <w:t>现状评估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color w:val="1A202C"/>
          <w:sz w:val="22"/>
        </w:rPr>
        <w:t>经评估，河南治理科技整体水平与杭州/上海有 15 分差距：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757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1757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河南</w:t>
            </w:r>
          </w:p>
        </w:tc>
        <w:tc>
          <w:tcPr>
            <w:tcW w:type="dxa" w:w="1757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杭州</w:t>
            </w:r>
          </w:p>
        </w:tc>
        <w:tc>
          <w:tcPr>
            <w:tcW w:type="dxa" w:w="1757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上海</w:t>
            </w:r>
          </w:p>
        </w:tc>
        <w:tc>
          <w:tcPr>
            <w:tcW w:type="dxa" w:w="1757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差距</w:t>
            </w:r>
          </w:p>
        </w:tc>
      </w:tr>
      <w:tr>
        <w:tc>
          <w:tcPr>
            <w:tcW w:type="dxa" w:w="175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智慧基础设施</w:t>
            </w:r>
          </w:p>
        </w:tc>
        <w:tc>
          <w:tcPr>
            <w:tcW w:type="dxa" w:w="175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72</w:t>
            </w:r>
          </w:p>
        </w:tc>
        <w:tc>
          <w:tcPr>
            <w:tcW w:type="dxa" w:w="175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88</w:t>
            </w:r>
          </w:p>
        </w:tc>
        <w:tc>
          <w:tcPr>
            <w:tcW w:type="dxa" w:w="175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90</w:t>
            </w:r>
          </w:p>
        </w:tc>
        <w:tc>
          <w:tcPr>
            <w:tcW w:type="dxa" w:w="175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-16</w:t>
            </w:r>
          </w:p>
        </w:tc>
      </w:tr>
      <w:tr>
        <w:tc>
          <w:tcPr>
            <w:tcW w:type="dxa" w:w="175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智慧治理</w:t>
            </w:r>
          </w:p>
        </w:tc>
        <w:tc>
          <w:tcPr>
            <w:tcW w:type="dxa" w:w="175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78</w:t>
            </w:r>
          </w:p>
        </w:tc>
        <w:tc>
          <w:tcPr>
            <w:tcW w:type="dxa" w:w="175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92</w:t>
            </w:r>
          </w:p>
        </w:tc>
        <w:tc>
          <w:tcPr>
            <w:tcW w:type="dxa" w:w="175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89</w:t>
            </w:r>
          </w:p>
        </w:tc>
        <w:tc>
          <w:tcPr>
            <w:tcW w:type="dxa" w:w="175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-12</w:t>
            </w:r>
          </w:p>
        </w:tc>
      </w:tr>
      <w:tr>
        <w:tc>
          <w:tcPr>
            <w:tcW w:type="dxa" w:w="175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智慧经济</w:t>
            </w:r>
          </w:p>
        </w:tc>
        <w:tc>
          <w:tcPr>
            <w:tcW w:type="dxa" w:w="175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71</w:t>
            </w:r>
          </w:p>
        </w:tc>
        <w:tc>
          <w:tcPr>
            <w:tcW w:type="dxa" w:w="175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90</w:t>
            </w:r>
          </w:p>
        </w:tc>
        <w:tc>
          <w:tcPr>
            <w:tcW w:type="dxa" w:w="175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92</w:t>
            </w:r>
          </w:p>
        </w:tc>
        <w:tc>
          <w:tcPr>
            <w:tcW w:type="dxa" w:w="175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-19</w:t>
            </w:r>
          </w:p>
        </w:tc>
      </w:tr>
      <w:tr>
        <w:tc>
          <w:tcPr>
            <w:tcW w:type="dxa" w:w="175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智慧人民</w:t>
            </w:r>
          </w:p>
        </w:tc>
        <w:tc>
          <w:tcPr>
            <w:tcW w:type="dxa" w:w="175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68</w:t>
            </w:r>
          </w:p>
        </w:tc>
        <w:tc>
          <w:tcPr>
            <w:tcW w:type="dxa" w:w="175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83</w:t>
            </w:r>
          </w:p>
        </w:tc>
        <w:tc>
          <w:tcPr>
            <w:tcW w:type="dxa" w:w="175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85</w:t>
            </w:r>
          </w:p>
        </w:tc>
        <w:tc>
          <w:tcPr>
            <w:tcW w:type="dxa" w:w="175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-15</w:t>
            </w:r>
          </w:p>
        </w:tc>
      </w:tr>
      <w:tr>
        <w:tc>
          <w:tcPr>
            <w:tcW w:type="dxa" w:w="175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智慧环境</w:t>
            </w:r>
          </w:p>
        </w:tc>
        <w:tc>
          <w:tcPr>
            <w:tcW w:type="dxa" w:w="175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65</w:t>
            </w:r>
          </w:p>
        </w:tc>
        <w:tc>
          <w:tcPr>
            <w:tcW w:type="dxa" w:w="175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87</w:t>
            </w:r>
          </w:p>
        </w:tc>
        <w:tc>
          <w:tcPr>
            <w:tcW w:type="dxa" w:w="175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82</w:t>
            </w:r>
          </w:p>
        </w:tc>
        <w:tc>
          <w:tcPr>
            <w:tcW w:type="dxa" w:w="175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-17</w:t>
            </w:r>
          </w:p>
        </w:tc>
      </w:tr>
      <w:tr>
        <w:tc>
          <w:tcPr>
            <w:tcW w:type="dxa" w:w="175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智慧机动</w:t>
            </w:r>
          </w:p>
        </w:tc>
        <w:tc>
          <w:tcPr>
            <w:tcW w:type="dxa" w:w="175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74</w:t>
            </w:r>
          </w:p>
        </w:tc>
        <w:tc>
          <w:tcPr>
            <w:tcW w:type="dxa" w:w="175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89</w:t>
            </w:r>
          </w:p>
        </w:tc>
        <w:tc>
          <w:tcPr>
            <w:tcW w:type="dxa" w:w="175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91</w:t>
            </w:r>
          </w:p>
        </w:tc>
        <w:tc>
          <w:tcPr>
            <w:tcW w:type="dxa" w:w="175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-15</w:t>
            </w:r>
          </w:p>
        </w:tc>
      </w:tr>
      <w:tr>
        <w:tc>
          <w:tcPr>
            <w:tcW w:type="dxa" w:w="175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综合 ISUI</w:t>
            </w:r>
          </w:p>
        </w:tc>
        <w:tc>
          <w:tcPr>
            <w:tcW w:type="dxa" w:w="175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71.3</w:t>
            </w:r>
          </w:p>
        </w:tc>
        <w:tc>
          <w:tcPr>
            <w:tcW w:type="dxa" w:w="175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88.2</w:t>
            </w:r>
          </w:p>
        </w:tc>
        <w:tc>
          <w:tcPr>
            <w:tcW w:type="dxa" w:w="175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88.2</w:t>
            </w:r>
          </w:p>
        </w:tc>
        <w:tc>
          <w:tcPr>
            <w:tcW w:type="dxa" w:w="175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-16.9</w:t>
            </w:r>
          </w:p>
        </w:tc>
      </w:tr>
    </w:tbl>
    <w:p/>
    <w:p>
      <w:pPr>
        <w:spacing w:before="360" w:after="160"/>
      </w:pPr>
      <w:r>
        <w:rPr>
          <w:rFonts w:ascii="黑体" w:hAnsi="黑体" w:eastAsia="黑体"/>
          <w:b/>
          <w:color w:val="B8232F"/>
          <w:sz w:val="28"/>
        </w:rPr>
        <w:t xml:space="preserve">二  </w:t>
      </w:r>
      <w:r>
        <w:rPr>
          <w:rFonts w:ascii="黑体" w:hAnsi="黑体" w:eastAsia="黑体"/>
          <w:b/>
          <w:color w:val="1E3A5F"/>
          <w:sz w:val="28"/>
        </w:rPr>
        <w:t>主要问题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color w:val="1A202C"/>
          <w:sz w:val="22"/>
        </w:rPr>
        <w:t>（一）顶层设计缺位。河南尚未建立类似浙江「152」的省级数字化改革标准化体系。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color w:val="1A202C"/>
          <w:sz w:val="22"/>
        </w:rPr>
        <w:t>（二）城市大脑碎片化。各地市的城市大脑相互不通，无法跨域协同。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color w:val="1A202C"/>
          <w:sz w:val="22"/>
        </w:rPr>
        <w:t>（三）数据共享率偏低。跨部门数据共享率约 45%，远低于浙江 92%。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color w:val="1A202C"/>
          <w:sz w:val="22"/>
        </w:rPr>
        <w:t>（四）人才储备不足。专业数字治理人才不足全省财政供养人员的 0.8%。</w:t>
      </w:r>
    </w:p>
    <w:p>
      <w:pPr>
        <w:spacing w:before="360" w:after="160"/>
      </w:pPr>
      <w:r>
        <w:rPr>
          <w:rFonts w:ascii="黑体" w:hAnsi="黑体" w:eastAsia="黑体"/>
          <w:b/>
          <w:color w:val="B8232F"/>
          <w:sz w:val="28"/>
        </w:rPr>
        <w:t xml:space="preserve">三  </w:t>
      </w:r>
      <w:r>
        <w:rPr>
          <w:rFonts w:ascii="黑体" w:hAnsi="黑体" w:eastAsia="黑体"/>
          <w:b/>
          <w:color w:val="1E3A5F"/>
          <w:sz w:val="28"/>
        </w:rPr>
        <w:t>对策建议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color w:val="1A202C"/>
          <w:sz w:val="22"/>
        </w:rPr>
        <w:t>建议一：建立「河南 1X2 工作体系」。1 个省级公共数据平台 + X 个领域应用 + 2 项规范（理论框架+制度规范）。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color w:val="1A202C"/>
          <w:sz w:val="22"/>
        </w:rPr>
        <w:t>建议二：推动「城市大脑省域协同」。建立省级城市大脑联盟，统一数据接口标准。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color w:val="1A202C"/>
          <w:sz w:val="22"/>
        </w:rPr>
        <w:t>建议三：实施「政务数据共享攻坚行动」。3 年内将数据共享率提升到 80% 以上。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color w:val="1A202C"/>
          <w:sz w:val="22"/>
        </w:rPr>
        <w:t>建议四：实施「治理数字人才千人计划」。3 年内培养 1,000 名复合型治理数字人才。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color w:val="1A202C"/>
          <w:sz w:val="22"/>
        </w:rPr>
        <w:t>建议五：将「高效能治理工程」列入「十五五」规划。5 年总投入约 200 亿元（占全省财政 1% 左右）。</w:t>
      </w:r>
    </w:p>
    <w:p>
      <w:pPr>
        <w:spacing w:before="360" w:after="160"/>
      </w:pPr>
      <w:r>
        <w:rPr>
          <w:rFonts w:ascii="黑体" w:hAnsi="黑体" w:eastAsia="黑体"/>
          <w:b/>
          <w:color w:val="B8232F"/>
          <w:sz w:val="28"/>
        </w:rPr>
        <w:t xml:space="preserve">四  </w:t>
      </w:r>
      <w:r>
        <w:rPr>
          <w:rFonts w:ascii="黑体" w:hAnsi="黑体" w:eastAsia="黑体"/>
          <w:b/>
          <w:color w:val="1E3A5F"/>
          <w:sz w:val="28"/>
        </w:rPr>
        <w:t>实施保障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color w:val="1A202C"/>
          <w:sz w:val="22"/>
        </w:rPr>
        <w:t>（一）组织保障：成立省委「高效能治理工作领导小组」，省委书记任组长。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color w:val="1A202C"/>
          <w:sz w:val="22"/>
        </w:rPr>
        <w:t>（二）资金保障：省财政每年安排 30 亿元专项预算，市县按 1:1 配套。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color w:val="1A202C"/>
          <w:sz w:val="22"/>
        </w:rPr>
        <w:t>（三）人才保障：与港理工、清华公管学院、国家行政学院合作建立人才培养机制。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color w:val="1A202C"/>
          <w:sz w:val="22"/>
        </w:rPr>
        <w:t>（四）评估保障：建立年度「河南治理水平评估蓝皮书」制度。</w:t>
      </w:r>
    </w:p>
    <w:p>
      <w:pPr>
        <w:spacing w:before="360" w:after="160"/>
      </w:pPr>
      <w:r>
        <w:rPr>
          <w:rFonts w:ascii="黑体" w:hAnsi="黑体" w:eastAsia="黑体"/>
          <w:b/>
          <w:color w:val="B8232F"/>
          <w:sz w:val="28"/>
        </w:rPr>
        <w:t xml:space="preserve">五  </w:t>
      </w:r>
      <w:r>
        <w:rPr>
          <w:rFonts w:ascii="黑体" w:hAnsi="黑体" w:eastAsia="黑体"/>
          <w:b/>
          <w:color w:val="1E3A5F"/>
          <w:sz w:val="28"/>
        </w:rPr>
        <w:t>预期成效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color w:val="1A202C"/>
          <w:sz w:val="22"/>
        </w:rPr>
        <w:t>通过 5 年努力，河南治理水平有望从全国第 15 位提升至第 5-8 位，ISUI 综合指数从 71.3 提升至 82-85，与杭州/上海差距缩小到 5 分以内。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