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ageBreakBefore/>
      </w:pPr>
      <w:r>
        <w:t xml:space="preserve"/>
      </w:r>
    </w:p>
    <w:p>
      <w:pPr>
        <w:spacing w:after="240" w:before="1440"/>
        <w:jc w:val="center"/>
      </w:pPr>
      <w:r>
        <w:rPr>
          <w:b/>
          <w:bCs/>
          <w:sz w:val="72"/>
          <w:szCs w:val="72"/>
        </w:rPr>
        <w:t xml:space="preserve">Park-ROADS</w:t>
      </w:r>
    </w:p>
    <w:p>
      <w:pPr>
        <w:spacing w:after="120"/>
        <w:jc w:val="center"/>
      </w:pPr>
      <w:r>
        <w:rPr>
          <w:sz w:val="48"/>
          <w:szCs w:val="48"/>
        </w:rPr>
        <w:t xml:space="preserve">产业园数字化转型平台</w:t>
      </w:r>
    </w:p>
    <w:p>
      <w:pPr>
        <w:spacing w:after="600"/>
        <w:jc w:val="center"/>
      </w:pPr>
      <w:r>
        <w:rPr>
          <w:sz w:val="32"/>
          <w:szCs w:val="32"/>
        </w:rPr>
        <w:t xml:space="preserve">Digital Park Transformation Platform</w:t>
      </w:r>
    </w:p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商业计划书 / Business Plan</w:t>
      </w:r>
    </w:p>
    <w:p>
      <w:pPr>
        <w:spacing w:after="1200"/>
        <w:jc w:val="center"/>
      </w:pPr>
      <w:r>
        <w:rPr>
          <w:sz w:val="24"/>
          <w:szCs w:val="24"/>
        </w:rPr>
        <w:t xml:space="preserve">版本 v1.0 | Version v1.0</w:t>
      </w:r>
    </w:p>
    <w:p>
      <w:pPr>
        <w:spacing w:after="240"/>
        <w:jc w:val="center"/>
      </w:pPr>
      <w:r>
        <w:rPr>
          <w:sz w:val="24"/>
          <w:szCs w:val="24"/>
        </w:rPr>
        <w:t xml:space="preserve">2026 年 5 月 / May 2026</w:t>
      </w:r>
    </w:p>
    <w:p>
      <w:pPr>
        <w:spacing w:after="120" w:before="600"/>
        <w:jc w:val="center"/>
      </w:pPr>
      <w:r>
        <w:rPr>
          <w:b/>
          <w:bCs/>
          <w:sz w:val="20"/>
          <w:szCs w:val="20"/>
        </w:rPr>
        <w:t xml:space="preserve">创始人 / Founder: 戴继涛博士</w:t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</w:rPr>
        <w:t xml:space="preserve">目录 / Table of Contents</w:t>
      </w:r>
    </w:p>
    <w:sdt>
      <w:sdtPr/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</w:rPr>
        <w:t xml:space="preserve">1. 执行摘要 / Executive Summary</w:t>
      </w:r>
    </w:p>
    <w:p>
      <w:pPr>
        <w:spacing w:after="120" w:before="0"/>
      </w:pPr>
      <w:r>
        <w:t xml:space="preserve">Park-ROADS 是基于戴继涛博士 DBA 论文研究的产业园数字化转型平台。整合系统动力学、层次分析法(AHP)和多主体需求理论，为传统商业园区提供"操作系统级"解决方案。</w:t>
      </w:r>
    </w:p>
    <w:p>
      <w:pPr>
        <w:pStyle w:val="Heading2"/>
        <w:spacing w:after="120" w:before="240"/>
      </w:pPr>
      <w:r>
        <w:rPr>
          <w:b/>
          <w:bCs/>
        </w:rPr>
        <w:t xml:space="preserve">一句话定位</w:t>
      </w:r>
    </w:p>
    <w:p>
      <w:pPr>
        <w:spacing w:after="120" w:before="0"/>
      </w:pPr>
      <w:r>
        <w:t xml:space="preserve">把每一个传统产业园改造成一台可计量、可投资、可证券化的数字资产。</w:t>
      </w:r>
    </w:p>
    <w:p>
      <w:pPr>
        <w:pStyle w:val="Heading2"/>
        <w:spacing w:after="120" w:before="240"/>
      </w:pPr>
      <w:r>
        <w:rPr>
          <w:b/>
          <w:bCs/>
        </w:rPr>
        <w:t xml:space="preserve">核心数据</w:t>
      </w:r>
    </w:p>
    <w:p>
      <w:pPr>
        <w:pStyle w:val="ListParagraph"/>
        <w:numPr>
          <w:ilvl w:val="0"/>
          <w:numId w:val="2"/>
        </w:numPr>
      </w:pPr>
      <w:r>
        <w:t xml:space="preserve">中国园区总数：1.5 万+ 家 | 老旧园区：62%</w:t>
      </w:r>
    </w:p>
    <w:p>
      <w:pPr>
        <w:pStyle w:val="ListParagraph"/>
        <w:numPr>
          <w:ilvl w:val="0"/>
          <w:numId w:val="2"/>
        </w:numPr>
      </w:pPr>
      <w:r>
        <w:t xml:space="preserve">DTSI 权重 CR = 0.0283（远低于 0.10 阈值）</w:t>
      </w:r>
    </w:p>
    <w:p>
      <w:pPr>
        <w:pStyle w:val="ListParagraph"/>
        <w:numPr>
          <w:ilvl w:val="0"/>
          <w:numId w:val="2"/>
        </w:numPr>
      </w:pPr>
      <w:r>
        <w:t xml:space="preserve">5 园区 3 年实证：平均涨幅 +13.4 分（+21.6%）</w:t>
      </w:r>
    </w:p>
    <w:p>
      <w:pPr>
        <w:pStyle w:val="ListParagraph"/>
        <w:numPr>
          <w:ilvl w:val="0"/>
          <w:numId w:val="2"/>
        </w:numPr>
      </w:pPr>
      <w:r>
        <w:t xml:space="preserve">园区 C 主案例：M0=40.1 → M36=55.3（+15.2 分）</w:t>
      </w:r>
    </w:p>
    <w:p>
      <w:pPr>
        <w:pStyle w:val="Heading2"/>
        <w:spacing w:after="120" w:before="240"/>
      </w:pPr>
      <w:r>
        <w:rPr>
          <w:b/>
          <w:bCs/>
        </w:rPr>
        <w:t xml:space="preserve">融资需求</w:t>
      </w:r>
    </w:p>
    <w:p>
      <w:pPr>
        <w:spacing w:after="120" w:before="0"/>
      </w:pPr>
      <w:r>
        <w:t xml:space="preserve">A 轮：5,000 万 | 投前：3-4 亿 | 投后：4-5 亿</w:t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</w:rPr>
        <w:t xml:space="preserve">2. 公司与创始人 / Company &amp; Founder</w:t>
      </w:r>
    </w:p>
    <w:p>
      <w:pPr>
        <w:spacing w:after="120" w:before="0"/>
      </w:pPr>
      <w:r>
        <w:t xml:space="preserve">以太能控股为主体，联动极智中国、太能电气、荥阳产业园，形成"园区+平台+基金+生态"四引擎模式。</w:t>
      </w:r>
    </w:p>
    <w:p>
      <w:pPr>
        <w:pStyle w:val="Heading2"/>
        <w:spacing w:after="120" w:before="240"/>
      </w:pPr>
      <w:r>
        <w:rPr>
          <w:b/>
          <w:bCs/>
        </w:rPr>
        <w:t xml:space="preserve">核心团队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3388"/>
        <w:gridCol w:w="3388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角色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姓名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背景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CEO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岭南大学 DBA；太能控股董事长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学术顾问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尚蔚鑫教授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岭南大学博导；OpenX@X 设计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技术顾问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李红军教授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郑州大学；系统动力学专家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</w:rPr>
        <w:t xml:space="preserve">3. 行业问题与机会 / Problem &amp; Opportunity</w:t>
      </w:r>
    </w:p>
    <w:p>
      <w:pPr>
        <w:pStyle w:val="Heading2"/>
        <w:spacing w:after="120" w:before="240"/>
      </w:pPr>
      <w:r>
        <w:rPr>
          <w:b/>
          <w:bCs/>
        </w:rPr>
        <w:t xml:space="preserve">四大困境</w:t>
      </w:r>
    </w:p>
    <w:p>
      <w:pPr>
        <w:pStyle w:val="ListParagraph"/>
        <w:numPr>
          <w:ilvl w:val="0"/>
          <w:numId w:val="2"/>
        </w:numPr>
      </w:pPr>
      <w:r>
        <w:t xml:space="preserve">招商难：数据失真，无科学决策工具</w:t>
      </w:r>
    </w:p>
    <w:p>
      <w:pPr>
        <w:pStyle w:val="ListParagraph"/>
        <w:numPr>
          <w:ilvl w:val="0"/>
          <w:numId w:val="2"/>
        </w:numPr>
      </w:pPr>
      <w:r>
        <w:t xml:space="preserve">运营难：管理碎片化，多主体协同缺失</w:t>
      </w:r>
    </w:p>
    <w:p>
      <w:pPr>
        <w:pStyle w:val="ListParagraph"/>
        <w:numPr>
          <w:ilvl w:val="0"/>
          <w:numId w:val="2"/>
        </w:numPr>
      </w:pPr>
      <w:r>
        <w:t xml:space="preserve">数据难：孤岛化，无统一指数评估</w:t>
      </w:r>
    </w:p>
    <w:p>
      <w:pPr>
        <w:pStyle w:val="ListParagraph"/>
        <w:numPr>
          <w:ilvl w:val="0"/>
          <w:numId w:val="2"/>
        </w:numPr>
      </w:pPr>
      <w:r>
        <w:t xml:space="preserve">融资难：资产不清晰，证券化困难</w:t>
      </w:r>
    </w:p>
    <w:p>
      <w:pPr>
        <w:pStyle w:val="Heading2"/>
        <w:spacing w:after="120" w:before="240"/>
      </w:pPr>
      <w:r>
        <w:rPr>
          <w:b/>
          <w:bCs/>
        </w:rPr>
        <w:t xml:space="preserve">TAM 测算</w:t>
      </w:r>
    </w:p>
    <w:p>
      <w:pPr>
        <w:pStyle w:val="ListParagraph"/>
        <w:numPr>
          <w:ilvl w:val="0"/>
          <w:numId w:val="2"/>
        </w:numPr>
      </w:pPr>
      <w:r>
        <w:t xml:space="preserve">政府/园区 SaaS：300-500 亿元/年</w:t>
      </w:r>
    </w:p>
    <w:p>
      <w:pPr>
        <w:pStyle w:val="ListParagraph"/>
        <w:numPr>
          <w:ilvl w:val="0"/>
          <w:numId w:val="2"/>
        </w:numPr>
      </w:pPr>
      <w:r>
        <w:t xml:space="preserve">咨询服务：200-300 亿元/年</w:t>
      </w:r>
    </w:p>
    <w:p>
      <w:pPr>
        <w:pStyle w:val="ListParagraph"/>
        <w:numPr>
          <w:ilvl w:val="0"/>
          <w:numId w:val="2"/>
        </w:numPr>
      </w:pPr>
      <w:r>
        <w:t xml:space="preserve">基金与证券化：1,000+ 亿元（REITs 潜力）</w:t>
      </w:r>
    </w:p>
    <w:p>
      <w:pPr>
        <w:pStyle w:val="ListParagraph"/>
        <w:numPr>
          <w:ilvl w:val="0"/>
          <w:numId w:val="2"/>
        </w:numPr>
      </w:pPr>
      <w:r>
        <w:t xml:space="preserve">总 TAM：≥1,500 亿元</w:t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</w:rPr>
        <w:t xml:space="preserve">4. 学术基础与方法论 / Academic Foundation</w:t>
      </w:r>
    </w:p>
    <w:p>
      <w:pPr>
        <w:pStyle w:val="Heading2"/>
        <w:spacing w:after="120" w:before="240"/>
      </w:pPr>
      <w:r>
        <w:rPr>
          <w:b/>
          <w:bCs/>
        </w:rPr>
        <w:t xml:space="preserve">三大理论支柱</w:t>
      </w:r>
    </w:p>
    <w:p>
      <w:pPr>
        <w:spacing w:after="120" w:before="0"/>
      </w:pPr>
      <w:r>
        <w:t xml:space="preserve">① 系统动力学 — 模拟政策干预效果</w:t>
      </w:r>
    </w:p>
    <w:p>
      <w:pPr>
        <w:spacing w:after="120" w:before="0"/>
      </w:pPr>
      <w:r>
        <w:t xml:space="preserve">② 层次分析法(AHP) — 科学权重七维指标</w:t>
      </w:r>
    </w:p>
    <w:p>
      <w:pPr>
        <w:spacing w:after="120" w:before="0"/>
      </w:pPr>
      <w:r>
        <w:t xml:space="preserve">③ 多主体需求理论 — 对接技术/资金/人才</w:t>
      </w:r>
    </w:p>
    <w:p>
      <w:pPr>
        <w:pStyle w:val="Heading2"/>
        <w:spacing w:after="120" w:before="240"/>
      </w:pPr>
      <w:r>
        <w:rPr>
          <w:b/>
          <w:bCs/>
        </w:rPr>
        <w:t xml:space="preserve">AHP 权重体系</w:t>
      </w:r>
    </w:p>
    <w:p>
      <w:pPr>
        <w:spacing w:after="120" w:before="0"/>
      </w:pPr>
      <w:r>
        <w:t xml:space="preserve">DTSI = 0.257×政府 + 0.187×资产 + 0.143×运营 + 0.120×企业 + 0.110×科研 + 0.093×人才 + 0.090×居民</w:t>
      </w:r>
    </w:p>
    <w:p>
      <w:pPr>
        <w:spacing w:after="120" w:before="0"/>
      </w:pPr>
      <w:r>
        <w:t xml:space="preserve">一致性检验：CR = 0.0283（&lt;0.10 阈值）✓</w:t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</w:rPr>
        <w:t xml:space="preserve">5. 产品与平台 / Product Architecture</w:t>
      </w:r>
    </w:p>
    <w:p>
      <w:pPr>
        <w:pStyle w:val="Heading2"/>
        <w:spacing w:after="120" w:before="240"/>
      </w:pPr>
      <w:r>
        <w:rPr>
          <w:b/>
          <w:bCs/>
        </w:rPr>
        <w:t xml:space="preserve">Park-ROADS v1.9 现状</w:t>
      </w:r>
    </w:p>
    <w:p>
      <w:pPr>
        <w:pStyle w:val="ListParagraph"/>
        <w:numPr>
          <w:ilvl w:val="0"/>
          <w:numId w:val="2"/>
        </w:numPr>
      </w:pPr>
      <w:r>
        <w:t xml:space="preserve">35 个滑杆（35 个二级指标）</w:t>
      </w:r>
    </w:p>
    <w:p>
      <w:pPr>
        <w:pStyle w:val="ListParagraph"/>
        <w:numPr>
          <w:ilvl w:val="0"/>
          <w:numId w:val="2"/>
        </w:numPr>
      </w:pPr>
      <w:r>
        <w:t xml:space="preserve">7 个主体配置（政/资/运/企/科/才/社）</w:t>
      </w:r>
    </w:p>
    <w:p>
      <w:pPr>
        <w:pStyle w:val="ListParagraph"/>
        <w:numPr>
          <w:ilvl w:val="0"/>
          <w:numId w:val="2"/>
        </w:numPr>
      </w:pPr>
      <w:r>
        <w:t xml:space="preserve">AI 诊断 + 论文拆解 + 9 个核心模块</w:t>
      </w:r>
    </w:p>
    <w:p>
      <w:pPr>
        <w:pStyle w:val="Heading2"/>
        <w:spacing w:after="120" w:before="240"/>
      </w:pPr>
      <w:r>
        <w:rPr>
          <w:b/>
          <w:bCs/>
        </w:rPr>
        <w:t xml:space="preserve">三大产品线</w:t>
      </w:r>
    </w:p>
    <w:p>
      <w:pPr>
        <w:spacing w:after="120" w:before="0"/>
      </w:pPr>
      <w:r>
        <w:t xml:space="preserve">toG 政府版 | toB 园区版 | toC 资本版</w:t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</w:rPr>
        <w:t xml:space="preserve">6. DTSI 指数与 7 主体协同 / DTSI Index</w:t>
      </w:r>
    </w:p>
    <w:p>
      <w:pPr>
        <w:pStyle w:val="Heading2"/>
        <w:spacing w:after="120" w:before="240"/>
      </w:pPr>
      <w:r>
        <w:rPr>
          <w:b/>
          <w:bCs/>
        </w:rPr>
        <w:t xml:space="preserve">5 园区 3 年实证</w:t>
      </w:r>
    </w:p>
    <w:p>
      <w:pPr>
        <w:pStyle w:val="ListParagraph"/>
        <w:numPr>
          <w:ilvl w:val="0"/>
          <w:numId w:val="2"/>
        </w:numPr>
      </w:pPr>
      <w:r>
        <w:t xml:space="preserve">园区 A：62.1 → 78.5 (+16.4 分，26.4%)</w:t>
      </w:r>
    </w:p>
    <w:p>
      <w:pPr>
        <w:pStyle w:val="ListParagraph"/>
        <w:numPr>
          <w:ilvl w:val="0"/>
          <w:numId w:val="2"/>
        </w:numPr>
      </w:pPr>
      <w:r>
        <w:t xml:space="preserve">园区 B：65.4 → 76.2 (+10.8 分，16.5%)</w:t>
      </w:r>
    </w:p>
    <w:p>
      <w:pPr>
        <w:pStyle w:val="ListParagraph"/>
        <w:numPr>
          <w:ilvl w:val="0"/>
          <w:numId w:val="2"/>
        </w:numPr>
      </w:pPr>
      <w:r>
        <w:t xml:space="preserve">园区 C：40.1 → 55.3 (+15.2 分，37.9%)</w:t>
      </w:r>
    </w:p>
    <w:p>
      <w:pPr>
        <w:pStyle w:val="ListParagraph"/>
        <w:numPr>
          <w:ilvl w:val="0"/>
          <w:numId w:val="2"/>
        </w:numPr>
      </w:pPr>
      <w:r>
        <w:t xml:space="preserve">园区 D：60.9 → 74.1 (+13.2 分，21.7%)</w:t>
      </w:r>
    </w:p>
    <w:p>
      <w:pPr>
        <w:pStyle w:val="ListParagraph"/>
        <w:numPr>
          <w:ilvl w:val="0"/>
          <w:numId w:val="2"/>
        </w:numPr>
      </w:pPr>
      <w:r>
        <w:t xml:space="preserve">园区 E：58.3 → 71.0 (+12.7 分，21.8%)</w:t>
      </w:r>
    </w:p>
    <w:p>
      <w:pPr>
        <w:spacing w:after="120" w:before="0"/>
      </w:pPr>
      <w:r>
        <w:t xml:space="preserve">平均涨幅：+13.4 分 / 平均增长：+21.6%</w:t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</w:rPr>
        <w:t xml:space="preserve">7. 市场分析 / Market Analysis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3"/>
        <w:gridCol w:w="3013"/>
        <w:gridCol w:w="3000"/>
      </w:tblGrid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指标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规模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备注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TAM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1,500+ 亿/年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全球≥1万园区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500-800 亿/年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中国 1.5 万园区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SOM（3 年）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30-50 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300-500 园区客户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</w:rPr>
        <w:t xml:space="preserve">8. 商业模式 / Business Model</w:t>
      </w:r>
    </w:p>
    <w:p>
      <w:pPr>
        <w:pStyle w:val="Heading2"/>
        <w:spacing w:after="120" w:before="240"/>
      </w:pPr>
      <w:r>
        <w:rPr>
          <w:b/>
          <w:bCs/>
        </w:rPr>
        <w:t xml:space="preserve">SaaS 定价（3 档）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76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版本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定价/年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目标客户</w:t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预期市场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Gov 版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50-200 万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省级政府</w:t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31 省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Park 版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5-30 万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园区运营方</w:t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500+ 园区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Capital 版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80-150 万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基金/REITs</w:t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50+ 机构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咨询服务：100-500 万/单</w:t>
      </w:r>
    </w:p>
    <w:p>
      <w:pPr>
        <w:pStyle w:val="ListParagraph"/>
        <w:numPr>
          <w:ilvl w:val="0"/>
          <w:numId w:val="2"/>
        </w:numPr>
      </w:pPr>
      <w:r>
        <w:t xml:space="preserve">工作坊：5-15 万/场</w:t>
      </w:r>
    </w:p>
    <w:p>
      <w:pPr>
        <w:pStyle w:val="ListParagraph"/>
        <w:numPr>
          <w:ilvl w:val="0"/>
          <w:numId w:val="2"/>
        </w:numPr>
      </w:pPr>
      <w:r>
        <w:t xml:space="preserve">数据增值：1,000-3,000/人</w:t>
      </w:r>
    </w:p>
    <w:p>
      <w:pPr>
        <w:pStyle w:val="ListParagraph"/>
        <w:numPr>
          <w:ilvl w:val="0"/>
          <w:numId w:val="2"/>
        </w:numPr>
      </w:pPr>
      <w:r>
        <w:t xml:space="preserve">学术认证：1,500-3,000/人</w:t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</w:rPr>
        <w:t xml:space="preserve">9. 进入市场策略 / GTM Strategy</w:t>
      </w:r>
    </w:p>
    <w:p>
      <w:pPr>
        <w:pStyle w:val="Heading2"/>
        <w:spacing w:after="120" w:before="240"/>
      </w:pPr>
      <w:r>
        <w:rPr>
          <w:b/>
          <w:bCs/>
        </w:rPr>
        <w:t xml:space="preserve">4 阶段 36 月</w:t>
      </w:r>
    </w:p>
    <w:p>
      <w:pPr>
        <w:pStyle w:val="ListParagraph"/>
        <w:numPr>
          <w:ilvl w:val="0"/>
          <w:numId w:val="2"/>
        </w:numPr>
      </w:pPr>
      <w:r>
        <w:t xml:space="preserve">Phase 1（M1-9）：灯塔工程 + 学术背书</w:t>
      </w:r>
    </w:p>
    <w:p>
      <w:pPr>
        <w:pStyle w:val="ListParagraph"/>
        <w:numPr>
          <w:ilvl w:val="0"/>
          <w:numId w:val="2"/>
        </w:numPr>
      </w:pPr>
      <w:r>
        <w:t xml:space="preserve">Phase 2（M10-18）：政府背书 + 首批订阅</w:t>
      </w:r>
    </w:p>
    <w:p>
      <w:pPr>
        <w:pStyle w:val="ListParagraph"/>
        <w:numPr>
          <w:ilvl w:val="0"/>
          <w:numId w:val="2"/>
        </w:numPr>
      </w:pPr>
      <w:r>
        <w:t xml:space="preserve">Phase 3（M19-27）：头部园区扩张 + 基金募集</w:t>
      </w:r>
    </w:p>
    <w:p>
      <w:pPr>
        <w:pStyle w:val="ListParagraph"/>
        <w:numPr>
          <w:ilvl w:val="0"/>
          <w:numId w:val="2"/>
        </w:numPr>
      </w:pPr>
      <w:r>
        <w:t xml:space="preserve">Phase 4（M28-36）：全国覆盖 + 资本化</w:t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</w:rPr>
        <w:t xml:space="preserve">10. 竞争分析 / Competitive Landscape</w:t>
      </w:r>
    </w:p>
    <w:p>
      <w:pPr>
        <w:pStyle w:val="Heading2"/>
        <w:spacing w:after="120" w:before="240"/>
      </w:pPr>
      <w:r>
        <w:rPr>
          <w:b/>
          <w:bCs/>
        </w:rPr>
        <w:t xml:space="preserve">差异化优势</w:t>
      </w:r>
    </w:p>
    <w:p>
      <w:pPr>
        <w:pStyle w:val="ListParagraph"/>
        <w:numPr>
          <w:ilvl w:val="0"/>
          <w:numId w:val="2"/>
        </w:numPr>
      </w:pPr>
      <w:r>
        <w:t xml:space="preserve">学术深度：DBA 论文支撑 + AHP 权重学），</w:t>
      </w:r>
    </w:p>
    <w:p>
      <w:pPr>
        <w:pStyle w:val="ListParagraph"/>
        <w:numPr>
          <w:ilvl w:val="0"/>
          <w:numId w:val="2"/>
        </w:numPr>
      </w:pPr>
      <w:r>
        <w:t xml:space="preserve">政策工具：系统动力学沙盘 + 多主体需求匹配</w:t>
      </w:r>
    </w:p>
    <w:p>
      <w:pPr>
        <w:pStyle w:val="ListParagraph"/>
        <w:numPr>
          <w:ilvl w:val="0"/>
          <w:numId w:val="2"/>
        </w:numPr>
      </w:pPr>
      <w:r>
        <w:t xml:space="preserve">本土优势：荥阳实证数据 + 河南政府背书</w:t>
      </w:r>
    </w:p>
    <w:p>
      <w:pPr>
        <w:pStyle w:val="ListParagraph"/>
        <w:numPr>
          <w:ilvl w:val="0"/>
          <w:numId w:val="2"/>
        </w:numPr>
      </w:pPr>
      <w:r>
        <w:t xml:space="preserve">生态开放：SaaS + 咨询 + 基金 + 教育四引擎</w:t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</w:rPr>
        <w:t xml:space="preserve">11. 团队与组织 / Team</w:t>
      </w:r>
    </w:p>
    <w:p>
      <w:pPr>
        <w:pStyle w:val="Heading2"/>
        <w:spacing w:after="120" w:before="240"/>
      </w:pPr>
      <w:r>
        <w:rPr>
          <w:b/>
          <w:bCs/>
        </w:rPr>
        <w:t xml:space="preserve">18 个月招聘计划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76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岗位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总数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M1-6</w:t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M7-18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产品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工程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销售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</w:rPr>
        <w:t xml:space="preserve">12. 已有进展 / Traction</w:t>
      </w:r>
    </w:p>
    <w:p>
      <w:pPr>
        <w:pStyle w:val="ListParagraph"/>
        <w:numPr>
          <w:ilvl w:val="0"/>
          <w:numId w:val="2"/>
        </w:numPr>
      </w:pPr>
      <w:r>
        <w:t xml:space="preserve">论文：岭南大学 DBA 答辩通过（2026-03）</w:t>
      </w:r>
    </w:p>
    <w:p>
      <w:pPr>
        <w:pStyle w:val="ListParagraph"/>
        <w:numPr>
          <w:ilvl w:val="0"/>
          <w:numId w:val="2"/>
        </w:numPr>
      </w:pPr>
      <w:r>
        <w:t xml:space="preserve">网站：Park-ROADS v1.9 完成（105 KB，35 滑杆，10 问卷）</w:t>
      </w:r>
    </w:p>
    <w:p>
      <w:pPr>
        <w:pStyle w:val="ListParagraph"/>
        <w:numPr>
          <w:ilvl w:val="0"/>
          <w:numId w:val="2"/>
        </w:numPr>
      </w:pPr>
      <w:r>
        <w:t xml:space="preserve">数据：5 园区 3 年实证，平均涨幅 +13.4 分</w:t>
      </w:r>
    </w:p>
    <w:p>
      <w:pPr>
        <w:pStyle w:val="ListParagraph"/>
        <w:numPr>
          <w:ilvl w:val="0"/>
          <w:numId w:val="2"/>
        </w:numPr>
      </w:pPr>
      <w:r>
        <w:t xml:space="preserve">工具：麦肯锡式 BM、Pitch Deck、商业模式深度设计</w:t>
      </w:r>
    </w:p>
    <w:p>
      <w:pPr>
        <w:pStyle w:val="ListParagraph"/>
        <w:numPr>
          <w:ilvl w:val="0"/>
          <w:numId w:val="2"/>
        </w:numPr>
      </w:pPr>
      <w:r>
        <w:t xml:space="preserve">生态：清华 EMBA、郑州大学、华为/商汤合作已启动</w:t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</w:rPr>
        <w:t xml:space="preserve">13. 产品路线图 / Product Roadmap</w:t>
      </w:r>
    </w:p>
    <w:p>
      <w:pPr>
        <w:pStyle w:val="ListParagraph"/>
        <w:numPr>
          <w:ilvl w:val="0"/>
          <w:numId w:val="2"/>
        </w:numPr>
      </w:pPr>
      <w:r>
        <w:t xml:space="preserve">v1.9（已发布）：核心指数 + 沙盘 + 问卷</w:t>
      </w:r>
    </w:p>
    <w:p>
      <w:pPr>
        <w:pStyle w:val="ListParagraph"/>
        <w:numPr>
          <w:ilvl w:val="0"/>
          <w:numId w:val="2"/>
        </w:numPr>
      </w:pPr>
      <w:r>
        <w:t xml:space="preserve">v2.0（Q3 2026）：API 开放 + 数字孪生 + CRM 集成</w:t>
      </w:r>
    </w:p>
    <w:p>
      <w:pPr>
        <w:pStyle w:val="ListParagraph"/>
        <w:numPr>
          <w:ilvl w:val="0"/>
          <w:numId w:val="2"/>
        </w:numPr>
      </w:pPr>
      <w:r>
        <w:t xml:space="preserve">v3.0（Q1 2027）：AI 引擎 + REITs API + 多租户 SaaS</w:t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</w:rPr>
        <w:t xml:space="preserve">14. 财务预测 / Financial Projections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2"/>
        <w:gridCol w:w="1802"/>
        <w:gridCol w:w="1802"/>
        <w:gridCol w:w="1802"/>
        <w:gridCol w:w="1820"/>
      </w:tblGrid>
      <w:tr>
        <w:tc>
          <w:tcPr>
            <w:tcW w:type="dxa" w:w="1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年</w:t>
            </w:r>
          </w:p>
        </w:tc>
        <w:tc>
          <w:tcPr>
            <w:tcW w:type="dxa" w:w="1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收入(万)</w:t>
            </w:r>
          </w:p>
        </w:tc>
        <w:tc>
          <w:tcPr>
            <w:tcW w:type="dxa" w:w="1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成本(万)</w:t>
            </w:r>
          </w:p>
        </w:tc>
        <w:tc>
          <w:tcPr>
            <w:tcW w:type="dxa" w:w="1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净利(万)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毛利率</w:t>
            </w:r>
          </w:p>
        </w:tc>
      </w:tr>
      <w:tr>
        <w:tc>
          <w:tcPr>
            <w:tcW w:type="dxa" w:w="1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Y1</w:t>
            </w:r>
          </w:p>
        </w:tc>
        <w:tc>
          <w:tcPr>
            <w:tcW w:type="dxa" w:w="1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</w:t>
            </w:r>
          </w:p>
        </w:tc>
        <w:tc>
          <w:tcPr>
            <w:tcW w:type="dxa" w:w="1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2,300</w:t>
            </w:r>
          </w:p>
        </w:tc>
        <w:tc>
          <w:tcPr>
            <w:tcW w:type="dxa" w:w="1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-1,500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65%</w:t>
            </w:r>
          </w:p>
        </w:tc>
      </w:tr>
      <w:tr>
        <w:tc>
          <w:tcPr>
            <w:tcW w:type="dxa" w:w="1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Y2</w:t>
            </w:r>
          </w:p>
        </w:tc>
        <w:tc>
          <w:tcPr>
            <w:tcW w:type="dxa" w:w="1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3,500</w:t>
            </w:r>
          </w:p>
        </w:tc>
        <w:tc>
          <w:tcPr>
            <w:tcW w:type="dxa" w:w="1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3,500</w:t>
            </w:r>
          </w:p>
        </w:tc>
        <w:tc>
          <w:tcPr>
            <w:tcW w:type="dxa" w:w="1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65%</w:t>
            </w:r>
          </w:p>
        </w:tc>
      </w:tr>
      <w:tr>
        <w:tc>
          <w:tcPr>
            <w:tcW w:type="dxa" w:w="1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Y3</w:t>
            </w:r>
          </w:p>
        </w:tc>
        <w:tc>
          <w:tcPr>
            <w:tcW w:type="dxa" w:w="1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8,000</w:t>
            </w:r>
          </w:p>
        </w:tc>
        <w:tc>
          <w:tcPr>
            <w:tcW w:type="dxa" w:w="1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6,500</w:t>
            </w:r>
          </w:p>
        </w:tc>
        <w:tc>
          <w:tcPr>
            <w:tcW w:type="dxa" w:w="1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1,500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69%</w:t>
            </w:r>
          </w:p>
        </w:tc>
      </w:tr>
      <w:tr>
        <w:tc>
          <w:tcPr>
            <w:tcW w:type="dxa" w:w="1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Y4</w:t>
            </w:r>
          </w:p>
        </w:tc>
        <w:tc>
          <w:tcPr>
            <w:tcW w:type="dxa" w:w="1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16,000</w:t>
            </w:r>
          </w:p>
        </w:tc>
        <w:tc>
          <w:tcPr>
            <w:tcW w:type="dxa" w:w="1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12,000</w:t>
            </w:r>
          </w:p>
        </w:tc>
        <w:tc>
          <w:tcPr>
            <w:tcW w:type="dxa" w:w="1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4,000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72%</w:t>
            </w:r>
          </w:p>
        </w:tc>
      </w:tr>
      <w:tr>
        <w:tc>
          <w:tcPr>
            <w:tcW w:type="dxa" w:w="1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Y5</w:t>
            </w:r>
          </w:p>
        </w:tc>
        <w:tc>
          <w:tcPr>
            <w:tcW w:type="dxa" w:w="1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30,000</w:t>
            </w:r>
          </w:p>
        </w:tc>
        <w:tc>
          <w:tcPr>
            <w:tcW w:type="dxa" w:w="1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24,000</w:t>
            </w:r>
          </w:p>
        </w:tc>
        <w:tc>
          <w:tcPr>
            <w:tcW w:type="dxa" w:w="1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6,000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75%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</w:rPr>
        <w:t xml:space="preserve">15. 融资计划 / Funding 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3"/>
        <w:gridCol w:w="3013"/>
        <w:gridCol w:w="3000"/>
      </w:tblGrid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要点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说明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融资金额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5,000 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 个月周期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投前估值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3-4 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论文 + 合同基础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投后估值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4-5 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25% 稀释率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资金用途</w:t>
      </w:r>
    </w:p>
    <w:p>
      <w:pPr>
        <w:pStyle w:val="ListParagraph"/>
        <w:numPr>
          <w:ilvl w:val="0"/>
          <w:numId w:val="2"/>
        </w:numPr>
      </w:pPr>
      <w:r>
        <w:t xml:space="preserve">产品与技术：3,000 万（60%）</w:t>
      </w:r>
    </w:p>
    <w:p>
      <w:pPr>
        <w:pStyle w:val="ListParagraph"/>
        <w:numPr>
          <w:ilvl w:val="0"/>
          <w:numId w:val="2"/>
        </w:numPr>
      </w:pPr>
      <w:r>
        <w:t xml:space="preserve">销售与品牌：1,250 万（25%）</w:t>
      </w:r>
    </w:p>
    <w:p>
      <w:pPr>
        <w:pStyle w:val="ListParagraph"/>
        <w:numPr>
          <w:ilvl w:val="0"/>
          <w:numId w:val="2"/>
        </w:numPr>
      </w:pPr>
      <w:r>
        <w:t xml:space="preserve">团队与运营：500 万（10%）</w:t>
      </w:r>
    </w:p>
    <w:p>
      <w:pPr>
        <w:pStyle w:val="ListParagraph"/>
        <w:numPr>
          <w:ilvl w:val="0"/>
          <w:numId w:val="2"/>
        </w:numPr>
      </w:pPr>
      <w:r>
        <w:t xml:space="preserve">储备金：250 万（5%）</w:t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</w:rPr>
        <w:t xml:space="preserve">16. 风险与对策 / Risks &amp; Mitigation</w:t>
      </w:r>
    </w:p>
    <w:p>
      <w:pPr>
        <w:pStyle w:val="Heading2"/>
        <w:spacing w:after="120" w:before="240"/>
      </w:pPr>
      <w:r>
        <w:rPr>
          <w:b/>
          <w:bCs/>
        </w:rPr>
        <w:t xml:space="preserve">市场采纳风险</w:t>
      </w:r>
    </w:p>
    <w:p>
      <w:pPr>
        <w:spacing w:after="120" w:before="0"/>
      </w:pPr>
      <w:r>
        <w:t xml:space="preserve">对策：学术背书 + 政府试点 + 工作坊降低认知门槛</w:t>
      </w:r>
    </w:p>
    <w:p>
      <w:pPr>
        <w:pStyle w:val="Heading2"/>
        <w:spacing w:after="120" w:before="240"/>
      </w:pPr>
      <w:r>
        <w:rPr>
          <w:b/>
          <w:bCs/>
        </w:rPr>
        <w:t xml:space="preserve">竞争加剧风险</w:t>
      </w:r>
    </w:p>
    <w:p>
      <w:pPr>
        <w:spacing w:after="120" w:before="0"/>
      </w:pPr>
      <w:r>
        <w:t xml:space="preserve">对策：学术壁垒 + SaaS+咨询+基金生态 + 校友+政府关系</w:t>
      </w:r>
    </w:p>
    <w:p>
      <w:pPr>
        <w:pStyle w:val="Heading2"/>
        <w:spacing w:after="120" w:before="240"/>
      </w:pPr>
      <w:r>
        <w:rPr>
          <w:b/>
          <w:bCs/>
        </w:rPr>
        <w:t xml:space="preserve">产品技术风险</w:t>
      </w:r>
    </w:p>
    <w:p>
      <w:pPr>
        <w:spacing w:after="120" w:before="0"/>
      </w:pPr>
      <w:r>
        <w:t xml:space="preserve">对策：深化学术合作 + 开放参数库 + AB 测试</w:t>
      </w:r>
    </w:p>
    <w:p>
      <w:pPr>
        <w:pStyle w:val="Heading2"/>
        <w:spacing w:after="120" w:before="240"/>
      </w:pPr>
      <w:r>
        <w:rPr>
          <w:b/>
          <w:bCs/>
        </w:rPr>
        <w:t xml:space="preserve">融资风险</w:t>
      </w:r>
    </w:p>
    <w:p>
      <w:pPr>
        <w:spacing w:after="120" w:before="0"/>
      </w:pPr>
      <w:r>
        <w:t xml:space="preserve">对策：政府合同 + 自有园区收入 + 战略投资人库</w:t>
      </w:r>
    </w:p>
    <w:p>
      <w:pPr>
        <w:pStyle w:val="Heading2"/>
        <w:spacing w:after="120" w:before="240"/>
      </w:pPr>
      <w:r>
        <w:rPr>
          <w:b/>
          <w:bCs/>
        </w:rPr>
        <w:t xml:space="preserve">人才风险</w:t>
      </w:r>
    </w:p>
    <w:p>
      <w:pPr>
        <w:spacing w:after="120" w:before="0"/>
      </w:pPr>
      <w:r>
        <w:t xml:space="preserve">对策：校友渠道 + 股权激励 + 高校合作培养</w:t>
      </w:r>
    </w:p>
    <w:p>
      <w:pPr>
        <w:pStyle w:val="Heading2"/>
        <w:spacing w:after="120" w:before="240"/>
      </w:pPr>
      <w:r>
        <w:rPr>
          <w:b/>
          <w:bCs/>
        </w:rPr>
        <w:t xml:space="preserve">政策风险</w:t>
      </w:r>
    </w:p>
    <w:p>
      <w:pPr>
        <w:spacing w:after="120" w:before="0"/>
      </w:pPr>
      <w:r>
        <w:t xml:space="preserve">对策：政企关系 + 政策友好设计 + 多区域布局</w:t>
      </w:r>
    </w:p>
    <w:p>
      <w:pPr>
        <w:pageBreakBefore/>
      </w:pPr>
      <w:r>
        <w:t xml:space="preserve"/>
      </w:r>
    </w:p>
    <w:p>
      <w:pPr>
        <w:spacing w:after="0" w:before="1200"/>
        <w:jc w:val="center"/>
      </w:pPr>
      <w:r>
        <w:t xml:space="preserve">--- 本商业计划书的内容为机密信息 ---</w:t>
      </w:r>
    </w:p>
    <w:p>
      <w:pPr>
        <w:spacing w:after="0" w:before="0"/>
        <w:jc w:val="center"/>
      </w:pPr>
      <w:r>
        <w:t xml:space="preserve">This Business Plan contains confidential information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t xml:space="preserve">Park-ROADS 商业计划书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2026-05-06T09:27:30.608Z</dcterms:created>
  <dcterms:modified xsi:type="dcterms:W3CDTF">2026-05-06T09:27:30.608Z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