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06AA" w14:textId="329D6483" w:rsidR="00F22039" w:rsidRPr="007A5BA8" w:rsidRDefault="00000000">
      <w:pPr>
        <w:jc w:val="center"/>
        <w:rPr>
          <w:lang w:val="es-CO"/>
        </w:rPr>
      </w:pPr>
      <w:r w:rsidRPr="007A5BA8">
        <w:rPr>
          <w:b/>
          <w:sz w:val="32"/>
          <w:lang w:val="es-CO"/>
        </w:rPr>
        <w:t>UNIVERSIDAD SANTO TOMÁS</w:t>
      </w:r>
      <w:r w:rsidRPr="007A5BA8">
        <w:rPr>
          <w:b/>
          <w:sz w:val="32"/>
          <w:lang w:val="es-CO"/>
        </w:rPr>
        <w:br/>
      </w:r>
      <w:r w:rsidRPr="007A5BA8">
        <w:rPr>
          <w:b/>
          <w:sz w:val="28"/>
          <w:lang w:val="es-CO"/>
        </w:rPr>
        <w:t>PROYECTO DE GRADO — ESTADÍSTICA</w:t>
      </w:r>
      <w:r w:rsidRPr="007A5BA8">
        <w:rPr>
          <w:b/>
          <w:sz w:val="28"/>
          <w:lang w:val="es-CO"/>
        </w:rPr>
        <w:br/>
      </w:r>
      <w:r w:rsidRPr="007A5BA8">
        <w:rPr>
          <w:b/>
          <w:sz w:val="36"/>
          <w:lang w:val="es-CO"/>
        </w:rPr>
        <w:br/>
        <w:t>ESTADO DEL ARTE Y MARCO TEÓRICO VERSIÓN 1</w:t>
      </w:r>
    </w:p>
    <w:p w14:paraId="78D2838B" w14:textId="77777777" w:rsidR="00F22039" w:rsidRPr="007A5BA8" w:rsidRDefault="00000000">
      <w:pPr>
        <w:jc w:val="center"/>
        <w:rPr>
          <w:lang w:val="es-CO"/>
        </w:rPr>
      </w:pPr>
      <w:r w:rsidRPr="007A5BA8">
        <w:rPr>
          <w:b/>
          <w:lang w:val="es-CO"/>
        </w:rPr>
        <w:br/>
      </w:r>
      <w:r w:rsidRPr="007A5BA8">
        <w:rPr>
          <w:b/>
          <w:sz w:val="26"/>
          <w:lang w:val="es-CO"/>
        </w:rPr>
        <w:t>Contratación pública y vulnerabilidad socioeconómica municipal en Colombia</w:t>
      </w:r>
    </w:p>
    <w:p w14:paraId="3F0D58E4" w14:textId="77777777" w:rsidR="00F22039" w:rsidRPr="007A5BA8" w:rsidRDefault="00000000">
      <w:pPr>
        <w:jc w:val="center"/>
        <w:rPr>
          <w:lang w:val="es-CO"/>
        </w:rPr>
      </w:pPr>
      <w:r w:rsidRPr="007A5BA8">
        <w:rPr>
          <w:b/>
          <w:lang w:val="es-CO"/>
        </w:rPr>
        <w:br/>
        <w:t>Pregunta central:</w:t>
      </w:r>
      <w:r w:rsidRPr="007A5BA8">
        <w:rPr>
          <w:b/>
          <w:lang w:val="es-CO"/>
        </w:rPr>
        <w:br/>
      </w:r>
      <w:r w:rsidRPr="007A5BA8">
        <w:rPr>
          <w:lang w:val="es-CO"/>
        </w:rPr>
        <w:t>¿Existe una correspondencia entre la distribución territorial de la contratación pública y las condiciones de vulnerabilidad socioeconómica de los municipios colombianos?</w:t>
      </w:r>
    </w:p>
    <w:p w14:paraId="2D590E24" w14:textId="77777777" w:rsidR="007A5BA8" w:rsidRPr="007A5BA8" w:rsidRDefault="00000000">
      <w:pPr>
        <w:jc w:val="center"/>
        <w:rPr>
          <w:lang w:val="es-CO"/>
        </w:rPr>
      </w:pPr>
      <w:r w:rsidRPr="007A5BA8">
        <w:rPr>
          <w:lang w:val="es-CO"/>
        </w:rPr>
        <w:br/>
        <w:t>Juan Diego Gallo Quintero</w:t>
      </w:r>
    </w:p>
    <w:p w14:paraId="406BD83E" w14:textId="77777777" w:rsidR="007A5BA8" w:rsidRDefault="007A5BA8">
      <w:pPr>
        <w:jc w:val="center"/>
        <w:rPr>
          <w:lang w:val="es-CO"/>
        </w:rPr>
      </w:pPr>
      <w:r>
        <w:rPr>
          <w:lang w:val="es-CO"/>
        </w:rPr>
        <w:t>Juan David Parada Fonseca</w:t>
      </w:r>
    </w:p>
    <w:p w14:paraId="53468229" w14:textId="77777777" w:rsidR="007A5BA8" w:rsidRDefault="007A5BA8">
      <w:pPr>
        <w:jc w:val="center"/>
        <w:rPr>
          <w:lang w:val="es-CO"/>
        </w:rPr>
      </w:pPr>
      <w:r>
        <w:rPr>
          <w:lang w:val="es-CO"/>
        </w:rPr>
        <w:t xml:space="preserve">David Santiago </w:t>
      </w:r>
      <w:proofErr w:type="spellStart"/>
      <w:r>
        <w:rPr>
          <w:lang w:val="es-CO"/>
        </w:rPr>
        <w:t>Sanchez</w:t>
      </w:r>
      <w:proofErr w:type="spellEnd"/>
      <w:r>
        <w:rPr>
          <w:lang w:val="es-CO"/>
        </w:rPr>
        <w:t xml:space="preserve"> Guarnizo </w:t>
      </w:r>
    </w:p>
    <w:p w14:paraId="7E180428" w14:textId="1F888441" w:rsidR="00F22039" w:rsidRPr="007A5BA8" w:rsidRDefault="00000000">
      <w:pPr>
        <w:jc w:val="center"/>
        <w:rPr>
          <w:lang w:val="es-CO"/>
        </w:rPr>
      </w:pPr>
      <w:r w:rsidRPr="007A5BA8">
        <w:rPr>
          <w:lang w:val="es-CO"/>
        </w:rPr>
        <w:br/>
        <w:t>Programa de Estadística — Octavo semestre</w:t>
      </w:r>
      <w:r w:rsidRPr="007A5BA8">
        <w:rPr>
          <w:lang w:val="es-CO"/>
        </w:rPr>
        <w:br/>
        <w:t>Documento de trabajo académico · Septiembre de 2026</w:t>
      </w:r>
    </w:p>
    <w:p w14:paraId="7A6470DB" w14:textId="77777777" w:rsidR="00F22039" w:rsidRPr="007A5BA8" w:rsidRDefault="00000000">
      <w:pPr>
        <w:rPr>
          <w:lang w:val="es-CO"/>
        </w:rPr>
      </w:pPr>
      <w:r w:rsidRPr="007A5BA8">
        <w:rPr>
          <w:lang w:val="es-CO"/>
        </w:rPr>
        <w:br w:type="page"/>
      </w:r>
    </w:p>
    <w:p w14:paraId="7A4A8B59" w14:textId="77777777" w:rsidR="00F22039" w:rsidRPr="007A5BA8" w:rsidRDefault="00000000">
      <w:pPr>
        <w:pStyle w:val="Ttulo1"/>
        <w:rPr>
          <w:rFonts w:ascii="Times New Roman" w:hAnsi="Times New Roman" w:cs="Times New Roman"/>
          <w:sz w:val="36"/>
          <w:szCs w:val="36"/>
          <w:lang w:val="es-CO"/>
        </w:rPr>
      </w:pPr>
      <w:r w:rsidRPr="007A5BA8">
        <w:rPr>
          <w:rFonts w:ascii="Times New Roman" w:hAnsi="Times New Roman" w:cs="Times New Roman"/>
          <w:sz w:val="36"/>
          <w:szCs w:val="36"/>
          <w:lang w:val="es-CO"/>
        </w:rPr>
        <w:lastRenderedPageBreak/>
        <w:t>1. Alcance y decisiones de investigación</w:t>
      </w:r>
    </w:p>
    <w:p w14:paraId="18D0D709"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Este documento constituye la primera versión integrada del estado del arte y del marco teórico para un proyecto de grado orientado a estudiar la correspondencia entre la contratación pública y la vulnerabilidad socioeconómica de los municipios colombianos. El proyecto toma como punto de partida el repositorio público </w:t>
      </w:r>
      <w:proofErr w:type="spellStart"/>
      <w:r w:rsidRPr="007A5BA8">
        <w:rPr>
          <w:rFonts w:ascii="Times New Roman" w:hAnsi="Times New Roman" w:cs="Times New Roman"/>
          <w:sz w:val="24"/>
          <w:szCs w:val="28"/>
          <w:lang w:val="es-CO"/>
        </w:rPr>
        <w:t>desarrollo_social_y_economico</w:t>
      </w:r>
      <w:proofErr w:type="spellEnd"/>
      <w:r w:rsidRPr="007A5BA8">
        <w:rPr>
          <w:rFonts w:ascii="Times New Roman" w:hAnsi="Times New Roman" w:cs="Times New Roman"/>
          <w:sz w:val="24"/>
          <w:szCs w:val="28"/>
          <w:lang w:val="es-CO"/>
        </w:rPr>
        <w:t xml:space="preserve"> de la Universidad Santo Tomás, pero no lo considera un trabajo propio ni un límite metodológico. El objetivo es desarrollar una investigación original, reproducible y estadísticamente rigurosa.</w:t>
      </w:r>
    </w:p>
    <w:p w14:paraId="1ED637E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unidad principal de análisis será el municipio, siempre que la calidad y disponibilidad de los datos permitan la integración territorial. El nivel departamental se utilizará como apoyo para contextualización y visualización. La contratación pública será caracterizada mediante el número de contratos y su valor monetario, complementados por modalidad de contratación, sector, tipo de contrato y duración. La vulnerabilidad socioeconómica se conceptualizará a partir del enfoque multidimensional del DANE y se estudiará la construcción de un índice sintético basado en el Índice de Pobreza Multidimensional (IPM), con PCA como técnica estadística central.</w:t>
      </w:r>
    </w:p>
    <w:p w14:paraId="1B2C802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El análisis no buscará establecer causalidad. El alcance inferencial se limitará a estudiar asociación, correspondencia y brechas territoriales. El análisis espacial será incorporado cuando los diagnósticos de dependencia espacial justifiquen su utilización.</w:t>
      </w:r>
    </w:p>
    <w:p w14:paraId="153C1D3A" w14:textId="77777777" w:rsidR="00F22039" w:rsidRPr="007A5BA8" w:rsidRDefault="00000000">
      <w:pPr>
        <w:pStyle w:val="Ttulo1"/>
        <w:rPr>
          <w:rFonts w:ascii="Times New Roman" w:hAnsi="Times New Roman" w:cs="Times New Roman"/>
          <w:sz w:val="36"/>
          <w:szCs w:val="36"/>
          <w:lang w:val="es-CO"/>
        </w:rPr>
      </w:pPr>
      <w:r w:rsidRPr="007A5BA8">
        <w:rPr>
          <w:rFonts w:ascii="Times New Roman" w:hAnsi="Times New Roman" w:cs="Times New Roman"/>
          <w:sz w:val="36"/>
          <w:szCs w:val="36"/>
          <w:lang w:val="es-CO"/>
        </w:rPr>
        <w:t>2. Verificación inicial del repositorio y ventana temporal</w:t>
      </w:r>
    </w:p>
    <w:p w14:paraId="3E39E621" w14:textId="2CC332EA"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La revisión directa del repositorio muestra que su componente de datos documenta un histórico de procesos SECOP II organizado trimestralmente. El notebook </w:t>
      </w:r>
      <w:proofErr w:type="spellStart"/>
      <w:r w:rsidRPr="007A5BA8">
        <w:rPr>
          <w:rFonts w:ascii="Times New Roman" w:hAnsi="Times New Roman" w:cs="Times New Roman"/>
          <w:sz w:val="24"/>
          <w:szCs w:val="28"/>
          <w:lang w:val="es-CO"/>
        </w:rPr>
        <w:t>Historico_de_Datos.ipynb</w:t>
      </w:r>
      <w:proofErr w:type="spellEnd"/>
      <w:r w:rsidRPr="007A5BA8">
        <w:rPr>
          <w:rFonts w:ascii="Times New Roman" w:hAnsi="Times New Roman" w:cs="Times New Roman"/>
          <w:sz w:val="24"/>
          <w:szCs w:val="28"/>
          <w:lang w:val="es-CO"/>
        </w:rPr>
        <w:t xml:space="preserve"> registra trimestres desde el segundo trimestre de 2015 hasta el cuarto trimestre de 2025, aunque el último trimestre de 2025 está disponible solo hasta el 5 de octubre en la ejecución registrada. El histórico reporta 7.827.129 registros y 59 variables, con última fecha de publicación 2025-10-05 en la ejecución consultada. </w:t>
      </w:r>
    </w:p>
    <w:p w14:paraId="4E3E5255"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Por tanto, la ventana potencial de contratación disponible en el repositorio es aproximadamente 2015–2025. Sin embargo, esto no significa que todos los años sean igualmente comparables: será necesario revisar cobertura municipal, cambios de variables, calidad de identificación territorial y posibles cambios en el sistema de contratación antes de fijar la ventana definitiva del estudio.</w:t>
      </w:r>
    </w:p>
    <w:p w14:paraId="47E9789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El README del repositorio indica que la fuente de contratación es SECOP y que la integración con DANE 2018 fue concebida inicialmente con departamentos y, si era posible, municipios. También señala que la información de SECOP se descarga mediante API/CSV y se organiza en archivos Parquet para facilitar el tratamiento de grandes volúmenes. </w:t>
      </w:r>
      <w:r w:rsidRPr="007A5BA8">
        <w:rPr>
          <w:rFonts w:ascii="Times New Roman" w:hAnsi="Times New Roman" w:cs="Times New Roman"/>
          <w:sz w:val="24"/>
          <w:szCs w:val="28"/>
        </w:rPr>
        <w:t></w:t>
      </w:r>
      <w:r w:rsidRPr="007A5BA8">
        <w:rPr>
          <w:rFonts w:ascii="Times New Roman" w:hAnsi="Times New Roman" w:cs="Times New Roman"/>
          <w:sz w:val="24"/>
          <w:szCs w:val="28"/>
          <w:lang w:val="es-CO"/>
        </w:rPr>
        <w:t>cite</w:t>
      </w:r>
      <w:r w:rsidRPr="007A5BA8">
        <w:rPr>
          <w:rFonts w:ascii="Times New Roman" w:hAnsi="Times New Roman" w:cs="Times New Roman"/>
          <w:sz w:val="24"/>
          <w:szCs w:val="28"/>
        </w:rPr>
        <w:t></w:t>
      </w:r>
      <w:r w:rsidRPr="007A5BA8">
        <w:rPr>
          <w:rFonts w:ascii="Times New Roman" w:hAnsi="Times New Roman" w:cs="Times New Roman"/>
          <w:sz w:val="24"/>
          <w:szCs w:val="28"/>
          <w:lang w:val="es-CO"/>
        </w:rPr>
        <w:t>turn0view0</w:t>
      </w:r>
      <w:r w:rsidRPr="007A5BA8">
        <w:rPr>
          <w:rFonts w:ascii="Times New Roman" w:hAnsi="Times New Roman" w:cs="Times New Roman"/>
          <w:sz w:val="24"/>
          <w:szCs w:val="28"/>
        </w:rPr>
        <w:t></w:t>
      </w:r>
      <w:r w:rsidRPr="007A5BA8">
        <w:rPr>
          <w:rFonts w:ascii="Times New Roman" w:hAnsi="Times New Roman" w:cs="Times New Roman"/>
          <w:sz w:val="24"/>
          <w:szCs w:val="28"/>
          <w:lang w:val="es-CO"/>
        </w:rPr>
        <w:t>turn1view0</w:t>
      </w:r>
      <w:r w:rsidRPr="007A5BA8">
        <w:rPr>
          <w:rFonts w:ascii="Times New Roman" w:hAnsi="Times New Roman" w:cs="Times New Roman"/>
          <w:sz w:val="24"/>
          <w:szCs w:val="28"/>
        </w:rPr>
        <w:t></w:t>
      </w:r>
    </w:p>
    <w:p w14:paraId="62C53B42"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Decisión metodológica provisional: utilizar 2015–2025 como ventana de exploración del componente contractual, pero seleccionar posteriormente el periodo analítico definitivo después de auditar la cobertura y armonización de las variables socioeconómicas. Esta decisión evita forzar una comparabilidad temporal que los datos de DANE podrían no sostener.</w:t>
      </w:r>
    </w:p>
    <w:p w14:paraId="437F4877" w14:textId="77777777" w:rsidR="00F22039" w:rsidRPr="007A5BA8" w:rsidRDefault="00000000">
      <w:pPr>
        <w:pStyle w:val="Ttulo1"/>
        <w:rPr>
          <w:rFonts w:ascii="Times New Roman" w:hAnsi="Times New Roman" w:cs="Times New Roman"/>
          <w:sz w:val="36"/>
          <w:szCs w:val="36"/>
          <w:lang w:val="es-CO"/>
        </w:rPr>
      </w:pPr>
      <w:r w:rsidRPr="007A5BA8">
        <w:rPr>
          <w:rFonts w:ascii="Times New Roman" w:hAnsi="Times New Roman" w:cs="Times New Roman"/>
          <w:sz w:val="36"/>
          <w:szCs w:val="36"/>
          <w:lang w:val="es-CO"/>
        </w:rPr>
        <w:lastRenderedPageBreak/>
        <w:t>3. Estado del arte</w:t>
      </w:r>
    </w:p>
    <w:p w14:paraId="050BCFE1"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3.1. Desigualdad territorial, gasto público y desarrollo regional</w:t>
      </w:r>
    </w:p>
    <w:p w14:paraId="3132ABA1"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literatura colombiana ha mostrado históricamente que las diferencias territoriales en ingreso, capacidad fiscal y prestación de servicios son persistentes. Ardila-Rueda (2004) estudió la convergencia del ingreso per cápita departamental y el papel del consumo e inversión pública, encontrando una alta persistencia en la distribución del ingreso y efectos del gasto público, especialmente de la inversión, sobre la posición relativa de algunos departamentos, sin que ello implicara una transformación completa de la distribución territorial. (Ardila-Rueda, 2004).</w:t>
      </w:r>
    </w:p>
    <w:p w14:paraId="7FEEFE8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Bonet-Morón (2006) analizó los desequilibrios de la descentralización y mostró diferencias importantes en ingresos fiscales per cápita y en las condiciones de provisión de servicios entre entidades territoriales. Su argumento es especialmente relevante para este proyecto porque advierte que la descentralización y las transferencias no garantizan por sí mismas equidad territorial. (Bonet-Morón, 2006).</w:t>
      </w:r>
    </w:p>
    <w:p w14:paraId="0EA66B7D"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Estos antecedentes establecen una primera base conceptual: la distribución de recursos públicos debe analizarse en relación con las características estructurales de los territorios y no solamente en términos de montos absolutos. Para el presente proyecto, esto justifica la utilización de medidas per cápita y medidas relativas, además del valor total de contratación.</w:t>
      </w:r>
    </w:p>
    <w:p w14:paraId="21765EF9"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3.2. Pobreza multidimensional y vulnerabilidad territorial</w:t>
      </w:r>
    </w:p>
    <w:p w14:paraId="552631A6"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El enfoque de pobreza multidimensional constituye una referencia central para operacionalizar la vulnerabilidad socioeconómica. El DANE adopta una medición multidimensional que integra dimensiones y privaciones relacionadas con las condiciones de vida. En el nivel municipal, la fuente censal de 2018 permite disponer de una medida territorial de IPM con amplia cobertura municipal. (DANE, 2018/2024).</w:t>
      </w:r>
    </w:p>
    <w:p w14:paraId="354B9A2D"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El uso del IPM resulta especialmente pertinente porque permite evitar una definición unidimensional de vulnerabilidad basada exclusivamente en ingreso. No obstante, el proyecto propone ir un paso más allá: el IPM será el núcleo conceptual del indicador, mientras que variables adicionales disponibles y compatibles podrán evaluarse mediante PCA para construir un índice sintético de vulnerabilidad socioeconómica municipal.</w:t>
      </w:r>
    </w:p>
    <w:p w14:paraId="30668744"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Un antecedente reciente particularmente cercano al componente territorial es Monsalvo Herrera y Jiménez (2025), quienes analizaron el IPM en municipios de Cundinamarca mediante indicadores locales de asociación espacial (LISA). El estudio encontró agrupamientos espaciales de pobreza y plantea la relevancia del efecto vecindario para orientar acciones de política pública. Este antecedente es directamente útil para justificar que, si los diagnósticos lo respaldan, el proyecto incorpore estadística espacial. (Monsalvo Herrera &amp; Jiménez, 2025). </w:t>
      </w:r>
      <w:r w:rsidRPr="007A5BA8">
        <w:rPr>
          <w:rFonts w:ascii="Times New Roman" w:hAnsi="Times New Roman" w:cs="Times New Roman"/>
          <w:sz w:val="24"/>
          <w:szCs w:val="28"/>
        </w:rPr>
        <w:t></w:t>
      </w:r>
      <w:r w:rsidRPr="007A5BA8">
        <w:rPr>
          <w:rFonts w:ascii="Times New Roman" w:hAnsi="Times New Roman" w:cs="Times New Roman"/>
          <w:sz w:val="24"/>
          <w:szCs w:val="28"/>
          <w:lang w:val="es-CO"/>
        </w:rPr>
        <w:t>cite</w:t>
      </w:r>
      <w:r w:rsidRPr="007A5BA8">
        <w:rPr>
          <w:rFonts w:ascii="Times New Roman" w:hAnsi="Times New Roman" w:cs="Times New Roman"/>
          <w:sz w:val="24"/>
          <w:szCs w:val="28"/>
        </w:rPr>
        <w:t></w:t>
      </w:r>
      <w:r w:rsidRPr="007A5BA8">
        <w:rPr>
          <w:rFonts w:ascii="Times New Roman" w:hAnsi="Times New Roman" w:cs="Times New Roman"/>
          <w:sz w:val="24"/>
          <w:szCs w:val="28"/>
          <w:lang w:val="es-CO"/>
        </w:rPr>
        <w:t>turn6view3</w:t>
      </w:r>
      <w:r w:rsidRPr="007A5BA8">
        <w:rPr>
          <w:rFonts w:ascii="Times New Roman" w:hAnsi="Times New Roman" w:cs="Times New Roman"/>
          <w:sz w:val="24"/>
          <w:szCs w:val="28"/>
        </w:rPr>
        <w:t></w:t>
      </w:r>
    </w:p>
    <w:p w14:paraId="68600A27"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3.3. Contratación pública como instrumento de política territorial</w:t>
      </w:r>
    </w:p>
    <w:p w14:paraId="47725AD3"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La contratación pública puede ser interpretada no solo como una actividad administrativa de compra de bienes y servicios, sino como un mecanismo mediante el cual el Estado canaliza recursos hacia </w:t>
      </w:r>
      <w:r w:rsidRPr="007A5BA8">
        <w:rPr>
          <w:rFonts w:ascii="Times New Roman" w:hAnsi="Times New Roman" w:cs="Times New Roman"/>
          <w:sz w:val="24"/>
          <w:szCs w:val="28"/>
          <w:lang w:val="es-CO"/>
        </w:rPr>
        <w:lastRenderedPageBreak/>
        <w:t>territorios, sectores y proveedores. La literatura internacional reciente ha estudiado explícitamente esta dimensión territorial. Ferry et al. (2023) analizaron más de 90.000 contratos de autoridades locales del Reino Unido y encontraron diferencias regionales en la selección de proveedores, planteando que la contratación puede tener una dimensión territorial asociada al desarrollo regional.</w:t>
      </w:r>
    </w:p>
    <w:p w14:paraId="091336A2" w14:textId="77777777" w:rsidR="00F22039" w:rsidRPr="007A5BA8" w:rsidRDefault="00000000">
      <w:pPr>
        <w:rPr>
          <w:rFonts w:ascii="Times New Roman" w:hAnsi="Times New Roman" w:cs="Times New Roman"/>
          <w:sz w:val="24"/>
          <w:szCs w:val="28"/>
          <w:lang w:val="es-CO"/>
        </w:rPr>
      </w:pPr>
      <w:proofErr w:type="spellStart"/>
      <w:r w:rsidRPr="007A5BA8">
        <w:rPr>
          <w:rFonts w:ascii="Times New Roman" w:hAnsi="Times New Roman" w:cs="Times New Roman"/>
          <w:sz w:val="24"/>
          <w:szCs w:val="28"/>
          <w:lang w:val="es-CO"/>
        </w:rPr>
        <w:t>Arachia</w:t>
      </w:r>
      <w:proofErr w:type="spellEnd"/>
      <w:r w:rsidRPr="007A5BA8">
        <w:rPr>
          <w:rFonts w:ascii="Times New Roman" w:hAnsi="Times New Roman" w:cs="Times New Roman"/>
          <w:sz w:val="24"/>
          <w:szCs w:val="28"/>
          <w:lang w:val="es-CO"/>
        </w:rPr>
        <w:t xml:space="preserve"> et al. (2024), a partir de más de 50.000 contratos de obras públicas municipales en Italia, estudiaron la cooperación intermunicipal mediante modelos de efectos fijos y estimadores de </w:t>
      </w:r>
      <w:proofErr w:type="spellStart"/>
      <w:r w:rsidRPr="007A5BA8">
        <w:rPr>
          <w:rFonts w:ascii="Times New Roman" w:hAnsi="Times New Roman" w:cs="Times New Roman"/>
          <w:sz w:val="24"/>
          <w:szCs w:val="28"/>
          <w:lang w:val="es-CO"/>
        </w:rPr>
        <w:t>matching</w:t>
      </w:r>
      <w:proofErr w:type="spellEnd"/>
      <w:r w:rsidRPr="007A5BA8">
        <w:rPr>
          <w:rFonts w:ascii="Times New Roman" w:hAnsi="Times New Roman" w:cs="Times New Roman"/>
          <w:sz w:val="24"/>
          <w:szCs w:val="28"/>
          <w:lang w:val="es-CO"/>
        </w:rPr>
        <w:t>. Sus resultados muestran que la forma institucional de organizar la contratación puede relacionarse con resultados de ejecución. Aunque el contexto institucional es distinto al colombiano, el estudio es útil para mostrar que la contratación municipal puede analizarse estadísticamente como fenómeno territorial y no únicamente jurídico.</w:t>
      </w:r>
    </w:p>
    <w:p w14:paraId="4123A07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Sarter (2024) plantea una relación multidimensional entre contratación pública y desigualdad laboral, argumentando que el objeto comprado, los requisitos del proceso y el tipo de proveedor pueden afectar resultados distributivos. Este marco apoya la decisión de no limitar el análisis a los montos, sino incorporar modalidad, sector, tipo de contrato y características de ejecución. (Sarter, 2024).</w:t>
      </w:r>
    </w:p>
    <w:p w14:paraId="0ED0F218" w14:textId="77777777" w:rsidR="00F22039" w:rsidRPr="007A5BA8" w:rsidRDefault="00000000">
      <w:pPr>
        <w:rPr>
          <w:rFonts w:ascii="Times New Roman" w:hAnsi="Times New Roman" w:cs="Times New Roman"/>
          <w:sz w:val="24"/>
          <w:szCs w:val="28"/>
          <w:lang w:val="es-CO"/>
        </w:rPr>
      </w:pPr>
      <w:proofErr w:type="spellStart"/>
      <w:r w:rsidRPr="007A5BA8">
        <w:rPr>
          <w:rFonts w:ascii="Times New Roman" w:hAnsi="Times New Roman" w:cs="Times New Roman"/>
          <w:sz w:val="24"/>
          <w:szCs w:val="28"/>
          <w:lang w:val="es-CO"/>
        </w:rPr>
        <w:t>Rodriguez</w:t>
      </w:r>
      <w:proofErr w:type="spellEnd"/>
      <w:r w:rsidRPr="007A5BA8">
        <w:rPr>
          <w:rFonts w:ascii="Times New Roman" w:hAnsi="Times New Roman" w:cs="Times New Roman"/>
          <w:sz w:val="24"/>
          <w:szCs w:val="28"/>
          <w:lang w:val="es-CO"/>
        </w:rPr>
        <w:t>-Plesa et al. (2022) muestran, desde la contratación pública sostenible a nivel local, que las compras gubernamentales pueden utilizarse estratégicamente para abordar objetivos sociales, económicos y ambientales. Para el presente proyecto, esto fortalece la interpretación de la contratación como instrumento potencial de política pública, aunque no permite asumir que todo gasto contractual tenga un efecto social positivo.</w:t>
      </w:r>
    </w:p>
    <w:p w14:paraId="00E440EA"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3.4. SECOP II y análisis estadístico de datos abiertos en Colombia</w:t>
      </w:r>
    </w:p>
    <w:p w14:paraId="4F9AFB57" w14:textId="352BD594"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La disponibilidad de SECOP II permite estudiar la contratación pública con microdatos administrativos. El conjunto de contratos electrónicos identifica información sobre entidades, ubicación, fechas, sectores, valores y otras características del contrato. El repositorio estudiado utiliza esta fuente y ha construido un proceso de extracción trimestral y consolidación histórica. </w:t>
      </w:r>
    </w:p>
    <w:p w14:paraId="07A92A80" w14:textId="4F0D150E"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En Colombia, Figueroa-Gómez y Galpin (2024) utilizaron datos abiertos de SECOP II para desarrollar modelos de clasificación destinados a identificar procesos de contratación de interés. Los autores señalan que la investigación aplicada a contratación pública colombiana todavía se encuentra en una etapa de desarrollo y muestran el potencial de SECOP II para modelos analíticos. (Figueroa-Gómez &amp; Galpin, 2024)</w:t>
      </w:r>
      <w:r w:rsidR="00517B1C">
        <w:rPr>
          <w:rFonts w:ascii="Times New Roman" w:hAnsi="Times New Roman" w:cs="Times New Roman"/>
          <w:sz w:val="24"/>
          <w:szCs w:val="28"/>
          <w:lang w:val="es-CO"/>
        </w:rPr>
        <w:t xml:space="preserve">. </w:t>
      </w:r>
    </w:p>
    <w:p w14:paraId="7FD03308" w14:textId="2486BCA6"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Salazar, Pérez y Gallego (2024) desarrollaron Vig</w:t>
      </w:r>
      <w:r w:rsidR="00517B1C">
        <w:rPr>
          <w:rFonts w:ascii="Times New Roman" w:hAnsi="Times New Roman" w:cs="Times New Roman"/>
          <w:sz w:val="24"/>
          <w:szCs w:val="28"/>
          <w:lang w:val="es-CO"/>
        </w:rPr>
        <w:t xml:space="preserve"> </w:t>
      </w:r>
      <w:r w:rsidRPr="007A5BA8">
        <w:rPr>
          <w:rFonts w:ascii="Times New Roman" w:hAnsi="Times New Roman" w:cs="Times New Roman"/>
          <w:sz w:val="24"/>
          <w:szCs w:val="28"/>
          <w:lang w:val="es-CO"/>
        </w:rPr>
        <w:t xml:space="preserve">IA, una herramienta basada en datos abiertos de SECOP II para detectar ineficiencias y construir índices de riesgo. Su trabajo demuestra que SECOP II puede utilizarse para desarrollar indicadores estadísticos y modelos de aprendizaje automático orientados a apoyar decisiones de supervisión. Sin embargo, su unidad de análisis y objetivo se concentran en riesgo e ineficiencia contractual, no en correspondencia socioeconómica territorial. (Salazar et al., 2024). </w:t>
      </w:r>
    </w:p>
    <w:p w14:paraId="7142C57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Gutiérrez Vanegas (2024) utilizó </w:t>
      </w:r>
      <w:proofErr w:type="spellStart"/>
      <w:r w:rsidRPr="007A5BA8">
        <w:rPr>
          <w:rFonts w:ascii="Times New Roman" w:hAnsi="Times New Roman" w:cs="Times New Roman"/>
          <w:sz w:val="24"/>
          <w:szCs w:val="28"/>
          <w:lang w:val="es-CO"/>
        </w:rPr>
        <w:t>Isolation</w:t>
      </w:r>
      <w:proofErr w:type="spellEnd"/>
      <w:r w:rsidRPr="007A5BA8">
        <w:rPr>
          <w:rFonts w:ascii="Times New Roman" w:hAnsi="Times New Roman" w:cs="Times New Roman"/>
          <w:sz w:val="24"/>
          <w:szCs w:val="28"/>
          <w:lang w:val="es-CO"/>
        </w:rPr>
        <w:t xml:space="preserve"> Forest sobre datos abiertos de SECOP II para identificar banderas rojas asociadas con periodos inusualmente cortos, valores anómalos y procesos con una sola oferta. Este antecedente es relevante por el uso de aprendizaje automático sobre datos </w:t>
      </w:r>
      <w:r w:rsidRPr="007A5BA8">
        <w:rPr>
          <w:rFonts w:ascii="Times New Roman" w:hAnsi="Times New Roman" w:cs="Times New Roman"/>
          <w:sz w:val="24"/>
          <w:szCs w:val="28"/>
          <w:lang w:val="es-CO"/>
        </w:rPr>
        <w:lastRenderedPageBreak/>
        <w:t>contractuales colombianos, aunque nuevamente el problema de investigación es la detección de anomalías y no la equidad territorial.</w:t>
      </w:r>
    </w:p>
    <w:p w14:paraId="299F8243"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Díaz Díez (2023) analiza el carácter transaccional de SECOP II y su relación con los principios de publicidad y transparencia. Desde la perspectiva del proyecto, esta literatura ayuda a comprender la naturaleza institucional de la fuente y sus limitaciones, evitando interpretar los datos de SECOP como una medición directa del desarrollo social.</w:t>
      </w:r>
    </w:p>
    <w:p w14:paraId="6755182F"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3.5. Estadística espacial y brechas territoriales</w:t>
      </w:r>
    </w:p>
    <w:p w14:paraId="468DA6BB"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dimensión espacial es relevante porque municipios próximos pueden compartir condiciones económicas, sociales, geográficas e institucionales. El estudio de Monsalvo Herrera y Jiménez (2025) evidencia que el IPM municipal puede presentar patrones de dependencia espacial y agrupamientos identificables mediante LISA. Esto sugiere que la correlación convencional entre vulnerabilidad y contratación podría ser insuficiente si existe autocorrelación espacial.</w:t>
      </w:r>
    </w:p>
    <w:p w14:paraId="43421DBD"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En consecuencia, el análisis espacial no se asumirá automáticamente como una técnica decorativa. La secuencia metodológica será: primero diagnóstico de autocorrelación espacial; después, si existe evidencia suficiente, incorporación de modelos o indicadores espaciales. Esta regla es coherente con una práctica estadística rigurosa y evita </w:t>
      </w:r>
      <w:proofErr w:type="spellStart"/>
      <w:r w:rsidRPr="007A5BA8">
        <w:rPr>
          <w:rFonts w:ascii="Times New Roman" w:hAnsi="Times New Roman" w:cs="Times New Roman"/>
          <w:sz w:val="24"/>
          <w:szCs w:val="28"/>
          <w:lang w:val="es-CO"/>
        </w:rPr>
        <w:t>sobreajustar</w:t>
      </w:r>
      <w:proofErr w:type="spellEnd"/>
      <w:r w:rsidRPr="007A5BA8">
        <w:rPr>
          <w:rFonts w:ascii="Times New Roman" w:hAnsi="Times New Roman" w:cs="Times New Roman"/>
          <w:sz w:val="24"/>
          <w:szCs w:val="28"/>
          <w:lang w:val="es-CO"/>
        </w:rPr>
        <w:t xml:space="preserve"> el proyecto a técnicas avanzadas sin necesidad.</w:t>
      </w:r>
    </w:p>
    <w:p w14:paraId="5A7BB247"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3.6. Síntesis crítica y vacío de investigación</w:t>
      </w:r>
    </w:p>
    <w:p w14:paraId="567326BB"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revisión muestra cuatro cuerpos de literatura parcialmente conectados. Primero, la investigación sobre desigualdad regional colombiana documenta disparidades persistentes y diferencias en capacidad fiscal y prestación de servicios. Segundo, la literatura sobre pobreza multidimensional permite operacionalizar condiciones de vulnerabilidad con una perspectiva territorial. Tercero, la literatura sobre contratación pública reconoce que la compra estatal puede ser un instrumento de política y que sus características pueden tener implicaciones distributivas. Cuarto, la literatura reciente sobre SECOP II demuestra el potencial de los datos abiertos para estadística, aprendizaje automático y control de riesgos.</w:t>
      </w:r>
    </w:p>
    <w:p w14:paraId="1AA1C514"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Sin embargo, en la revisión inicial no se identificó un estudio que integre de manera sistemática, a escala nacional y con unidad municipal, un índice multidimensional de vulnerabilidad construido desde el IPM/PCA con medidas de contratación pública y un análisis conjunto de asociación, correspondencia y brechas territoriales. Los trabajos encontrados sobre SECOP II se concentran principalmente en riesgo, eficiencia, clasificación o detección de anomalías; los trabajos sobre pobreza territorial estudian la distribución y dependencia espacial de la pobreza, pero no la correspondencia con la distribución de contratos públicos.</w:t>
      </w:r>
    </w:p>
    <w:p w14:paraId="4B124E61"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Este vacío es provisional y deberá comprobarse mediante una revisión bibliográfica más exhaustiva en </w:t>
      </w:r>
      <w:proofErr w:type="spellStart"/>
      <w:r w:rsidRPr="007A5BA8">
        <w:rPr>
          <w:rFonts w:ascii="Times New Roman" w:hAnsi="Times New Roman" w:cs="Times New Roman"/>
          <w:sz w:val="24"/>
          <w:szCs w:val="28"/>
          <w:lang w:val="es-CO"/>
        </w:rPr>
        <w:t>Scopus</w:t>
      </w:r>
      <w:proofErr w:type="spellEnd"/>
      <w:r w:rsidRPr="007A5BA8">
        <w:rPr>
          <w:rFonts w:ascii="Times New Roman" w:hAnsi="Times New Roman" w:cs="Times New Roman"/>
          <w:sz w:val="24"/>
          <w:szCs w:val="28"/>
          <w:lang w:val="es-CO"/>
        </w:rPr>
        <w:t xml:space="preserve">, Web </w:t>
      </w:r>
      <w:proofErr w:type="spellStart"/>
      <w:r w:rsidRPr="007A5BA8">
        <w:rPr>
          <w:rFonts w:ascii="Times New Roman" w:hAnsi="Times New Roman" w:cs="Times New Roman"/>
          <w:sz w:val="24"/>
          <w:szCs w:val="28"/>
          <w:lang w:val="es-CO"/>
        </w:rPr>
        <w:t>of</w:t>
      </w:r>
      <w:proofErr w:type="spellEnd"/>
      <w:r w:rsidRPr="007A5BA8">
        <w:rPr>
          <w:rFonts w:ascii="Times New Roman" w:hAnsi="Times New Roman" w:cs="Times New Roman"/>
          <w:sz w:val="24"/>
          <w:szCs w:val="28"/>
          <w:lang w:val="es-CO"/>
        </w:rPr>
        <w:t xml:space="preserve"> </w:t>
      </w:r>
      <w:proofErr w:type="spellStart"/>
      <w:r w:rsidRPr="007A5BA8">
        <w:rPr>
          <w:rFonts w:ascii="Times New Roman" w:hAnsi="Times New Roman" w:cs="Times New Roman"/>
          <w:sz w:val="24"/>
          <w:szCs w:val="28"/>
          <w:lang w:val="es-CO"/>
        </w:rPr>
        <w:t>Science</w:t>
      </w:r>
      <w:proofErr w:type="spellEnd"/>
      <w:r w:rsidRPr="007A5BA8">
        <w:rPr>
          <w:rFonts w:ascii="Times New Roman" w:hAnsi="Times New Roman" w:cs="Times New Roman"/>
          <w:sz w:val="24"/>
          <w:szCs w:val="28"/>
          <w:lang w:val="es-CO"/>
        </w:rPr>
        <w:t>, SciELO, Redalyc y repositorios universitarios. No obstante, constituye una justificación razonable para la pregunta central del proyecto.</w:t>
      </w:r>
    </w:p>
    <w:p w14:paraId="1855CF55" w14:textId="77777777" w:rsidR="00F22039" w:rsidRPr="007A5BA8" w:rsidRDefault="00000000">
      <w:pPr>
        <w:pStyle w:val="Ttulo1"/>
        <w:rPr>
          <w:rFonts w:ascii="Times New Roman" w:hAnsi="Times New Roman" w:cs="Times New Roman"/>
          <w:sz w:val="36"/>
          <w:szCs w:val="36"/>
        </w:rPr>
      </w:pPr>
      <w:r w:rsidRPr="007A5BA8">
        <w:rPr>
          <w:rFonts w:ascii="Times New Roman" w:hAnsi="Times New Roman" w:cs="Times New Roman"/>
          <w:sz w:val="36"/>
          <w:szCs w:val="36"/>
        </w:rPr>
        <w:lastRenderedPageBreak/>
        <w:t>4. Matriz bibliográfica inicial</w:t>
      </w:r>
    </w:p>
    <w:tbl>
      <w:tblPr>
        <w:tblStyle w:val="Tablaconcuadrcula"/>
        <w:tblW w:w="0" w:type="auto"/>
        <w:jc w:val="center"/>
        <w:tblLook w:val="04A0" w:firstRow="1" w:lastRow="0" w:firstColumn="1" w:lastColumn="0" w:noHBand="0" w:noVBand="1"/>
      </w:tblPr>
      <w:tblGrid>
        <w:gridCol w:w="908"/>
        <w:gridCol w:w="1197"/>
        <w:gridCol w:w="1007"/>
        <w:gridCol w:w="1685"/>
        <w:gridCol w:w="1352"/>
        <w:gridCol w:w="1556"/>
        <w:gridCol w:w="1004"/>
        <w:gridCol w:w="1155"/>
      </w:tblGrid>
      <w:tr w:rsidR="00F22039" w:rsidRPr="007A5BA8" w14:paraId="46B9CCA3" w14:textId="77777777">
        <w:trPr>
          <w:tblHeader/>
          <w:jc w:val="center"/>
        </w:trPr>
        <w:tc>
          <w:tcPr>
            <w:tcW w:w="1728" w:type="dxa"/>
            <w:shd w:val="clear" w:color="auto" w:fill="D9EAF7"/>
            <w:vAlign w:val="center"/>
          </w:tcPr>
          <w:p w14:paraId="2EFFBF87"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Referencia</w:t>
            </w:r>
          </w:p>
        </w:tc>
        <w:tc>
          <w:tcPr>
            <w:tcW w:w="1152" w:type="dxa"/>
            <w:shd w:val="clear" w:color="auto" w:fill="D9EAF7"/>
            <w:vAlign w:val="center"/>
          </w:tcPr>
          <w:p w14:paraId="24637B1B"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Contexto</w:t>
            </w:r>
          </w:p>
        </w:tc>
        <w:tc>
          <w:tcPr>
            <w:tcW w:w="1800" w:type="dxa"/>
            <w:shd w:val="clear" w:color="auto" w:fill="D9EAF7"/>
            <w:vAlign w:val="center"/>
          </w:tcPr>
          <w:p w14:paraId="17768537"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Datos</w:t>
            </w:r>
          </w:p>
        </w:tc>
        <w:tc>
          <w:tcPr>
            <w:tcW w:w="1296" w:type="dxa"/>
            <w:shd w:val="clear" w:color="auto" w:fill="D9EAF7"/>
            <w:vAlign w:val="center"/>
          </w:tcPr>
          <w:p w14:paraId="38E1509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Unidad</w:t>
            </w:r>
          </w:p>
        </w:tc>
        <w:tc>
          <w:tcPr>
            <w:tcW w:w="1512" w:type="dxa"/>
            <w:shd w:val="clear" w:color="auto" w:fill="D9EAF7"/>
            <w:vAlign w:val="center"/>
          </w:tcPr>
          <w:p w14:paraId="36DE9BBC"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Método</w:t>
            </w:r>
          </w:p>
        </w:tc>
        <w:tc>
          <w:tcPr>
            <w:tcW w:w="2088" w:type="dxa"/>
            <w:shd w:val="clear" w:color="auto" w:fill="D9EAF7"/>
            <w:vAlign w:val="center"/>
          </w:tcPr>
          <w:p w14:paraId="1509491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Resultado principal</w:t>
            </w:r>
          </w:p>
        </w:tc>
        <w:tc>
          <w:tcPr>
            <w:tcW w:w="1728" w:type="dxa"/>
            <w:shd w:val="clear" w:color="auto" w:fill="D9EAF7"/>
            <w:vAlign w:val="center"/>
          </w:tcPr>
          <w:p w14:paraId="20452636"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Limitación</w:t>
            </w:r>
          </w:p>
        </w:tc>
        <w:tc>
          <w:tcPr>
            <w:tcW w:w="1872" w:type="dxa"/>
            <w:shd w:val="clear" w:color="auto" w:fill="D9EAF7"/>
            <w:vAlign w:val="center"/>
          </w:tcPr>
          <w:p w14:paraId="17D7A3F6"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Utilidad</w:t>
            </w:r>
          </w:p>
        </w:tc>
      </w:tr>
      <w:tr w:rsidR="00F22039" w:rsidRPr="007A5BA8" w14:paraId="1350E7FB" w14:textId="77777777">
        <w:trPr>
          <w:jc w:val="center"/>
        </w:trPr>
        <w:tc>
          <w:tcPr>
            <w:tcW w:w="1728" w:type="dxa"/>
          </w:tcPr>
          <w:p w14:paraId="60EC72DD"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Ardila-Rueda (2004)</w:t>
            </w:r>
          </w:p>
        </w:tc>
        <w:tc>
          <w:tcPr>
            <w:tcW w:w="1152" w:type="dxa"/>
          </w:tcPr>
          <w:p w14:paraId="69FF6678"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Colombia</w:t>
            </w:r>
          </w:p>
        </w:tc>
        <w:tc>
          <w:tcPr>
            <w:tcW w:w="1800" w:type="dxa"/>
          </w:tcPr>
          <w:p w14:paraId="060AEFCD"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Ingreso departamental + gasto público</w:t>
            </w:r>
          </w:p>
        </w:tc>
        <w:tc>
          <w:tcPr>
            <w:tcW w:w="1296" w:type="dxa"/>
          </w:tcPr>
          <w:p w14:paraId="6C9E35A8"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Distribución/convergencia</w:t>
            </w:r>
          </w:p>
        </w:tc>
        <w:tc>
          <w:tcPr>
            <w:tcW w:w="1512" w:type="dxa"/>
          </w:tcPr>
          <w:p w14:paraId="0C7D51FD"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Análisis de dinámica distributiva</w:t>
            </w:r>
          </w:p>
        </w:tc>
        <w:tc>
          <w:tcPr>
            <w:tcW w:w="2088" w:type="dxa"/>
          </w:tcPr>
          <w:p w14:paraId="3EBF166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Persistencia regional; inversión afecta posiciones relativas</w:t>
            </w:r>
          </w:p>
        </w:tc>
        <w:tc>
          <w:tcPr>
            <w:tcW w:w="1728" w:type="dxa"/>
          </w:tcPr>
          <w:p w14:paraId="43CA34F2"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 xml:space="preserve">Antiguo; </w:t>
            </w:r>
            <w:proofErr w:type="spellStart"/>
            <w:r w:rsidRPr="007A5BA8">
              <w:rPr>
                <w:rFonts w:ascii="Times New Roman" w:hAnsi="Times New Roman" w:cs="Times New Roman"/>
                <w:sz w:val="20"/>
                <w:szCs w:val="28"/>
              </w:rPr>
              <w:t>nivel</w:t>
            </w:r>
            <w:proofErr w:type="spellEnd"/>
            <w:r w:rsidRPr="007A5BA8">
              <w:rPr>
                <w:rFonts w:ascii="Times New Roman" w:hAnsi="Times New Roman" w:cs="Times New Roman"/>
                <w:sz w:val="20"/>
                <w:szCs w:val="28"/>
              </w:rPr>
              <w:t xml:space="preserve"> </w:t>
            </w:r>
            <w:proofErr w:type="spellStart"/>
            <w:r w:rsidRPr="007A5BA8">
              <w:rPr>
                <w:rFonts w:ascii="Times New Roman" w:hAnsi="Times New Roman" w:cs="Times New Roman"/>
                <w:sz w:val="20"/>
                <w:szCs w:val="28"/>
              </w:rPr>
              <w:t>departamental</w:t>
            </w:r>
            <w:proofErr w:type="spellEnd"/>
          </w:p>
        </w:tc>
        <w:tc>
          <w:tcPr>
            <w:tcW w:w="1872" w:type="dxa"/>
          </w:tcPr>
          <w:p w14:paraId="3F5DFA1C"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Fundamenta relación gasto–territorio</w:t>
            </w:r>
          </w:p>
        </w:tc>
      </w:tr>
      <w:tr w:rsidR="00F22039" w:rsidRPr="007A5BA8" w14:paraId="79019F3D" w14:textId="77777777">
        <w:trPr>
          <w:jc w:val="center"/>
        </w:trPr>
        <w:tc>
          <w:tcPr>
            <w:tcW w:w="1728" w:type="dxa"/>
          </w:tcPr>
          <w:p w14:paraId="21E0399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Bonet-Morón (2006)</w:t>
            </w:r>
          </w:p>
        </w:tc>
        <w:tc>
          <w:tcPr>
            <w:tcW w:w="1152" w:type="dxa"/>
          </w:tcPr>
          <w:p w14:paraId="320D17B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Colombia</w:t>
            </w:r>
          </w:p>
        </w:tc>
        <w:tc>
          <w:tcPr>
            <w:tcW w:w="1800" w:type="dxa"/>
          </w:tcPr>
          <w:p w14:paraId="3B5294A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Ingresos fiscales, transferencias, servicios</w:t>
            </w:r>
          </w:p>
        </w:tc>
        <w:tc>
          <w:tcPr>
            <w:tcW w:w="1296" w:type="dxa"/>
          </w:tcPr>
          <w:p w14:paraId="6A1CA839"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Departamentos/municipios</w:t>
            </w:r>
          </w:p>
        </w:tc>
        <w:tc>
          <w:tcPr>
            <w:tcW w:w="1512" w:type="dxa"/>
          </w:tcPr>
          <w:p w14:paraId="686E7456"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Análisis fiscal regional</w:t>
            </w:r>
          </w:p>
        </w:tc>
        <w:tc>
          <w:tcPr>
            <w:tcW w:w="2088" w:type="dxa"/>
          </w:tcPr>
          <w:p w14:paraId="7071FB14"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Persisten desigualdades fiscales y de servicios</w:t>
            </w:r>
          </w:p>
        </w:tc>
        <w:tc>
          <w:tcPr>
            <w:tcW w:w="1728" w:type="dxa"/>
          </w:tcPr>
          <w:p w14:paraId="5FBA276C"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Antiguo</w:t>
            </w:r>
          </w:p>
        </w:tc>
        <w:tc>
          <w:tcPr>
            <w:tcW w:w="1872" w:type="dxa"/>
          </w:tcPr>
          <w:p w14:paraId="03874F8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Justifica medidas relativas y equidad territorial</w:t>
            </w:r>
          </w:p>
        </w:tc>
      </w:tr>
      <w:tr w:rsidR="00F22039" w:rsidRPr="007A5BA8" w14:paraId="7C469CCC" w14:textId="77777777">
        <w:trPr>
          <w:jc w:val="center"/>
        </w:trPr>
        <w:tc>
          <w:tcPr>
            <w:tcW w:w="1728" w:type="dxa"/>
          </w:tcPr>
          <w:p w14:paraId="4E46DAC6"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Rodriguez-Plesa et al. (2022)</w:t>
            </w:r>
          </w:p>
        </w:tc>
        <w:tc>
          <w:tcPr>
            <w:tcW w:w="1152" w:type="dxa"/>
          </w:tcPr>
          <w:p w14:paraId="0F43C24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EE. UU./internacional</w:t>
            </w:r>
          </w:p>
        </w:tc>
        <w:tc>
          <w:tcPr>
            <w:tcW w:w="1800" w:type="dxa"/>
          </w:tcPr>
          <w:p w14:paraId="35804022"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Contratación sostenible local</w:t>
            </w:r>
          </w:p>
        </w:tc>
        <w:tc>
          <w:tcPr>
            <w:tcW w:w="1296" w:type="dxa"/>
          </w:tcPr>
          <w:p w14:paraId="1429303F"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Gobiernos locales</w:t>
            </w:r>
          </w:p>
        </w:tc>
        <w:tc>
          <w:tcPr>
            <w:tcW w:w="1512" w:type="dxa"/>
          </w:tcPr>
          <w:p w14:paraId="0B2C96D7"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Indicadores/modelos institucionales</w:t>
            </w:r>
          </w:p>
        </w:tc>
        <w:tc>
          <w:tcPr>
            <w:tcW w:w="2088" w:type="dxa"/>
          </w:tcPr>
          <w:p w14:paraId="48A3613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La compra pública puede perseguir objetivos sociales/económicos</w:t>
            </w:r>
          </w:p>
        </w:tc>
        <w:tc>
          <w:tcPr>
            <w:tcW w:w="1728" w:type="dxa"/>
          </w:tcPr>
          <w:p w14:paraId="3ED45949"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 xml:space="preserve">No </w:t>
            </w:r>
            <w:proofErr w:type="spellStart"/>
            <w:r w:rsidRPr="007A5BA8">
              <w:rPr>
                <w:rFonts w:ascii="Times New Roman" w:hAnsi="Times New Roman" w:cs="Times New Roman"/>
                <w:sz w:val="20"/>
                <w:szCs w:val="28"/>
              </w:rPr>
              <w:t>estudia</w:t>
            </w:r>
            <w:proofErr w:type="spellEnd"/>
            <w:r w:rsidRPr="007A5BA8">
              <w:rPr>
                <w:rFonts w:ascii="Times New Roman" w:hAnsi="Times New Roman" w:cs="Times New Roman"/>
                <w:sz w:val="20"/>
                <w:szCs w:val="28"/>
              </w:rPr>
              <w:t xml:space="preserve"> </w:t>
            </w:r>
            <w:proofErr w:type="spellStart"/>
            <w:r w:rsidRPr="007A5BA8">
              <w:rPr>
                <w:rFonts w:ascii="Times New Roman" w:hAnsi="Times New Roman" w:cs="Times New Roman"/>
                <w:sz w:val="20"/>
                <w:szCs w:val="28"/>
              </w:rPr>
              <w:t>vulnerabilidad</w:t>
            </w:r>
            <w:proofErr w:type="spellEnd"/>
            <w:r w:rsidRPr="007A5BA8">
              <w:rPr>
                <w:rFonts w:ascii="Times New Roman" w:hAnsi="Times New Roman" w:cs="Times New Roman"/>
                <w:sz w:val="20"/>
                <w:szCs w:val="28"/>
              </w:rPr>
              <w:t xml:space="preserve"> municipal</w:t>
            </w:r>
          </w:p>
        </w:tc>
        <w:tc>
          <w:tcPr>
            <w:tcW w:w="1872" w:type="dxa"/>
          </w:tcPr>
          <w:p w14:paraId="7372201B"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Marco de contratación como política pública</w:t>
            </w:r>
          </w:p>
        </w:tc>
      </w:tr>
      <w:tr w:rsidR="00F22039" w:rsidRPr="007A5BA8" w14:paraId="3FE7A28E" w14:textId="77777777">
        <w:trPr>
          <w:jc w:val="center"/>
        </w:trPr>
        <w:tc>
          <w:tcPr>
            <w:tcW w:w="1728" w:type="dxa"/>
          </w:tcPr>
          <w:p w14:paraId="3BFA3B04"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Ferry et al. (2023)</w:t>
            </w:r>
          </w:p>
        </w:tc>
        <w:tc>
          <w:tcPr>
            <w:tcW w:w="1152" w:type="dxa"/>
          </w:tcPr>
          <w:p w14:paraId="09B6DA8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Reino Unido</w:t>
            </w:r>
          </w:p>
        </w:tc>
        <w:tc>
          <w:tcPr>
            <w:tcW w:w="1800" w:type="dxa"/>
          </w:tcPr>
          <w:p w14:paraId="46E9365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90.000 contratos, 2015–2019</w:t>
            </w:r>
          </w:p>
        </w:tc>
        <w:tc>
          <w:tcPr>
            <w:tcW w:w="1296" w:type="dxa"/>
          </w:tcPr>
          <w:p w14:paraId="7BD7942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Autoridades locales</w:t>
            </w:r>
          </w:p>
        </w:tc>
        <w:tc>
          <w:tcPr>
            <w:tcW w:w="1512" w:type="dxa"/>
          </w:tcPr>
          <w:p w14:paraId="185AA9FB"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Análisis cuantitativo regional</w:t>
            </w:r>
          </w:p>
        </w:tc>
        <w:tc>
          <w:tcPr>
            <w:tcW w:w="2088" w:type="dxa"/>
          </w:tcPr>
          <w:p w14:paraId="6937BC8D"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Existen patrones territoriales de selección de proveedores</w:t>
            </w:r>
          </w:p>
        </w:tc>
        <w:tc>
          <w:tcPr>
            <w:tcW w:w="1728" w:type="dxa"/>
          </w:tcPr>
          <w:p w14:paraId="1A495A2C" w14:textId="77777777" w:rsidR="00F22039" w:rsidRPr="007A5BA8" w:rsidRDefault="00000000">
            <w:pPr>
              <w:rPr>
                <w:rFonts w:ascii="Times New Roman" w:hAnsi="Times New Roman" w:cs="Times New Roman"/>
                <w:sz w:val="24"/>
                <w:szCs w:val="28"/>
              </w:rPr>
            </w:pPr>
            <w:proofErr w:type="spellStart"/>
            <w:r w:rsidRPr="007A5BA8">
              <w:rPr>
                <w:rFonts w:ascii="Times New Roman" w:hAnsi="Times New Roman" w:cs="Times New Roman"/>
                <w:sz w:val="20"/>
                <w:szCs w:val="28"/>
              </w:rPr>
              <w:t>Contexto</w:t>
            </w:r>
            <w:proofErr w:type="spellEnd"/>
            <w:r w:rsidRPr="007A5BA8">
              <w:rPr>
                <w:rFonts w:ascii="Times New Roman" w:hAnsi="Times New Roman" w:cs="Times New Roman"/>
                <w:sz w:val="20"/>
                <w:szCs w:val="28"/>
              </w:rPr>
              <w:t xml:space="preserve"> </w:t>
            </w:r>
            <w:proofErr w:type="spellStart"/>
            <w:r w:rsidRPr="007A5BA8">
              <w:rPr>
                <w:rFonts w:ascii="Times New Roman" w:hAnsi="Times New Roman" w:cs="Times New Roman"/>
                <w:sz w:val="20"/>
                <w:szCs w:val="28"/>
              </w:rPr>
              <w:t>institucional</w:t>
            </w:r>
            <w:proofErr w:type="spellEnd"/>
            <w:r w:rsidRPr="007A5BA8">
              <w:rPr>
                <w:rFonts w:ascii="Times New Roman" w:hAnsi="Times New Roman" w:cs="Times New Roman"/>
                <w:sz w:val="20"/>
                <w:szCs w:val="28"/>
              </w:rPr>
              <w:t xml:space="preserve"> </w:t>
            </w:r>
            <w:proofErr w:type="spellStart"/>
            <w:r w:rsidRPr="007A5BA8">
              <w:rPr>
                <w:rFonts w:ascii="Times New Roman" w:hAnsi="Times New Roman" w:cs="Times New Roman"/>
                <w:sz w:val="20"/>
                <w:szCs w:val="28"/>
              </w:rPr>
              <w:t>distinto</w:t>
            </w:r>
            <w:proofErr w:type="spellEnd"/>
          </w:p>
        </w:tc>
        <w:tc>
          <w:tcPr>
            <w:tcW w:w="1872" w:type="dxa"/>
          </w:tcPr>
          <w:p w14:paraId="0B15018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Dimensión territorial de contratación</w:t>
            </w:r>
          </w:p>
        </w:tc>
      </w:tr>
      <w:tr w:rsidR="00F22039" w:rsidRPr="007A5BA8" w14:paraId="4E47DC59" w14:textId="77777777">
        <w:trPr>
          <w:jc w:val="center"/>
        </w:trPr>
        <w:tc>
          <w:tcPr>
            <w:tcW w:w="1728" w:type="dxa"/>
          </w:tcPr>
          <w:p w14:paraId="3454029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Sarter (2024)</w:t>
            </w:r>
          </w:p>
        </w:tc>
        <w:tc>
          <w:tcPr>
            <w:tcW w:w="1152" w:type="dxa"/>
          </w:tcPr>
          <w:p w14:paraId="15F549DB"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Internacional</w:t>
            </w:r>
          </w:p>
        </w:tc>
        <w:tc>
          <w:tcPr>
            <w:tcW w:w="1800" w:type="dxa"/>
          </w:tcPr>
          <w:p w14:paraId="7E1F23F5"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Literatura sobre contratación</w:t>
            </w:r>
          </w:p>
        </w:tc>
        <w:tc>
          <w:tcPr>
            <w:tcW w:w="1296" w:type="dxa"/>
          </w:tcPr>
          <w:p w14:paraId="0BB3603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Procesos/proveedores</w:t>
            </w:r>
          </w:p>
        </w:tc>
        <w:tc>
          <w:tcPr>
            <w:tcW w:w="1512" w:type="dxa"/>
          </w:tcPr>
          <w:p w14:paraId="7B7E311B"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Marco conceptual</w:t>
            </w:r>
          </w:p>
        </w:tc>
        <w:tc>
          <w:tcPr>
            <w:tcW w:w="2088" w:type="dxa"/>
          </w:tcPr>
          <w:p w14:paraId="332EDBE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Objeto, proceso y proveedor pueden afectar desigualdad laboral</w:t>
            </w:r>
          </w:p>
        </w:tc>
        <w:tc>
          <w:tcPr>
            <w:tcW w:w="1728" w:type="dxa"/>
          </w:tcPr>
          <w:p w14:paraId="27B834D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No es estudio municipal colombiano</w:t>
            </w:r>
          </w:p>
        </w:tc>
        <w:tc>
          <w:tcPr>
            <w:tcW w:w="1872" w:type="dxa"/>
          </w:tcPr>
          <w:p w14:paraId="60D108B4" w14:textId="77777777" w:rsidR="00F22039" w:rsidRPr="007A5BA8" w:rsidRDefault="00000000">
            <w:pPr>
              <w:rPr>
                <w:rFonts w:ascii="Times New Roman" w:hAnsi="Times New Roman" w:cs="Times New Roman"/>
                <w:sz w:val="24"/>
                <w:szCs w:val="28"/>
              </w:rPr>
            </w:pPr>
            <w:proofErr w:type="spellStart"/>
            <w:r w:rsidRPr="007A5BA8">
              <w:rPr>
                <w:rFonts w:ascii="Times New Roman" w:hAnsi="Times New Roman" w:cs="Times New Roman"/>
                <w:sz w:val="20"/>
                <w:szCs w:val="28"/>
              </w:rPr>
              <w:t>Justifica</w:t>
            </w:r>
            <w:proofErr w:type="spellEnd"/>
            <w:r w:rsidRPr="007A5BA8">
              <w:rPr>
                <w:rFonts w:ascii="Times New Roman" w:hAnsi="Times New Roman" w:cs="Times New Roman"/>
                <w:sz w:val="20"/>
                <w:szCs w:val="28"/>
              </w:rPr>
              <w:t xml:space="preserve"> variables </w:t>
            </w:r>
            <w:proofErr w:type="spellStart"/>
            <w:r w:rsidRPr="007A5BA8">
              <w:rPr>
                <w:rFonts w:ascii="Times New Roman" w:hAnsi="Times New Roman" w:cs="Times New Roman"/>
                <w:sz w:val="20"/>
                <w:szCs w:val="28"/>
              </w:rPr>
              <w:t>contractuales</w:t>
            </w:r>
            <w:proofErr w:type="spellEnd"/>
          </w:p>
        </w:tc>
      </w:tr>
      <w:tr w:rsidR="00F22039" w:rsidRPr="007A5BA8" w14:paraId="1364586F" w14:textId="77777777">
        <w:trPr>
          <w:jc w:val="center"/>
        </w:trPr>
        <w:tc>
          <w:tcPr>
            <w:tcW w:w="1728" w:type="dxa"/>
          </w:tcPr>
          <w:p w14:paraId="35DD1EF2"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Arachia et al. (2024)</w:t>
            </w:r>
          </w:p>
        </w:tc>
        <w:tc>
          <w:tcPr>
            <w:tcW w:w="1152" w:type="dxa"/>
          </w:tcPr>
          <w:p w14:paraId="7EF8F0D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Italia</w:t>
            </w:r>
          </w:p>
        </w:tc>
        <w:tc>
          <w:tcPr>
            <w:tcW w:w="1800" w:type="dxa"/>
          </w:tcPr>
          <w:p w14:paraId="2F3D756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50.905 contratos de obras</w:t>
            </w:r>
          </w:p>
        </w:tc>
        <w:tc>
          <w:tcPr>
            <w:tcW w:w="1296" w:type="dxa"/>
          </w:tcPr>
          <w:p w14:paraId="63CCC01C"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Municipios</w:t>
            </w:r>
          </w:p>
        </w:tc>
        <w:tc>
          <w:tcPr>
            <w:tcW w:w="1512" w:type="dxa"/>
          </w:tcPr>
          <w:p w14:paraId="40F2E304"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Efectos fijos + matching</w:t>
            </w:r>
          </w:p>
        </w:tc>
        <w:tc>
          <w:tcPr>
            <w:tcW w:w="2088" w:type="dxa"/>
          </w:tcPr>
          <w:p w14:paraId="40FBD90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Cooperación intermunicipal se relaciona con desempeño</w:t>
            </w:r>
          </w:p>
        </w:tc>
        <w:tc>
          <w:tcPr>
            <w:tcW w:w="1728" w:type="dxa"/>
          </w:tcPr>
          <w:p w14:paraId="18C2EEA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 xml:space="preserve">No </w:t>
            </w:r>
            <w:proofErr w:type="spellStart"/>
            <w:r w:rsidRPr="007A5BA8">
              <w:rPr>
                <w:rFonts w:ascii="Times New Roman" w:hAnsi="Times New Roman" w:cs="Times New Roman"/>
                <w:sz w:val="20"/>
                <w:szCs w:val="28"/>
              </w:rPr>
              <w:t>estudia</w:t>
            </w:r>
            <w:proofErr w:type="spellEnd"/>
            <w:r w:rsidRPr="007A5BA8">
              <w:rPr>
                <w:rFonts w:ascii="Times New Roman" w:hAnsi="Times New Roman" w:cs="Times New Roman"/>
                <w:sz w:val="20"/>
                <w:szCs w:val="28"/>
              </w:rPr>
              <w:t xml:space="preserve"> </w:t>
            </w:r>
            <w:proofErr w:type="spellStart"/>
            <w:r w:rsidRPr="007A5BA8">
              <w:rPr>
                <w:rFonts w:ascii="Times New Roman" w:hAnsi="Times New Roman" w:cs="Times New Roman"/>
                <w:sz w:val="20"/>
                <w:szCs w:val="28"/>
              </w:rPr>
              <w:t>pobreza</w:t>
            </w:r>
            <w:proofErr w:type="spellEnd"/>
          </w:p>
        </w:tc>
        <w:tc>
          <w:tcPr>
            <w:tcW w:w="1872" w:type="dxa"/>
          </w:tcPr>
          <w:p w14:paraId="094ABDE9"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Referencia para panel/municipios</w:t>
            </w:r>
          </w:p>
        </w:tc>
      </w:tr>
      <w:tr w:rsidR="00F22039" w:rsidRPr="007A5BA8" w14:paraId="5839F8A2" w14:textId="77777777">
        <w:trPr>
          <w:jc w:val="center"/>
        </w:trPr>
        <w:tc>
          <w:tcPr>
            <w:tcW w:w="1728" w:type="dxa"/>
          </w:tcPr>
          <w:p w14:paraId="0BA1441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Figueroa-Gómez &amp; Galpin (2024)</w:t>
            </w:r>
          </w:p>
        </w:tc>
        <w:tc>
          <w:tcPr>
            <w:tcW w:w="1152" w:type="dxa"/>
          </w:tcPr>
          <w:p w14:paraId="44BCD3F5"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Colombia</w:t>
            </w:r>
          </w:p>
        </w:tc>
        <w:tc>
          <w:tcPr>
            <w:tcW w:w="1800" w:type="dxa"/>
          </w:tcPr>
          <w:p w14:paraId="1B1C360C"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SECOP II</w:t>
            </w:r>
          </w:p>
        </w:tc>
        <w:tc>
          <w:tcPr>
            <w:tcW w:w="1296" w:type="dxa"/>
          </w:tcPr>
          <w:p w14:paraId="24522E3F"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Procesos de contratación</w:t>
            </w:r>
          </w:p>
        </w:tc>
        <w:tc>
          <w:tcPr>
            <w:tcW w:w="1512" w:type="dxa"/>
          </w:tcPr>
          <w:p w14:paraId="7FC4F017"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Modelos de clasificación</w:t>
            </w:r>
          </w:p>
        </w:tc>
        <w:tc>
          <w:tcPr>
            <w:tcW w:w="2088" w:type="dxa"/>
          </w:tcPr>
          <w:p w14:paraId="413B8DF4"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Potencial de ML sobre contratación pública</w:t>
            </w:r>
          </w:p>
        </w:tc>
        <w:tc>
          <w:tcPr>
            <w:tcW w:w="1728" w:type="dxa"/>
          </w:tcPr>
          <w:p w14:paraId="24C19D3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Enfoque en licitaciones de interés</w:t>
            </w:r>
          </w:p>
        </w:tc>
        <w:tc>
          <w:tcPr>
            <w:tcW w:w="1872" w:type="dxa"/>
          </w:tcPr>
          <w:p w14:paraId="32B80238"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Antecedente de ciencia de datos SECOP II</w:t>
            </w:r>
          </w:p>
        </w:tc>
      </w:tr>
      <w:tr w:rsidR="00F22039" w:rsidRPr="007A5BA8" w14:paraId="377AA05E" w14:textId="77777777">
        <w:trPr>
          <w:jc w:val="center"/>
        </w:trPr>
        <w:tc>
          <w:tcPr>
            <w:tcW w:w="1728" w:type="dxa"/>
          </w:tcPr>
          <w:p w14:paraId="430433F8"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Salazar et al. (2024)</w:t>
            </w:r>
          </w:p>
        </w:tc>
        <w:tc>
          <w:tcPr>
            <w:tcW w:w="1152" w:type="dxa"/>
          </w:tcPr>
          <w:p w14:paraId="134A982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Colombia</w:t>
            </w:r>
          </w:p>
        </w:tc>
        <w:tc>
          <w:tcPr>
            <w:tcW w:w="1800" w:type="dxa"/>
          </w:tcPr>
          <w:p w14:paraId="2FBAADBC"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SECOP II + sanciones</w:t>
            </w:r>
          </w:p>
        </w:tc>
        <w:tc>
          <w:tcPr>
            <w:tcW w:w="1296" w:type="dxa"/>
          </w:tcPr>
          <w:p w14:paraId="27A7E249"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Contratos</w:t>
            </w:r>
          </w:p>
        </w:tc>
        <w:tc>
          <w:tcPr>
            <w:tcW w:w="1512" w:type="dxa"/>
          </w:tcPr>
          <w:p w14:paraId="6EA0CDF4"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ML + índices de riesgo</w:t>
            </w:r>
          </w:p>
        </w:tc>
        <w:tc>
          <w:tcPr>
            <w:tcW w:w="2088" w:type="dxa"/>
          </w:tcPr>
          <w:p w14:paraId="2A09F5C4"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Detección de ineficiencias y riesgos</w:t>
            </w:r>
          </w:p>
        </w:tc>
        <w:tc>
          <w:tcPr>
            <w:tcW w:w="1728" w:type="dxa"/>
          </w:tcPr>
          <w:p w14:paraId="5B2617E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 xml:space="preserve">No </w:t>
            </w:r>
            <w:proofErr w:type="spellStart"/>
            <w:r w:rsidRPr="007A5BA8">
              <w:rPr>
                <w:rFonts w:ascii="Times New Roman" w:hAnsi="Times New Roman" w:cs="Times New Roman"/>
                <w:sz w:val="20"/>
                <w:szCs w:val="28"/>
              </w:rPr>
              <w:t>estudia</w:t>
            </w:r>
            <w:proofErr w:type="spellEnd"/>
            <w:r w:rsidRPr="007A5BA8">
              <w:rPr>
                <w:rFonts w:ascii="Times New Roman" w:hAnsi="Times New Roman" w:cs="Times New Roman"/>
                <w:sz w:val="20"/>
                <w:szCs w:val="28"/>
              </w:rPr>
              <w:t xml:space="preserve"> </w:t>
            </w:r>
            <w:proofErr w:type="spellStart"/>
            <w:r w:rsidRPr="007A5BA8">
              <w:rPr>
                <w:rFonts w:ascii="Times New Roman" w:hAnsi="Times New Roman" w:cs="Times New Roman"/>
                <w:sz w:val="20"/>
                <w:szCs w:val="28"/>
              </w:rPr>
              <w:t>vulnerabilidad</w:t>
            </w:r>
            <w:proofErr w:type="spellEnd"/>
            <w:r w:rsidRPr="007A5BA8">
              <w:rPr>
                <w:rFonts w:ascii="Times New Roman" w:hAnsi="Times New Roman" w:cs="Times New Roman"/>
                <w:sz w:val="20"/>
                <w:szCs w:val="28"/>
              </w:rPr>
              <w:t xml:space="preserve"> territorial</w:t>
            </w:r>
          </w:p>
        </w:tc>
        <w:tc>
          <w:tcPr>
            <w:tcW w:w="1872" w:type="dxa"/>
          </w:tcPr>
          <w:p w14:paraId="5F6EC4A4"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Referencia metodológica para índices</w:t>
            </w:r>
          </w:p>
        </w:tc>
      </w:tr>
      <w:tr w:rsidR="00F22039" w:rsidRPr="007A5BA8" w14:paraId="35258254" w14:textId="77777777">
        <w:trPr>
          <w:jc w:val="center"/>
        </w:trPr>
        <w:tc>
          <w:tcPr>
            <w:tcW w:w="1728" w:type="dxa"/>
          </w:tcPr>
          <w:p w14:paraId="7667195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lastRenderedPageBreak/>
              <w:t>Gutiérrez Vanegas (2024)</w:t>
            </w:r>
          </w:p>
        </w:tc>
        <w:tc>
          <w:tcPr>
            <w:tcW w:w="1152" w:type="dxa"/>
          </w:tcPr>
          <w:p w14:paraId="6C447E6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Colombia</w:t>
            </w:r>
          </w:p>
        </w:tc>
        <w:tc>
          <w:tcPr>
            <w:tcW w:w="1800" w:type="dxa"/>
          </w:tcPr>
          <w:p w14:paraId="1AB297E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SECOP II</w:t>
            </w:r>
          </w:p>
        </w:tc>
        <w:tc>
          <w:tcPr>
            <w:tcW w:w="1296" w:type="dxa"/>
          </w:tcPr>
          <w:p w14:paraId="507B3CD5"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Contratos</w:t>
            </w:r>
          </w:p>
        </w:tc>
        <w:tc>
          <w:tcPr>
            <w:tcW w:w="1512" w:type="dxa"/>
          </w:tcPr>
          <w:p w14:paraId="22D99A2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Isolation Forest</w:t>
            </w:r>
          </w:p>
        </w:tc>
        <w:tc>
          <w:tcPr>
            <w:tcW w:w="2088" w:type="dxa"/>
          </w:tcPr>
          <w:p w14:paraId="10FAF3A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Detección de banderas rojas</w:t>
            </w:r>
          </w:p>
        </w:tc>
        <w:tc>
          <w:tcPr>
            <w:tcW w:w="1728" w:type="dxa"/>
          </w:tcPr>
          <w:p w14:paraId="066122D6"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Trabajo de grado; foco en anomalías</w:t>
            </w:r>
          </w:p>
        </w:tc>
        <w:tc>
          <w:tcPr>
            <w:tcW w:w="1872" w:type="dxa"/>
          </w:tcPr>
          <w:p w14:paraId="578219D2"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Referencia de ML aplicado a SECOP II</w:t>
            </w:r>
          </w:p>
        </w:tc>
      </w:tr>
      <w:tr w:rsidR="00F22039" w:rsidRPr="007A5BA8" w14:paraId="0DE434CD" w14:textId="77777777">
        <w:trPr>
          <w:jc w:val="center"/>
        </w:trPr>
        <w:tc>
          <w:tcPr>
            <w:tcW w:w="1728" w:type="dxa"/>
          </w:tcPr>
          <w:p w14:paraId="7B059FB6"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Díaz Díez (2023)</w:t>
            </w:r>
          </w:p>
        </w:tc>
        <w:tc>
          <w:tcPr>
            <w:tcW w:w="1152" w:type="dxa"/>
          </w:tcPr>
          <w:p w14:paraId="21CD0919"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Colombia</w:t>
            </w:r>
          </w:p>
        </w:tc>
        <w:tc>
          <w:tcPr>
            <w:tcW w:w="1800" w:type="dxa"/>
          </w:tcPr>
          <w:p w14:paraId="51E2C0D9"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SECOP II y normativa</w:t>
            </w:r>
          </w:p>
        </w:tc>
        <w:tc>
          <w:tcPr>
            <w:tcW w:w="1296" w:type="dxa"/>
          </w:tcPr>
          <w:p w14:paraId="030D2A97"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Sistema de contratación</w:t>
            </w:r>
          </w:p>
        </w:tc>
        <w:tc>
          <w:tcPr>
            <w:tcW w:w="1512" w:type="dxa"/>
          </w:tcPr>
          <w:p w14:paraId="2B278998"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Análisis jurídico</w:t>
            </w:r>
          </w:p>
        </w:tc>
        <w:tc>
          <w:tcPr>
            <w:tcW w:w="2088" w:type="dxa"/>
          </w:tcPr>
          <w:p w14:paraId="26D6628A"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SECOP II es transaccional y fortalece publicidad/transparencia</w:t>
            </w:r>
          </w:p>
        </w:tc>
        <w:tc>
          <w:tcPr>
            <w:tcW w:w="1728" w:type="dxa"/>
          </w:tcPr>
          <w:p w14:paraId="098F1C35"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 xml:space="preserve">No es </w:t>
            </w:r>
            <w:proofErr w:type="spellStart"/>
            <w:r w:rsidRPr="007A5BA8">
              <w:rPr>
                <w:rFonts w:ascii="Times New Roman" w:hAnsi="Times New Roman" w:cs="Times New Roman"/>
                <w:sz w:val="20"/>
                <w:szCs w:val="28"/>
              </w:rPr>
              <w:t>análisis</w:t>
            </w:r>
            <w:proofErr w:type="spellEnd"/>
            <w:r w:rsidRPr="007A5BA8">
              <w:rPr>
                <w:rFonts w:ascii="Times New Roman" w:hAnsi="Times New Roman" w:cs="Times New Roman"/>
                <w:sz w:val="20"/>
                <w:szCs w:val="28"/>
              </w:rPr>
              <w:t xml:space="preserve"> </w:t>
            </w:r>
            <w:proofErr w:type="spellStart"/>
            <w:r w:rsidRPr="007A5BA8">
              <w:rPr>
                <w:rFonts w:ascii="Times New Roman" w:hAnsi="Times New Roman" w:cs="Times New Roman"/>
                <w:sz w:val="20"/>
                <w:szCs w:val="28"/>
              </w:rPr>
              <w:t>estadístico</w:t>
            </w:r>
            <w:proofErr w:type="spellEnd"/>
          </w:p>
        </w:tc>
        <w:tc>
          <w:tcPr>
            <w:tcW w:w="1872" w:type="dxa"/>
          </w:tcPr>
          <w:p w14:paraId="5239C916"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Marco institucional de la fuente</w:t>
            </w:r>
          </w:p>
        </w:tc>
      </w:tr>
      <w:tr w:rsidR="00F22039" w:rsidRPr="007A5BA8" w14:paraId="785A422F" w14:textId="77777777">
        <w:trPr>
          <w:jc w:val="center"/>
        </w:trPr>
        <w:tc>
          <w:tcPr>
            <w:tcW w:w="1728" w:type="dxa"/>
          </w:tcPr>
          <w:p w14:paraId="06CA4DDB"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Monsalvo Herrera &amp; Jiménez (2025)</w:t>
            </w:r>
          </w:p>
        </w:tc>
        <w:tc>
          <w:tcPr>
            <w:tcW w:w="1152" w:type="dxa"/>
          </w:tcPr>
          <w:p w14:paraId="1A19729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Colombia</w:t>
            </w:r>
          </w:p>
        </w:tc>
        <w:tc>
          <w:tcPr>
            <w:tcW w:w="1800" w:type="dxa"/>
          </w:tcPr>
          <w:p w14:paraId="5D4D24B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IPM municipal</w:t>
            </w:r>
          </w:p>
        </w:tc>
        <w:tc>
          <w:tcPr>
            <w:tcW w:w="1296" w:type="dxa"/>
          </w:tcPr>
          <w:p w14:paraId="7386DDA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Municipios de Cundinamarca</w:t>
            </w:r>
          </w:p>
        </w:tc>
        <w:tc>
          <w:tcPr>
            <w:tcW w:w="1512" w:type="dxa"/>
          </w:tcPr>
          <w:p w14:paraId="17F2CAC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LISA/análisis espacial</w:t>
            </w:r>
          </w:p>
        </w:tc>
        <w:tc>
          <w:tcPr>
            <w:tcW w:w="2088" w:type="dxa"/>
          </w:tcPr>
          <w:p w14:paraId="58591BA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Agrupamientos espaciales de pobreza</w:t>
            </w:r>
          </w:p>
        </w:tc>
        <w:tc>
          <w:tcPr>
            <w:tcW w:w="1728" w:type="dxa"/>
          </w:tcPr>
          <w:p w14:paraId="6D872285"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Cobertura regional</w:t>
            </w:r>
          </w:p>
        </w:tc>
        <w:tc>
          <w:tcPr>
            <w:tcW w:w="1872" w:type="dxa"/>
          </w:tcPr>
          <w:p w14:paraId="7444396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Justifica diagnóstico espacial</w:t>
            </w:r>
          </w:p>
        </w:tc>
      </w:tr>
      <w:tr w:rsidR="00F22039" w:rsidRPr="007A5BA8" w14:paraId="18376C59" w14:textId="77777777">
        <w:trPr>
          <w:jc w:val="center"/>
        </w:trPr>
        <w:tc>
          <w:tcPr>
            <w:tcW w:w="1728" w:type="dxa"/>
          </w:tcPr>
          <w:p w14:paraId="39AA0055"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DANE (2018/2024)</w:t>
            </w:r>
          </w:p>
        </w:tc>
        <w:tc>
          <w:tcPr>
            <w:tcW w:w="1152" w:type="dxa"/>
          </w:tcPr>
          <w:p w14:paraId="49DB8F1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Colombia</w:t>
            </w:r>
          </w:p>
        </w:tc>
        <w:tc>
          <w:tcPr>
            <w:tcW w:w="1800" w:type="dxa"/>
          </w:tcPr>
          <w:p w14:paraId="070CAFB6"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CNPV/IPM</w:t>
            </w:r>
          </w:p>
        </w:tc>
        <w:tc>
          <w:tcPr>
            <w:tcW w:w="1296" w:type="dxa"/>
          </w:tcPr>
          <w:p w14:paraId="0CBD8A8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Municipios</w:t>
            </w:r>
          </w:p>
        </w:tc>
        <w:tc>
          <w:tcPr>
            <w:tcW w:w="1512" w:type="dxa"/>
          </w:tcPr>
          <w:p w14:paraId="5E76F88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Medición multidimensional</w:t>
            </w:r>
          </w:p>
        </w:tc>
        <w:tc>
          <w:tcPr>
            <w:tcW w:w="2088" w:type="dxa"/>
          </w:tcPr>
          <w:p w14:paraId="15289348"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Base oficial de condiciones de vida</w:t>
            </w:r>
          </w:p>
        </w:tc>
        <w:tc>
          <w:tcPr>
            <w:tcW w:w="1728" w:type="dxa"/>
          </w:tcPr>
          <w:p w14:paraId="50A6F4E4" w14:textId="77777777" w:rsidR="00F22039" w:rsidRPr="007A5BA8" w:rsidRDefault="00000000">
            <w:pPr>
              <w:rPr>
                <w:rFonts w:ascii="Times New Roman" w:hAnsi="Times New Roman" w:cs="Times New Roman"/>
                <w:sz w:val="24"/>
                <w:szCs w:val="28"/>
              </w:rPr>
            </w:pPr>
            <w:proofErr w:type="spellStart"/>
            <w:r w:rsidRPr="007A5BA8">
              <w:rPr>
                <w:rFonts w:ascii="Times New Roman" w:hAnsi="Times New Roman" w:cs="Times New Roman"/>
                <w:sz w:val="20"/>
                <w:szCs w:val="28"/>
              </w:rPr>
              <w:t>Cobertura</w:t>
            </w:r>
            <w:proofErr w:type="spellEnd"/>
            <w:r w:rsidRPr="007A5BA8">
              <w:rPr>
                <w:rFonts w:ascii="Times New Roman" w:hAnsi="Times New Roman" w:cs="Times New Roman"/>
                <w:sz w:val="20"/>
                <w:szCs w:val="28"/>
              </w:rPr>
              <w:t xml:space="preserve"> temporal no </w:t>
            </w:r>
            <w:proofErr w:type="spellStart"/>
            <w:r w:rsidRPr="007A5BA8">
              <w:rPr>
                <w:rFonts w:ascii="Times New Roman" w:hAnsi="Times New Roman" w:cs="Times New Roman"/>
                <w:sz w:val="20"/>
                <w:szCs w:val="28"/>
              </w:rPr>
              <w:t>anual</w:t>
            </w:r>
            <w:proofErr w:type="spellEnd"/>
          </w:p>
        </w:tc>
        <w:tc>
          <w:tcPr>
            <w:tcW w:w="1872" w:type="dxa"/>
          </w:tcPr>
          <w:p w14:paraId="300DB076"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Núcleo del índice de vulnerabilidad</w:t>
            </w:r>
          </w:p>
        </w:tc>
      </w:tr>
    </w:tbl>
    <w:p w14:paraId="21443EC4" w14:textId="77777777" w:rsidR="00F22039" w:rsidRPr="007A5BA8" w:rsidRDefault="00F22039">
      <w:pPr>
        <w:rPr>
          <w:rFonts w:ascii="Times New Roman" w:hAnsi="Times New Roman" w:cs="Times New Roman"/>
          <w:sz w:val="24"/>
          <w:szCs w:val="28"/>
          <w:lang w:val="es-CO"/>
        </w:rPr>
      </w:pPr>
    </w:p>
    <w:p w14:paraId="5228B407" w14:textId="77777777" w:rsidR="00F22039" w:rsidRPr="007A5BA8" w:rsidRDefault="00000000">
      <w:pPr>
        <w:pStyle w:val="Ttulo1"/>
        <w:rPr>
          <w:rFonts w:ascii="Times New Roman" w:hAnsi="Times New Roman" w:cs="Times New Roman"/>
          <w:sz w:val="36"/>
          <w:szCs w:val="36"/>
          <w:lang w:val="es-CO"/>
        </w:rPr>
      </w:pPr>
      <w:r w:rsidRPr="007A5BA8">
        <w:rPr>
          <w:rFonts w:ascii="Times New Roman" w:hAnsi="Times New Roman" w:cs="Times New Roman"/>
          <w:sz w:val="36"/>
          <w:szCs w:val="36"/>
          <w:lang w:val="es-CO"/>
        </w:rPr>
        <w:t>5. Marco teórico</w:t>
      </w:r>
    </w:p>
    <w:p w14:paraId="7E8F4DAD"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5.1. Desarrollo territorial y desigualdad</w:t>
      </w:r>
    </w:p>
    <w:p w14:paraId="5AA3DD95"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El desarrollo territorial se entiende aquí como un proceso diferenciado espacialmente en el que interactúan condiciones económicas, sociales, institucionales y de provisión de bienes públicos. La desigualdad territorial implica que los municipios pueden enfrentar capacidades y necesidades diferentes, por lo que la comparación de recursos públicos debe considerar el tamaño poblacional y las condiciones socioeconómicas.</w:t>
      </w:r>
    </w:p>
    <w:p w14:paraId="5B788128"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5.2. Pobreza multidimensional y vulnerabilidad socioeconómica</w:t>
      </w:r>
    </w:p>
    <w:p w14:paraId="38FFC82E"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El IPM proporciona una base conceptual para reconocer que el bienestar no puede reducirse al ingreso. Para este proyecto, vulnerabilidad socioeconómica será un concepto operativo más amplio que pobreza: representará un conjunto de privaciones o condiciones estructurales que pueden limitar el desarrollo de la población municipal. El IPM será el referente principal y las variables adicionales solo se incorporarán cuando exista respaldo conceptual, calidad estadística y disponibilidad comparable.</w:t>
      </w:r>
    </w:p>
    <w:p w14:paraId="47AF4EB9"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lastRenderedPageBreak/>
        <w:t>5.3. Índices sintéticos y PCA</w:t>
      </w:r>
    </w:p>
    <w:p w14:paraId="2B6BEA06"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Un índice sintético busca resumir múltiples variables correlacionadas en una medida interpretable. El PCA permite transformar un conjunto de variables estandarizadas en componentes ortogonales que maximizan la varianza explicada. Si Z representa la matriz estandarizada de indicadores, la descomposición puede expresarse como:</w:t>
      </w:r>
    </w:p>
    <w:p w14:paraId="65FDA159"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Z = U </w:t>
      </w:r>
      <w:r w:rsidRPr="007A5BA8">
        <w:rPr>
          <w:rFonts w:ascii="Times New Roman" w:hAnsi="Times New Roman" w:cs="Times New Roman"/>
          <w:sz w:val="24"/>
          <w:szCs w:val="28"/>
        </w:rPr>
        <w:t>Λ</w:t>
      </w:r>
      <w:r w:rsidRPr="007A5BA8">
        <w:rPr>
          <w:rFonts w:ascii="Times New Roman" w:hAnsi="Times New Roman" w:cs="Times New Roman"/>
          <w:sz w:val="24"/>
          <w:szCs w:val="28"/>
          <w:lang w:val="es-CO"/>
        </w:rPr>
        <w:t xml:space="preserve"> V′</w:t>
      </w:r>
    </w:p>
    <w:p w14:paraId="4E23C3E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construcción del índice no se decidirá únicamente por la mayor varianza explicada. Se evaluarán correlaciones, adecuación muestral, cargas, signos, estabilidad y coherencia sustantiva. También se considerará invertir variables cuyo aumento represente menor vulnerabilidad, para asegurar que la dirección del índice sea consistente.</w:t>
      </w:r>
    </w:p>
    <w:p w14:paraId="4D1E3B78"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5.4. Contratación pública como distribución de recursos</w:t>
      </w:r>
    </w:p>
    <w:p w14:paraId="1BDC554B"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Para el análisis, contratación pública se operacionalizará mediante al menos cuatro familias de indicadores: magnitud monetaria, frecuencia contractual, estructura contractual y temporalidad. Entre los indicadores candidatos se encuentran valor total, número de contratos, valor per cápita, valor mediano, ticket promedio, participación sectorial, distribución por modalidad y duración.</w:t>
      </w:r>
    </w:p>
    <w:p w14:paraId="6EC0EAE5"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El valor per cápita será especialmente importante porque un valor absoluto elevado puede reflejar simplemente mayor población. La comparación entre municipios requiere, por tanto, medidas que controlen al menos parcialmente el tamaño poblacional.</w:t>
      </w:r>
    </w:p>
    <w:p w14:paraId="7A004C6C"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5.5. Asociación, correspondencia y brechas</w:t>
      </w:r>
    </w:p>
    <w:p w14:paraId="7880C78A"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asociación se refiere a la relación estadística entre vulnerabilidad y contratación. Se podrán utilizar correlaciones de Pearson o Spearman según escala, distribución y supuestos, complementadas con modelos multivariados.</w:t>
      </w:r>
    </w:p>
    <w:p w14:paraId="7F73E028"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correspondencia será un concepto analítico distinto: no preguntará solamente si dos variables se mueven juntas, sino si la intensidad de contratación resulta proporcional o compatible con la posición relativa de vulnerabilidad de los municipios. Se estudiarán diferentes definiciones de correspondencia y se seleccionará aquella que pueda justificarse estadísticamente.</w:t>
      </w:r>
    </w:p>
    <w:p w14:paraId="1B6B5572"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Las brechas territoriales identificarán municipios cuyo nivel de contratación observado sea bajo o alto respecto de lo esperado según su vulnerabilidad y otras características relevantes. El lenguaje será deliberadamente prudente: una brecha no significará automáticamente ineficiencia, corrupción o mala política pública.</w:t>
      </w:r>
    </w:p>
    <w:p w14:paraId="7FB9B414"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t>5.6. Dependencia espacial</w:t>
      </w:r>
    </w:p>
    <w:p w14:paraId="123E4FEA"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estadística espacial será utilizada si existe evidencia de dependencia espacial. Se podrá evaluar Moran global y posteriormente indicadores locales LISA. Si la dependencia espacial afecta los residuos de un modelo, podrán considerarse modelos espaciales como SAR/</w:t>
      </w:r>
      <w:proofErr w:type="spellStart"/>
      <w:r w:rsidRPr="007A5BA8">
        <w:rPr>
          <w:rFonts w:ascii="Times New Roman" w:hAnsi="Times New Roman" w:cs="Times New Roman"/>
          <w:sz w:val="24"/>
          <w:szCs w:val="28"/>
          <w:lang w:val="es-CO"/>
        </w:rPr>
        <w:t>lag</w:t>
      </w:r>
      <w:proofErr w:type="spellEnd"/>
      <w:r w:rsidRPr="007A5BA8">
        <w:rPr>
          <w:rFonts w:ascii="Times New Roman" w:hAnsi="Times New Roman" w:cs="Times New Roman"/>
          <w:sz w:val="24"/>
          <w:szCs w:val="28"/>
          <w:lang w:val="es-CO"/>
        </w:rPr>
        <w:t>, SEM o SDM, según diagnóstico y factibilidad.</w:t>
      </w:r>
    </w:p>
    <w:p w14:paraId="7B8C862B" w14:textId="77777777" w:rsidR="00F22039" w:rsidRPr="007A5BA8" w:rsidRDefault="00000000">
      <w:pPr>
        <w:pStyle w:val="Ttulo2"/>
        <w:rPr>
          <w:rFonts w:ascii="Times New Roman" w:hAnsi="Times New Roman" w:cs="Times New Roman"/>
          <w:sz w:val="32"/>
          <w:szCs w:val="32"/>
          <w:lang w:val="es-CO"/>
        </w:rPr>
      </w:pPr>
      <w:r w:rsidRPr="007A5BA8">
        <w:rPr>
          <w:rFonts w:ascii="Times New Roman" w:hAnsi="Times New Roman" w:cs="Times New Roman"/>
          <w:sz w:val="32"/>
          <w:szCs w:val="32"/>
          <w:lang w:val="es-CO"/>
        </w:rPr>
        <w:lastRenderedPageBreak/>
        <w:t>5.7. Estructura temporal y datos de panel</w:t>
      </w:r>
    </w:p>
    <w:p w14:paraId="5904085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disponibilidad de contratación desde 2015 hasta 2025 permite explorar una estructura municipio-año. Cuando las variables socioeconómicas no tengan frecuencia anual, no se imputará artificialmente su evolución. La solución deberá ser definida después de auditar la disponibilidad de indicadores. Si existe suficiente variación temporal, los modelos de panel con efectos fijos o aleatorios podrán evaluarse mediante pruebas y criterios de especificación.</w:t>
      </w:r>
    </w:p>
    <w:p w14:paraId="0AC1FBF5" w14:textId="77777777" w:rsidR="00F22039" w:rsidRPr="007A5BA8" w:rsidRDefault="00000000">
      <w:pPr>
        <w:pStyle w:val="Ttulo1"/>
        <w:rPr>
          <w:rFonts w:ascii="Times New Roman" w:hAnsi="Times New Roman" w:cs="Times New Roman"/>
          <w:sz w:val="36"/>
          <w:szCs w:val="36"/>
          <w:lang w:val="es-CO"/>
        </w:rPr>
      </w:pPr>
      <w:r w:rsidRPr="007A5BA8">
        <w:rPr>
          <w:rFonts w:ascii="Times New Roman" w:hAnsi="Times New Roman" w:cs="Times New Roman"/>
          <w:sz w:val="36"/>
          <w:szCs w:val="36"/>
          <w:lang w:val="es-CO"/>
        </w:rPr>
        <w:t>6. Propuesta conceptual del modelo de investigación</w:t>
      </w:r>
    </w:p>
    <w:p w14:paraId="4EEB9881"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estructura conceptual propuesta es:</w:t>
      </w:r>
    </w:p>
    <w:p w14:paraId="3F467709"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Condiciones socioeconómicas → Índice de Vulnerabilidad → Indicadores de Contratación → Asociación → Correspondencia → Brechas → Diagnóstico espacial/temporal → Clasificación territorial.</w:t>
      </w:r>
    </w:p>
    <w:p w14:paraId="0D517CD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La pregunta no presupone que los municipios más vulnerables deban recibir necesariamente más contratos. La investigación pretende determinar empíricamente si existe un patrón de correspondencia y cómo se distribuyen las desviaciones respecto de ese patrón.</w:t>
      </w:r>
    </w:p>
    <w:p w14:paraId="0A30405F" w14:textId="77777777" w:rsidR="00F22039" w:rsidRPr="007A5BA8" w:rsidRDefault="00000000">
      <w:pPr>
        <w:pStyle w:val="Ttulo1"/>
        <w:rPr>
          <w:rFonts w:ascii="Times New Roman" w:hAnsi="Times New Roman" w:cs="Times New Roman"/>
          <w:sz w:val="36"/>
          <w:szCs w:val="36"/>
        </w:rPr>
      </w:pPr>
      <w:r w:rsidRPr="007A5BA8">
        <w:rPr>
          <w:rFonts w:ascii="Times New Roman" w:hAnsi="Times New Roman" w:cs="Times New Roman"/>
          <w:sz w:val="36"/>
          <w:szCs w:val="36"/>
        </w:rPr>
        <w:t>7. Variables y operacionalización preliminar</w:t>
      </w:r>
    </w:p>
    <w:tbl>
      <w:tblPr>
        <w:tblStyle w:val="Tablaconcuadrcula"/>
        <w:tblW w:w="0" w:type="auto"/>
        <w:jc w:val="center"/>
        <w:tblLook w:val="04A0" w:firstRow="1" w:lastRow="0" w:firstColumn="1" w:lastColumn="0" w:noHBand="0" w:noVBand="1"/>
      </w:tblPr>
      <w:tblGrid>
        <w:gridCol w:w="1431"/>
        <w:gridCol w:w="2194"/>
        <w:gridCol w:w="2966"/>
        <w:gridCol w:w="1213"/>
        <w:gridCol w:w="2060"/>
      </w:tblGrid>
      <w:tr w:rsidR="00F22039" w:rsidRPr="007A5BA8" w14:paraId="62F53BC1" w14:textId="77777777">
        <w:trPr>
          <w:tblHeader/>
          <w:jc w:val="center"/>
        </w:trPr>
        <w:tc>
          <w:tcPr>
            <w:tcW w:w="1440" w:type="dxa"/>
            <w:shd w:val="clear" w:color="auto" w:fill="D9EAF7"/>
            <w:vAlign w:val="center"/>
          </w:tcPr>
          <w:p w14:paraId="7822295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Constructo</w:t>
            </w:r>
          </w:p>
        </w:tc>
        <w:tc>
          <w:tcPr>
            <w:tcW w:w="1728" w:type="dxa"/>
            <w:shd w:val="clear" w:color="auto" w:fill="D9EAF7"/>
            <w:vAlign w:val="center"/>
          </w:tcPr>
          <w:p w14:paraId="5197FA17"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Variable</w:t>
            </w:r>
          </w:p>
        </w:tc>
        <w:tc>
          <w:tcPr>
            <w:tcW w:w="3456" w:type="dxa"/>
            <w:shd w:val="clear" w:color="auto" w:fill="D9EAF7"/>
            <w:vAlign w:val="center"/>
          </w:tcPr>
          <w:p w14:paraId="4E62335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Operacionalización</w:t>
            </w:r>
          </w:p>
        </w:tc>
        <w:tc>
          <w:tcPr>
            <w:tcW w:w="1296" w:type="dxa"/>
            <w:shd w:val="clear" w:color="auto" w:fill="D9EAF7"/>
            <w:vAlign w:val="center"/>
          </w:tcPr>
          <w:p w14:paraId="2857D15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Escala</w:t>
            </w:r>
          </w:p>
        </w:tc>
        <w:tc>
          <w:tcPr>
            <w:tcW w:w="1440" w:type="dxa"/>
            <w:shd w:val="clear" w:color="auto" w:fill="D9EAF7"/>
            <w:vAlign w:val="center"/>
          </w:tcPr>
          <w:p w14:paraId="4C07D14C"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b/>
                <w:sz w:val="22"/>
                <w:szCs w:val="28"/>
              </w:rPr>
              <w:t>Rol</w:t>
            </w:r>
          </w:p>
        </w:tc>
      </w:tr>
      <w:tr w:rsidR="00F22039" w:rsidRPr="007A5BA8" w14:paraId="38006B0C" w14:textId="77777777">
        <w:trPr>
          <w:jc w:val="center"/>
        </w:trPr>
        <w:tc>
          <w:tcPr>
            <w:tcW w:w="1440" w:type="dxa"/>
          </w:tcPr>
          <w:p w14:paraId="75025192"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Vulnerabilidad</w:t>
            </w:r>
          </w:p>
        </w:tc>
        <w:tc>
          <w:tcPr>
            <w:tcW w:w="1728" w:type="dxa"/>
          </w:tcPr>
          <w:p w14:paraId="750054E8"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Índice sintético</w:t>
            </w:r>
          </w:p>
        </w:tc>
        <w:tc>
          <w:tcPr>
            <w:tcW w:w="3456" w:type="dxa"/>
          </w:tcPr>
          <w:p w14:paraId="28C646B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PCA basado en IPM + indicadores compatibles</w:t>
            </w:r>
          </w:p>
        </w:tc>
        <w:tc>
          <w:tcPr>
            <w:tcW w:w="1296" w:type="dxa"/>
          </w:tcPr>
          <w:p w14:paraId="599291E5"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Continua</w:t>
            </w:r>
          </w:p>
        </w:tc>
        <w:tc>
          <w:tcPr>
            <w:tcW w:w="1440" w:type="dxa"/>
          </w:tcPr>
          <w:p w14:paraId="66F3F4B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Principal</w:t>
            </w:r>
          </w:p>
        </w:tc>
      </w:tr>
      <w:tr w:rsidR="00F22039" w:rsidRPr="007A5BA8" w14:paraId="6280101E" w14:textId="77777777">
        <w:trPr>
          <w:jc w:val="center"/>
        </w:trPr>
        <w:tc>
          <w:tcPr>
            <w:tcW w:w="1440" w:type="dxa"/>
          </w:tcPr>
          <w:p w14:paraId="03177F48"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IPM</w:t>
            </w:r>
          </w:p>
        </w:tc>
        <w:tc>
          <w:tcPr>
            <w:tcW w:w="1728" w:type="dxa"/>
          </w:tcPr>
          <w:p w14:paraId="377AB16B"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Pobreza multidimensional</w:t>
            </w:r>
          </w:p>
        </w:tc>
        <w:tc>
          <w:tcPr>
            <w:tcW w:w="3456" w:type="dxa"/>
          </w:tcPr>
          <w:p w14:paraId="78F51B8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Fuente DANE</w:t>
            </w:r>
          </w:p>
        </w:tc>
        <w:tc>
          <w:tcPr>
            <w:tcW w:w="1296" w:type="dxa"/>
          </w:tcPr>
          <w:p w14:paraId="6E2F0494"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Continua</w:t>
            </w:r>
          </w:p>
        </w:tc>
        <w:tc>
          <w:tcPr>
            <w:tcW w:w="1440" w:type="dxa"/>
          </w:tcPr>
          <w:p w14:paraId="1CCF947C"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Base conceptual</w:t>
            </w:r>
          </w:p>
        </w:tc>
      </w:tr>
      <w:tr w:rsidR="00F22039" w:rsidRPr="007A5BA8" w14:paraId="320328BF" w14:textId="77777777">
        <w:trPr>
          <w:jc w:val="center"/>
        </w:trPr>
        <w:tc>
          <w:tcPr>
            <w:tcW w:w="1440" w:type="dxa"/>
          </w:tcPr>
          <w:p w14:paraId="65F73C24"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Contratación</w:t>
            </w:r>
          </w:p>
        </w:tc>
        <w:tc>
          <w:tcPr>
            <w:tcW w:w="1728" w:type="dxa"/>
          </w:tcPr>
          <w:p w14:paraId="58CB2AD6"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Valor contratado</w:t>
            </w:r>
          </w:p>
        </w:tc>
        <w:tc>
          <w:tcPr>
            <w:tcW w:w="3456" w:type="dxa"/>
          </w:tcPr>
          <w:p w14:paraId="053733F4"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Suma por municipio-año</w:t>
            </w:r>
          </w:p>
        </w:tc>
        <w:tc>
          <w:tcPr>
            <w:tcW w:w="1296" w:type="dxa"/>
          </w:tcPr>
          <w:p w14:paraId="31D0D3CF"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Continua</w:t>
            </w:r>
          </w:p>
        </w:tc>
        <w:tc>
          <w:tcPr>
            <w:tcW w:w="1440" w:type="dxa"/>
          </w:tcPr>
          <w:p w14:paraId="335A8092"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Dependiente/resultado</w:t>
            </w:r>
          </w:p>
        </w:tc>
      </w:tr>
      <w:tr w:rsidR="00F22039" w:rsidRPr="007A5BA8" w14:paraId="3741F2D7" w14:textId="77777777">
        <w:trPr>
          <w:jc w:val="center"/>
        </w:trPr>
        <w:tc>
          <w:tcPr>
            <w:tcW w:w="1440" w:type="dxa"/>
          </w:tcPr>
          <w:p w14:paraId="3E3EFAB5"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Contratación</w:t>
            </w:r>
          </w:p>
        </w:tc>
        <w:tc>
          <w:tcPr>
            <w:tcW w:w="1728" w:type="dxa"/>
          </w:tcPr>
          <w:p w14:paraId="1124CAFF"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Número de contratos</w:t>
            </w:r>
          </w:p>
        </w:tc>
        <w:tc>
          <w:tcPr>
            <w:tcW w:w="3456" w:type="dxa"/>
          </w:tcPr>
          <w:p w14:paraId="4B8C58ED"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Conteo por municipio-año</w:t>
            </w:r>
          </w:p>
        </w:tc>
        <w:tc>
          <w:tcPr>
            <w:tcW w:w="1296" w:type="dxa"/>
          </w:tcPr>
          <w:p w14:paraId="623C5017"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Conteo</w:t>
            </w:r>
          </w:p>
        </w:tc>
        <w:tc>
          <w:tcPr>
            <w:tcW w:w="1440" w:type="dxa"/>
          </w:tcPr>
          <w:p w14:paraId="3ED973F2"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Resultado</w:t>
            </w:r>
          </w:p>
        </w:tc>
      </w:tr>
      <w:tr w:rsidR="00F22039" w:rsidRPr="007A5BA8" w14:paraId="25ED9C56" w14:textId="77777777">
        <w:trPr>
          <w:jc w:val="center"/>
        </w:trPr>
        <w:tc>
          <w:tcPr>
            <w:tcW w:w="1440" w:type="dxa"/>
          </w:tcPr>
          <w:p w14:paraId="780DF978"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Contratación</w:t>
            </w:r>
          </w:p>
        </w:tc>
        <w:tc>
          <w:tcPr>
            <w:tcW w:w="1728" w:type="dxa"/>
          </w:tcPr>
          <w:p w14:paraId="4B2868D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Valor per cápita</w:t>
            </w:r>
          </w:p>
        </w:tc>
        <w:tc>
          <w:tcPr>
            <w:tcW w:w="3456" w:type="dxa"/>
          </w:tcPr>
          <w:p w14:paraId="684B619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Valor contratado / población</w:t>
            </w:r>
          </w:p>
        </w:tc>
        <w:tc>
          <w:tcPr>
            <w:tcW w:w="1296" w:type="dxa"/>
          </w:tcPr>
          <w:p w14:paraId="2EEAC082"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Continua</w:t>
            </w:r>
          </w:p>
        </w:tc>
        <w:tc>
          <w:tcPr>
            <w:tcW w:w="1440" w:type="dxa"/>
          </w:tcPr>
          <w:p w14:paraId="7EE803F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Resultado</w:t>
            </w:r>
          </w:p>
        </w:tc>
      </w:tr>
      <w:tr w:rsidR="00F22039" w:rsidRPr="007A5BA8" w14:paraId="59D0AA38" w14:textId="77777777">
        <w:trPr>
          <w:jc w:val="center"/>
        </w:trPr>
        <w:tc>
          <w:tcPr>
            <w:tcW w:w="1440" w:type="dxa"/>
          </w:tcPr>
          <w:p w14:paraId="2793554D"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Estructura</w:t>
            </w:r>
          </w:p>
        </w:tc>
        <w:tc>
          <w:tcPr>
            <w:tcW w:w="1728" w:type="dxa"/>
          </w:tcPr>
          <w:p w14:paraId="5A3C3E7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Modalidad</w:t>
            </w:r>
          </w:p>
        </w:tc>
        <w:tc>
          <w:tcPr>
            <w:tcW w:w="3456" w:type="dxa"/>
          </w:tcPr>
          <w:p w14:paraId="54345C3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Frecuencia/participación por modalidad</w:t>
            </w:r>
          </w:p>
        </w:tc>
        <w:tc>
          <w:tcPr>
            <w:tcW w:w="1296" w:type="dxa"/>
          </w:tcPr>
          <w:p w14:paraId="77C2FB7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Categórica</w:t>
            </w:r>
          </w:p>
        </w:tc>
        <w:tc>
          <w:tcPr>
            <w:tcW w:w="1440" w:type="dxa"/>
          </w:tcPr>
          <w:p w14:paraId="0E36726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Explicativa/descriptiva</w:t>
            </w:r>
          </w:p>
        </w:tc>
      </w:tr>
      <w:tr w:rsidR="00F22039" w:rsidRPr="007A5BA8" w14:paraId="173526C9" w14:textId="77777777">
        <w:trPr>
          <w:jc w:val="center"/>
        </w:trPr>
        <w:tc>
          <w:tcPr>
            <w:tcW w:w="1440" w:type="dxa"/>
          </w:tcPr>
          <w:p w14:paraId="351F1264"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Estructura</w:t>
            </w:r>
          </w:p>
        </w:tc>
        <w:tc>
          <w:tcPr>
            <w:tcW w:w="1728" w:type="dxa"/>
          </w:tcPr>
          <w:p w14:paraId="04115D53"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Sector</w:t>
            </w:r>
          </w:p>
        </w:tc>
        <w:tc>
          <w:tcPr>
            <w:tcW w:w="3456" w:type="dxa"/>
          </w:tcPr>
          <w:p w14:paraId="2935E836"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Participación por sector</w:t>
            </w:r>
          </w:p>
        </w:tc>
        <w:tc>
          <w:tcPr>
            <w:tcW w:w="1296" w:type="dxa"/>
          </w:tcPr>
          <w:p w14:paraId="141A15CB"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Categórica</w:t>
            </w:r>
          </w:p>
        </w:tc>
        <w:tc>
          <w:tcPr>
            <w:tcW w:w="1440" w:type="dxa"/>
          </w:tcPr>
          <w:p w14:paraId="47C2CCBC"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Explicativa/descriptiva</w:t>
            </w:r>
          </w:p>
        </w:tc>
      </w:tr>
      <w:tr w:rsidR="00F22039" w:rsidRPr="007A5BA8" w14:paraId="0E41A772" w14:textId="77777777">
        <w:trPr>
          <w:jc w:val="center"/>
        </w:trPr>
        <w:tc>
          <w:tcPr>
            <w:tcW w:w="1440" w:type="dxa"/>
          </w:tcPr>
          <w:p w14:paraId="6D1DA25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Estructura</w:t>
            </w:r>
          </w:p>
        </w:tc>
        <w:tc>
          <w:tcPr>
            <w:tcW w:w="1728" w:type="dxa"/>
          </w:tcPr>
          <w:p w14:paraId="24EAD694"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Tipo de contrato</w:t>
            </w:r>
          </w:p>
        </w:tc>
        <w:tc>
          <w:tcPr>
            <w:tcW w:w="3456" w:type="dxa"/>
          </w:tcPr>
          <w:p w14:paraId="6036AAE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Participación por tipo</w:t>
            </w:r>
          </w:p>
        </w:tc>
        <w:tc>
          <w:tcPr>
            <w:tcW w:w="1296" w:type="dxa"/>
          </w:tcPr>
          <w:p w14:paraId="2C484B06"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Categórica</w:t>
            </w:r>
          </w:p>
        </w:tc>
        <w:tc>
          <w:tcPr>
            <w:tcW w:w="1440" w:type="dxa"/>
          </w:tcPr>
          <w:p w14:paraId="6C72E17F"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Explicativa/descriptiva</w:t>
            </w:r>
          </w:p>
        </w:tc>
      </w:tr>
      <w:tr w:rsidR="00F22039" w:rsidRPr="007A5BA8" w14:paraId="0571801E" w14:textId="77777777">
        <w:trPr>
          <w:jc w:val="center"/>
        </w:trPr>
        <w:tc>
          <w:tcPr>
            <w:tcW w:w="1440" w:type="dxa"/>
          </w:tcPr>
          <w:p w14:paraId="07C17FE2"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Temporal</w:t>
            </w:r>
          </w:p>
        </w:tc>
        <w:tc>
          <w:tcPr>
            <w:tcW w:w="1728" w:type="dxa"/>
          </w:tcPr>
          <w:p w14:paraId="2553AECF"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Duración</w:t>
            </w:r>
          </w:p>
        </w:tc>
        <w:tc>
          <w:tcPr>
            <w:tcW w:w="3456" w:type="dxa"/>
          </w:tcPr>
          <w:p w14:paraId="16660D66"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0"/>
                <w:szCs w:val="28"/>
                <w:lang w:val="es-CO"/>
              </w:rPr>
              <w:t>Días entre inicio y terminación, cuando exista</w:t>
            </w:r>
          </w:p>
        </w:tc>
        <w:tc>
          <w:tcPr>
            <w:tcW w:w="1296" w:type="dxa"/>
          </w:tcPr>
          <w:p w14:paraId="641CBF7E"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Continua</w:t>
            </w:r>
          </w:p>
        </w:tc>
        <w:tc>
          <w:tcPr>
            <w:tcW w:w="1440" w:type="dxa"/>
          </w:tcPr>
          <w:p w14:paraId="3DEB42E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Explicativa/descriptiva</w:t>
            </w:r>
          </w:p>
        </w:tc>
      </w:tr>
      <w:tr w:rsidR="00F22039" w:rsidRPr="007A5BA8" w14:paraId="59CF1211" w14:textId="77777777">
        <w:trPr>
          <w:jc w:val="center"/>
        </w:trPr>
        <w:tc>
          <w:tcPr>
            <w:tcW w:w="1440" w:type="dxa"/>
          </w:tcPr>
          <w:p w14:paraId="6E4CB239"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Contexto</w:t>
            </w:r>
          </w:p>
        </w:tc>
        <w:tc>
          <w:tcPr>
            <w:tcW w:w="1728" w:type="dxa"/>
          </w:tcPr>
          <w:p w14:paraId="0F5E1ECF"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Población</w:t>
            </w:r>
          </w:p>
        </w:tc>
        <w:tc>
          <w:tcPr>
            <w:tcW w:w="3456" w:type="dxa"/>
          </w:tcPr>
          <w:p w14:paraId="28D0A678"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Población municipal</w:t>
            </w:r>
          </w:p>
        </w:tc>
        <w:tc>
          <w:tcPr>
            <w:tcW w:w="1296" w:type="dxa"/>
          </w:tcPr>
          <w:p w14:paraId="678F1711"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Continua</w:t>
            </w:r>
          </w:p>
        </w:tc>
        <w:tc>
          <w:tcPr>
            <w:tcW w:w="1440" w:type="dxa"/>
          </w:tcPr>
          <w:p w14:paraId="7774E055"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Control</w:t>
            </w:r>
          </w:p>
        </w:tc>
      </w:tr>
      <w:tr w:rsidR="00F22039" w:rsidRPr="007A5BA8" w14:paraId="6A4AF8BC" w14:textId="77777777">
        <w:trPr>
          <w:jc w:val="center"/>
        </w:trPr>
        <w:tc>
          <w:tcPr>
            <w:tcW w:w="1440" w:type="dxa"/>
          </w:tcPr>
          <w:p w14:paraId="77F4F34F"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Territorio</w:t>
            </w:r>
          </w:p>
        </w:tc>
        <w:tc>
          <w:tcPr>
            <w:tcW w:w="1728" w:type="dxa"/>
          </w:tcPr>
          <w:p w14:paraId="0B27157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Municipio/departamento</w:t>
            </w:r>
          </w:p>
        </w:tc>
        <w:tc>
          <w:tcPr>
            <w:tcW w:w="3456" w:type="dxa"/>
          </w:tcPr>
          <w:p w14:paraId="756E275A"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DIVIPOLA u homologación oficial</w:t>
            </w:r>
          </w:p>
        </w:tc>
        <w:tc>
          <w:tcPr>
            <w:tcW w:w="1296" w:type="dxa"/>
          </w:tcPr>
          <w:p w14:paraId="1DE89458"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Categórica</w:t>
            </w:r>
          </w:p>
        </w:tc>
        <w:tc>
          <w:tcPr>
            <w:tcW w:w="1440" w:type="dxa"/>
          </w:tcPr>
          <w:p w14:paraId="7E8FB620" w14:textId="77777777" w:rsidR="00F22039" w:rsidRPr="007A5BA8" w:rsidRDefault="00000000">
            <w:pPr>
              <w:rPr>
                <w:rFonts w:ascii="Times New Roman" w:hAnsi="Times New Roman" w:cs="Times New Roman"/>
                <w:sz w:val="24"/>
                <w:szCs w:val="28"/>
              </w:rPr>
            </w:pPr>
            <w:r w:rsidRPr="007A5BA8">
              <w:rPr>
                <w:rFonts w:ascii="Times New Roman" w:hAnsi="Times New Roman" w:cs="Times New Roman"/>
                <w:sz w:val="20"/>
                <w:szCs w:val="28"/>
              </w:rPr>
              <w:t>Identificación</w:t>
            </w:r>
          </w:p>
        </w:tc>
      </w:tr>
    </w:tbl>
    <w:p w14:paraId="5935421A" w14:textId="77777777" w:rsidR="00F22039" w:rsidRPr="007A5BA8" w:rsidRDefault="00F22039">
      <w:pPr>
        <w:rPr>
          <w:rFonts w:ascii="Times New Roman" w:hAnsi="Times New Roman" w:cs="Times New Roman"/>
          <w:sz w:val="24"/>
          <w:szCs w:val="28"/>
        </w:rPr>
      </w:pPr>
    </w:p>
    <w:p w14:paraId="6B35B84F" w14:textId="77777777" w:rsidR="00F22039" w:rsidRPr="007A5BA8" w:rsidRDefault="00000000">
      <w:pPr>
        <w:pStyle w:val="Ttulo1"/>
        <w:rPr>
          <w:rFonts w:ascii="Times New Roman" w:hAnsi="Times New Roman" w:cs="Times New Roman"/>
          <w:sz w:val="36"/>
          <w:szCs w:val="36"/>
        </w:rPr>
      </w:pPr>
      <w:r w:rsidRPr="007A5BA8">
        <w:rPr>
          <w:rFonts w:ascii="Times New Roman" w:hAnsi="Times New Roman" w:cs="Times New Roman"/>
          <w:sz w:val="36"/>
          <w:szCs w:val="36"/>
        </w:rPr>
        <w:lastRenderedPageBreak/>
        <w:t>8. Hipótesis de trabajo</w:t>
      </w:r>
    </w:p>
    <w:p w14:paraId="06EC98E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H1. Existe una asociación estadísticamente significativa entre el índice de vulnerabilidad socioeconómica municipal y la intensidad de contratación pública.</w:t>
      </w:r>
    </w:p>
    <w:p w14:paraId="3DB18BB0"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H2. La asociación entre vulnerabilidad y contratación difiere según la forma de medir la contratación: valor absoluto, valor per cápita y número de contratos.</w:t>
      </w:r>
    </w:p>
    <w:p w14:paraId="5F48AF42"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H3. Existen municipios cuya intensidad de contratación presenta desviaciones sistemáticas respecto de la correspondencia esperada con su vulnerabilidad socioeconómica.</w:t>
      </w:r>
    </w:p>
    <w:p w14:paraId="02786C65"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H4. La distribución espacial de vulnerabilidad y/o contratación presenta autocorrelación espacial cuando los diagnósticos correspondientes así lo indiquen.</w:t>
      </w:r>
    </w:p>
    <w:p w14:paraId="60E30401"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Estas hipótesis no plantean causalidad. Los resultados se interpretarán como asociación y correspondencia estadística.</w:t>
      </w:r>
    </w:p>
    <w:p w14:paraId="001D85BE" w14:textId="77777777" w:rsidR="00F22039" w:rsidRPr="007A5BA8" w:rsidRDefault="00000000">
      <w:pPr>
        <w:pStyle w:val="Ttulo1"/>
        <w:rPr>
          <w:rFonts w:ascii="Times New Roman" w:hAnsi="Times New Roman" w:cs="Times New Roman"/>
          <w:sz w:val="36"/>
          <w:szCs w:val="36"/>
        </w:rPr>
      </w:pPr>
      <w:r w:rsidRPr="007A5BA8">
        <w:rPr>
          <w:rFonts w:ascii="Times New Roman" w:hAnsi="Times New Roman" w:cs="Times New Roman"/>
          <w:sz w:val="36"/>
          <w:szCs w:val="36"/>
        </w:rPr>
        <w:t>9. Limitaciones previstas</w:t>
      </w:r>
    </w:p>
    <w:p w14:paraId="07A0794F" w14:textId="77777777" w:rsidR="00F22039" w:rsidRPr="007A5BA8" w:rsidRDefault="00000000">
      <w:pPr>
        <w:pStyle w:val="Listaconvietas"/>
        <w:rPr>
          <w:rFonts w:ascii="Times New Roman" w:hAnsi="Times New Roman" w:cs="Times New Roman"/>
          <w:sz w:val="24"/>
          <w:szCs w:val="28"/>
          <w:lang w:val="es-CO"/>
        </w:rPr>
      </w:pPr>
      <w:r w:rsidRPr="007A5BA8">
        <w:rPr>
          <w:rFonts w:ascii="Times New Roman" w:hAnsi="Times New Roman" w:cs="Times New Roman"/>
          <w:sz w:val="24"/>
          <w:szCs w:val="28"/>
          <w:lang w:val="es-CO"/>
        </w:rPr>
        <w:t>El IPM municipal no tiene necesariamente frecuencia anual comparable con la contratación anual.</w:t>
      </w:r>
    </w:p>
    <w:p w14:paraId="325A706B" w14:textId="77777777" w:rsidR="00F22039" w:rsidRPr="007A5BA8" w:rsidRDefault="00000000">
      <w:pPr>
        <w:pStyle w:val="Listaconvietas"/>
        <w:rPr>
          <w:rFonts w:ascii="Times New Roman" w:hAnsi="Times New Roman" w:cs="Times New Roman"/>
          <w:sz w:val="24"/>
          <w:szCs w:val="28"/>
          <w:lang w:val="es-CO"/>
        </w:rPr>
      </w:pPr>
      <w:r w:rsidRPr="007A5BA8">
        <w:rPr>
          <w:rFonts w:ascii="Times New Roman" w:hAnsi="Times New Roman" w:cs="Times New Roman"/>
          <w:sz w:val="24"/>
          <w:szCs w:val="28"/>
          <w:lang w:val="es-CO"/>
        </w:rPr>
        <w:t>SECOP II es información administrativa autodeclarada y puede contener errores, cambios de campos, duplicados o registros incompletos.</w:t>
      </w:r>
    </w:p>
    <w:p w14:paraId="52977ADF" w14:textId="77777777" w:rsidR="00F22039" w:rsidRPr="007A5BA8" w:rsidRDefault="00000000">
      <w:pPr>
        <w:pStyle w:val="Listaconvietas"/>
        <w:rPr>
          <w:rFonts w:ascii="Times New Roman" w:hAnsi="Times New Roman" w:cs="Times New Roman"/>
          <w:sz w:val="24"/>
          <w:szCs w:val="28"/>
          <w:lang w:val="es-CO"/>
        </w:rPr>
      </w:pPr>
      <w:r w:rsidRPr="007A5BA8">
        <w:rPr>
          <w:rFonts w:ascii="Times New Roman" w:hAnsi="Times New Roman" w:cs="Times New Roman"/>
          <w:sz w:val="24"/>
          <w:szCs w:val="28"/>
          <w:lang w:val="es-CO"/>
        </w:rPr>
        <w:t>El valor de un contrato no equivale necesariamente al gasto efectivamente ejecutado ni al beneficio social generado.</w:t>
      </w:r>
    </w:p>
    <w:p w14:paraId="1851AEF1" w14:textId="77777777" w:rsidR="00F22039" w:rsidRPr="007A5BA8" w:rsidRDefault="00000000">
      <w:pPr>
        <w:pStyle w:val="Listaconvietas"/>
        <w:rPr>
          <w:rFonts w:ascii="Times New Roman" w:hAnsi="Times New Roman" w:cs="Times New Roman"/>
          <w:sz w:val="24"/>
          <w:szCs w:val="28"/>
          <w:lang w:val="es-CO"/>
        </w:rPr>
      </w:pPr>
      <w:r w:rsidRPr="007A5BA8">
        <w:rPr>
          <w:rFonts w:ascii="Times New Roman" w:hAnsi="Times New Roman" w:cs="Times New Roman"/>
          <w:sz w:val="24"/>
          <w:szCs w:val="28"/>
          <w:lang w:val="es-CO"/>
        </w:rPr>
        <w:t>La localización de una entidad contratante no implica que el beneficio económico del contrato permanezca en el mismo municipio.</w:t>
      </w:r>
    </w:p>
    <w:p w14:paraId="10B12154" w14:textId="77777777" w:rsidR="00F22039" w:rsidRPr="007A5BA8" w:rsidRDefault="00000000">
      <w:pPr>
        <w:pStyle w:val="Listaconvietas"/>
        <w:rPr>
          <w:rFonts w:ascii="Times New Roman" w:hAnsi="Times New Roman" w:cs="Times New Roman"/>
          <w:sz w:val="24"/>
          <w:szCs w:val="28"/>
          <w:lang w:val="es-CO"/>
        </w:rPr>
      </w:pPr>
      <w:r w:rsidRPr="007A5BA8">
        <w:rPr>
          <w:rFonts w:ascii="Times New Roman" w:hAnsi="Times New Roman" w:cs="Times New Roman"/>
          <w:sz w:val="24"/>
          <w:szCs w:val="28"/>
          <w:lang w:val="es-CO"/>
        </w:rPr>
        <w:t>Una asociación estadística no identifica causalidad.</w:t>
      </w:r>
    </w:p>
    <w:p w14:paraId="76585BD2" w14:textId="77777777" w:rsidR="00F22039" w:rsidRPr="007A5BA8" w:rsidRDefault="00000000">
      <w:pPr>
        <w:pStyle w:val="Listaconvietas"/>
        <w:rPr>
          <w:rFonts w:ascii="Times New Roman" w:hAnsi="Times New Roman" w:cs="Times New Roman"/>
          <w:sz w:val="24"/>
          <w:szCs w:val="28"/>
          <w:lang w:val="es-CO"/>
        </w:rPr>
      </w:pPr>
      <w:r w:rsidRPr="007A5BA8">
        <w:rPr>
          <w:rFonts w:ascii="Times New Roman" w:hAnsi="Times New Roman" w:cs="Times New Roman"/>
          <w:sz w:val="24"/>
          <w:szCs w:val="28"/>
          <w:lang w:val="es-CO"/>
        </w:rPr>
        <w:t>Los municipios presentan tamaños poblacionales y estructuras institucionales muy diferentes.</w:t>
      </w:r>
    </w:p>
    <w:p w14:paraId="36C76BFE" w14:textId="77777777" w:rsidR="00F22039" w:rsidRPr="007A5BA8" w:rsidRDefault="00000000">
      <w:pPr>
        <w:pStyle w:val="Listaconvietas"/>
        <w:rPr>
          <w:rFonts w:ascii="Times New Roman" w:hAnsi="Times New Roman" w:cs="Times New Roman"/>
          <w:sz w:val="24"/>
          <w:szCs w:val="28"/>
          <w:lang w:val="es-CO"/>
        </w:rPr>
      </w:pPr>
      <w:r w:rsidRPr="007A5BA8">
        <w:rPr>
          <w:rFonts w:ascii="Times New Roman" w:hAnsi="Times New Roman" w:cs="Times New Roman"/>
          <w:sz w:val="24"/>
          <w:szCs w:val="28"/>
          <w:lang w:val="es-CO"/>
        </w:rPr>
        <w:t>Los cambios metodológicos de SECOP y DANE deberán documentarse antes de comparar periodos.</w:t>
      </w:r>
    </w:p>
    <w:p w14:paraId="1B86CDE9" w14:textId="77777777" w:rsidR="00F22039" w:rsidRPr="007A5BA8" w:rsidRDefault="00000000">
      <w:pPr>
        <w:pStyle w:val="Ttulo1"/>
        <w:rPr>
          <w:rFonts w:ascii="Times New Roman" w:hAnsi="Times New Roman" w:cs="Times New Roman"/>
          <w:sz w:val="36"/>
          <w:szCs w:val="36"/>
        </w:rPr>
      </w:pPr>
      <w:r w:rsidRPr="007A5BA8">
        <w:rPr>
          <w:rFonts w:ascii="Times New Roman" w:hAnsi="Times New Roman" w:cs="Times New Roman"/>
          <w:sz w:val="36"/>
          <w:szCs w:val="36"/>
        </w:rPr>
        <w:t>10. Agenda de investigación siguiente</w:t>
      </w:r>
    </w:p>
    <w:p w14:paraId="1D9626EF"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Auditar completamente las variables y años del histórico SECOP II del repositorio.</w:t>
      </w:r>
    </w:p>
    <w:p w14:paraId="246056A6"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Construir un diccionario de variables de contratación y clasificar cada campo por función analítica.</w:t>
      </w:r>
    </w:p>
    <w:p w14:paraId="1EE8DE25"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Identificar las variables municipales DANE compatibles con el IPM y la dimensión temporal.</w:t>
      </w:r>
    </w:p>
    <w:p w14:paraId="669F01FD"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Definir el mecanismo de integración territorial mediante DIVIPOLA.</w:t>
      </w:r>
    </w:p>
    <w:p w14:paraId="7D1C2ADC"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Realizar EDA y auditoría de calidad antes de construir el índice.</w:t>
      </w:r>
    </w:p>
    <w:p w14:paraId="3CA545F7"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Evaluar la factibilidad estadística del PCA y construir versiones alternativas del índice.</w:t>
      </w:r>
    </w:p>
    <w:p w14:paraId="2B79DAF1"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Definir formalmente la medida de correspondencia y compararla con varias alternativas.</w:t>
      </w:r>
    </w:p>
    <w:p w14:paraId="7CD10A97"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Construir medidas de brecha territorial.</w:t>
      </w:r>
    </w:p>
    <w:p w14:paraId="7A904826"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Diagnosticar dependencia espacial antes de utilizar modelos espaciales.</w:t>
      </w:r>
    </w:p>
    <w:p w14:paraId="0C2CDF68"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lastRenderedPageBreak/>
        <w:t>Definir el modelo temporal/panel según la disponibilidad real de datos.</w:t>
      </w:r>
    </w:p>
    <w:p w14:paraId="3083472A"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Ampliar la revisión bibliográfica en </w:t>
      </w:r>
      <w:proofErr w:type="spellStart"/>
      <w:r w:rsidRPr="007A5BA8">
        <w:rPr>
          <w:rFonts w:ascii="Times New Roman" w:hAnsi="Times New Roman" w:cs="Times New Roman"/>
          <w:sz w:val="24"/>
          <w:szCs w:val="28"/>
          <w:lang w:val="es-CO"/>
        </w:rPr>
        <w:t>Scopus</w:t>
      </w:r>
      <w:proofErr w:type="spellEnd"/>
      <w:r w:rsidRPr="007A5BA8">
        <w:rPr>
          <w:rFonts w:ascii="Times New Roman" w:hAnsi="Times New Roman" w:cs="Times New Roman"/>
          <w:sz w:val="24"/>
          <w:szCs w:val="28"/>
          <w:lang w:val="es-CO"/>
        </w:rPr>
        <w:t xml:space="preserve">/Web </w:t>
      </w:r>
      <w:proofErr w:type="spellStart"/>
      <w:r w:rsidRPr="007A5BA8">
        <w:rPr>
          <w:rFonts w:ascii="Times New Roman" w:hAnsi="Times New Roman" w:cs="Times New Roman"/>
          <w:sz w:val="24"/>
          <w:szCs w:val="28"/>
          <w:lang w:val="es-CO"/>
        </w:rPr>
        <w:t>of</w:t>
      </w:r>
      <w:proofErr w:type="spellEnd"/>
      <w:r w:rsidRPr="007A5BA8">
        <w:rPr>
          <w:rFonts w:ascii="Times New Roman" w:hAnsi="Times New Roman" w:cs="Times New Roman"/>
          <w:sz w:val="24"/>
          <w:szCs w:val="28"/>
          <w:lang w:val="es-CO"/>
        </w:rPr>
        <w:t xml:space="preserve"> </w:t>
      </w:r>
      <w:proofErr w:type="spellStart"/>
      <w:r w:rsidRPr="007A5BA8">
        <w:rPr>
          <w:rFonts w:ascii="Times New Roman" w:hAnsi="Times New Roman" w:cs="Times New Roman"/>
          <w:sz w:val="24"/>
          <w:szCs w:val="28"/>
          <w:lang w:val="es-CO"/>
        </w:rPr>
        <w:t>Science</w:t>
      </w:r>
      <w:proofErr w:type="spellEnd"/>
      <w:r w:rsidRPr="007A5BA8">
        <w:rPr>
          <w:rFonts w:ascii="Times New Roman" w:hAnsi="Times New Roman" w:cs="Times New Roman"/>
          <w:sz w:val="24"/>
          <w:szCs w:val="28"/>
          <w:lang w:val="es-CO"/>
        </w:rPr>
        <w:t>/SciELO/Redalyc y repositorios nacionales.</w:t>
      </w:r>
    </w:p>
    <w:p w14:paraId="374DDA72" w14:textId="77777777" w:rsidR="00F22039" w:rsidRPr="007A5BA8" w:rsidRDefault="00000000">
      <w:pPr>
        <w:pStyle w:val="Listaconnmeros"/>
        <w:rPr>
          <w:rFonts w:ascii="Times New Roman" w:hAnsi="Times New Roman" w:cs="Times New Roman"/>
          <w:sz w:val="24"/>
          <w:szCs w:val="28"/>
          <w:lang w:val="es-CO"/>
        </w:rPr>
      </w:pPr>
      <w:r w:rsidRPr="007A5BA8">
        <w:rPr>
          <w:rFonts w:ascii="Times New Roman" w:hAnsi="Times New Roman" w:cs="Times New Roman"/>
          <w:sz w:val="24"/>
          <w:szCs w:val="28"/>
          <w:lang w:val="es-CO"/>
        </w:rPr>
        <w:t>Redactar problema, justificación, objetivo general, objetivos específicos y metodología definitiva.</w:t>
      </w:r>
    </w:p>
    <w:p w14:paraId="40C20621" w14:textId="77777777" w:rsidR="00F22039" w:rsidRPr="007A5BA8" w:rsidRDefault="00000000">
      <w:pPr>
        <w:pStyle w:val="Ttulo1"/>
        <w:rPr>
          <w:rFonts w:ascii="Times New Roman" w:hAnsi="Times New Roman" w:cs="Times New Roman"/>
          <w:sz w:val="36"/>
          <w:szCs w:val="36"/>
          <w:lang w:val="es-CO"/>
        </w:rPr>
      </w:pPr>
      <w:r w:rsidRPr="007A5BA8">
        <w:rPr>
          <w:rFonts w:ascii="Times New Roman" w:hAnsi="Times New Roman" w:cs="Times New Roman"/>
          <w:sz w:val="36"/>
          <w:szCs w:val="36"/>
          <w:lang w:val="es-CO"/>
        </w:rPr>
        <w:t>11. Referencias bibliográficas — APA 7</w:t>
      </w:r>
    </w:p>
    <w:p w14:paraId="6E71FB19" w14:textId="77777777" w:rsidR="00F22039" w:rsidRPr="007A5BA8" w:rsidRDefault="00000000">
      <w:pPr>
        <w:spacing w:after="80"/>
        <w:ind w:left="432" w:hanging="432"/>
        <w:rPr>
          <w:rFonts w:ascii="Times New Roman" w:hAnsi="Times New Roman" w:cs="Times New Roman"/>
          <w:sz w:val="24"/>
          <w:szCs w:val="28"/>
        </w:rPr>
      </w:pPr>
      <w:proofErr w:type="spellStart"/>
      <w:r w:rsidRPr="007A5BA8">
        <w:rPr>
          <w:rFonts w:ascii="Times New Roman" w:hAnsi="Times New Roman" w:cs="Times New Roman"/>
          <w:sz w:val="24"/>
          <w:szCs w:val="28"/>
          <w:lang w:val="es-CO"/>
        </w:rPr>
        <w:t>Arachia</w:t>
      </w:r>
      <w:proofErr w:type="spellEnd"/>
      <w:r w:rsidRPr="007A5BA8">
        <w:rPr>
          <w:rFonts w:ascii="Times New Roman" w:hAnsi="Times New Roman" w:cs="Times New Roman"/>
          <w:sz w:val="24"/>
          <w:szCs w:val="28"/>
          <w:lang w:val="es-CO"/>
        </w:rPr>
        <w:t xml:space="preserve">, G., </w:t>
      </w:r>
      <w:proofErr w:type="spellStart"/>
      <w:r w:rsidRPr="007A5BA8">
        <w:rPr>
          <w:rFonts w:ascii="Times New Roman" w:hAnsi="Times New Roman" w:cs="Times New Roman"/>
          <w:sz w:val="24"/>
          <w:szCs w:val="28"/>
          <w:lang w:val="es-CO"/>
        </w:rPr>
        <w:t>Assisi</w:t>
      </w:r>
      <w:proofErr w:type="spellEnd"/>
      <w:r w:rsidRPr="007A5BA8">
        <w:rPr>
          <w:rFonts w:ascii="Times New Roman" w:hAnsi="Times New Roman" w:cs="Times New Roman"/>
          <w:sz w:val="24"/>
          <w:szCs w:val="28"/>
          <w:lang w:val="es-CO"/>
        </w:rPr>
        <w:t xml:space="preserve">, D., </w:t>
      </w:r>
      <w:proofErr w:type="spellStart"/>
      <w:r w:rsidRPr="007A5BA8">
        <w:rPr>
          <w:rFonts w:ascii="Times New Roman" w:hAnsi="Times New Roman" w:cs="Times New Roman"/>
          <w:sz w:val="24"/>
          <w:szCs w:val="28"/>
          <w:lang w:val="es-CO"/>
        </w:rPr>
        <w:t>Cesi</w:t>
      </w:r>
      <w:proofErr w:type="spellEnd"/>
      <w:r w:rsidRPr="007A5BA8">
        <w:rPr>
          <w:rFonts w:ascii="Times New Roman" w:hAnsi="Times New Roman" w:cs="Times New Roman"/>
          <w:sz w:val="24"/>
          <w:szCs w:val="28"/>
          <w:lang w:val="es-CO"/>
        </w:rPr>
        <w:t xml:space="preserve">, B., Giuranno, M. G., &amp; Russo, F. (2024). </w:t>
      </w:r>
      <w:r w:rsidRPr="007A5BA8">
        <w:rPr>
          <w:rFonts w:ascii="Times New Roman" w:hAnsi="Times New Roman" w:cs="Times New Roman"/>
          <w:sz w:val="24"/>
          <w:szCs w:val="28"/>
        </w:rPr>
        <w:t>Intermunicipal cooperation in public procurement. Regional Studies, 58(11), 2055–2073. https://doi.org/10.1080/00343404.2024.2350615</w:t>
      </w:r>
    </w:p>
    <w:p w14:paraId="25BAE97E"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lang w:val="es-CO"/>
        </w:rPr>
        <w:t>Ardila-Rueda, L. (2004). Gasto público y convergencia regional en Colombia. Ensayos Sobre Política Económica, 22(45), 222–268.</w:t>
      </w:r>
    </w:p>
    <w:p w14:paraId="0E9C408C"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lang w:val="es-CO"/>
        </w:rPr>
        <w:t>Bonet-Morón, J. (2006). Desequilibrios regionales en la política de descentralización en Colombia. Banco de la República, Documento de Trabajo sobre Economía Regional y Urbana No. 77.</w:t>
      </w:r>
    </w:p>
    <w:p w14:paraId="1B64F010"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Díaz Díez, C. A. (2023). Obligatoriedad del Sistema Electrónico de Contratación Pública (SECOP) para las entidades estatales con régimen contractual excepcional: un supuesto de retorno del Derecho Administrativo en Colombia. Revista </w:t>
      </w:r>
      <w:proofErr w:type="spellStart"/>
      <w:r w:rsidRPr="007A5BA8">
        <w:rPr>
          <w:rFonts w:ascii="Times New Roman" w:hAnsi="Times New Roman" w:cs="Times New Roman"/>
          <w:sz w:val="24"/>
          <w:szCs w:val="28"/>
          <w:lang w:val="es-CO"/>
        </w:rPr>
        <w:t>Eurolatinoamericana</w:t>
      </w:r>
      <w:proofErr w:type="spellEnd"/>
      <w:r w:rsidRPr="007A5BA8">
        <w:rPr>
          <w:rFonts w:ascii="Times New Roman" w:hAnsi="Times New Roman" w:cs="Times New Roman"/>
          <w:sz w:val="24"/>
          <w:szCs w:val="28"/>
          <w:lang w:val="es-CO"/>
        </w:rPr>
        <w:t xml:space="preserve"> de Derecho Administrativo, 10(2).</w:t>
      </w:r>
    </w:p>
    <w:p w14:paraId="0A5A47F1" w14:textId="77777777" w:rsidR="00F22039" w:rsidRPr="007A5BA8" w:rsidRDefault="00000000">
      <w:pPr>
        <w:spacing w:after="80"/>
        <w:ind w:left="432" w:hanging="432"/>
        <w:rPr>
          <w:rFonts w:ascii="Times New Roman" w:hAnsi="Times New Roman" w:cs="Times New Roman"/>
          <w:sz w:val="24"/>
          <w:szCs w:val="28"/>
        </w:rPr>
      </w:pPr>
      <w:r w:rsidRPr="007A5BA8">
        <w:rPr>
          <w:rFonts w:ascii="Times New Roman" w:hAnsi="Times New Roman" w:cs="Times New Roman"/>
          <w:sz w:val="24"/>
          <w:szCs w:val="28"/>
          <w:lang w:val="es-CO"/>
        </w:rPr>
        <w:t xml:space="preserve">Figueroa-Gómez, Y., &amp; Galpin, I. (2024). </w:t>
      </w:r>
      <w:r w:rsidRPr="007A5BA8">
        <w:rPr>
          <w:rFonts w:ascii="Times New Roman" w:hAnsi="Times New Roman" w:cs="Times New Roman"/>
          <w:sz w:val="24"/>
          <w:szCs w:val="28"/>
        </w:rPr>
        <w:t>Identifying public tenders of interest using classification models: A comparative analysis. SN Computer Science, 5, 87. https://doi.org/10.1007/s42979-023-02443-3</w:t>
      </w:r>
    </w:p>
    <w:p w14:paraId="4486AFE2"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rPr>
        <w:t xml:space="preserve">Ferry, L., et al. (2023). Public procurement as a policy tool: The territorial dimension. </w:t>
      </w:r>
      <w:r w:rsidRPr="007A5BA8">
        <w:rPr>
          <w:rFonts w:ascii="Times New Roman" w:hAnsi="Times New Roman" w:cs="Times New Roman"/>
          <w:sz w:val="24"/>
          <w:szCs w:val="28"/>
          <w:lang w:val="es-CO"/>
        </w:rPr>
        <w:t xml:space="preserve">Regional </w:t>
      </w:r>
      <w:proofErr w:type="spellStart"/>
      <w:r w:rsidRPr="007A5BA8">
        <w:rPr>
          <w:rFonts w:ascii="Times New Roman" w:hAnsi="Times New Roman" w:cs="Times New Roman"/>
          <w:sz w:val="24"/>
          <w:szCs w:val="28"/>
          <w:lang w:val="es-CO"/>
        </w:rPr>
        <w:t>Studies</w:t>
      </w:r>
      <w:proofErr w:type="spellEnd"/>
      <w:r w:rsidRPr="007A5BA8">
        <w:rPr>
          <w:rFonts w:ascii="Times New Roman" w:hAnsi="Times New Roman" w:cs="Times New Roman"/>
          <w:sz w:val="24"/>
          <w:szCs w:val="28"/>
          <w:lang w:val="es-CO"/>
        </w:rPr>
        <w:t>, 57(11), 2087–2101. https://doi.org/10.1080/00343404.2022.2134850</w:t>
      </w:r>
    </w:p>
    <w:p w14:paraId="7E1647F1"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lang w:val="es-CO"/>
        </w:rPr>
        <w:t>Gutiérrez Vanegas, K. F. (2024). Implementación de banderas rojas en la contratación pública en Colombia utilizando datos abiertos [Trabajo de grado]. Fundación Universitaria Los Libertadores.</w:t>
      </w:r>
    </w:p>
    <w:p w14:paraId="37D2D666"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lang w:val="es-CO"/>
        </w:rPr>
        <w:t xml:space="preserve">Monsalvo Herrera, A. E., &amp; Jiménez, W. G. (2025). Pobreza multidimensional: un análisis espacial en los municipios de Cundinamarca, Colombia. </w:t>
      </w:r>
      <w:proofErr w:type="spellStart"/>
      <w:r w:rsidRPr="007A5BA8">
        <w:rPr>
          <w:rFonts w:ascii="Times New Roman" w:hAnsi="Times New Roman" w:cs="Times New Roman"/>
          <w:sz w:val="24"/>
          <w:szCs w:val="28"/>
          <w:lang w:val="es-CO"/>
        </w:rPr>
        <w:t>Novum</w:t>
      </w:r>
      <w:proofErr w:type="spellEnd"/>
      <w:r w:rsidRPr="007A5BA8">
        <w:rPr>
          <w:rFonts w:ascii="Times New Roman" w:hAnsi="Times New Roman" w:cs="Times New Roman"/>
          <w:sz w:val="24"/>
          <w:szCs w:val="28"/>
          <w:lang w:val="es-CO"/>
        </w:rPr>
        <w:t xml:space="preserve"> </w:t>
      </w:r>
      <w:proofErr w:type="spellStart"/>
      <w:r w:rsidRPr="007A5BA8">
        <w:rPr>
          <w:rFonts w:ascii="Times New Roman" w:hAnsi="Times New Roman" w:cs="Times New Roman"/>
          <w:sz w:val="24"/>
          <w:szCs w:val="28"/>
          <w:lang w:val="es-CO"/>
        </w:rPr>
        <w:t>Jus</w:t>
      </w:r>
      <w:proofErr w:type="spellEnd"/>
      <w:r w:rsidRPr="007A5BA8">
        <w:rPr>
          <w:rFonts w:ascii="Times New Roman" w:hAnsi="Times New Roman" w:cs="Times New Roman"/>
          <w:sz w:val="24"/>
          <w:szCs w:val="28"/>
          <w:lang w:val="es-CO"/>
        </w:rPr>
        <w:t>, 19(2), 213–251. https://doi.org/10.14718/NovumJus.2025.19.2.8</w:t>
      </w:r>
    </w:p>
    <w:p w14:paraId="2E77C59F" w14:textId="77777777" w:rsidR="00F22039" w:rsidRPr="007A5BA8" w:rsidRDefault="00000000">
      <w:pPr>
        <w:spacing w:after="80"/>
        <w:ind w:left="432" w:hanging="432"/>
        <w:rPr>
          <w:rFonts w:ascii="Times New Roman" w:hAnsi="Times New Roman" w:cs="Times New Roman"/>
          <w:sz w:val="24"/>
          <w:szCs w:val="28"/>
        </w:rPr>
      </w:pPr>
      <w:r w:rsidRPr="007A5BA8">
        <w:rPr>
          <w:rFonts w:ascii="Times New Roman" w:hAnsi="Times New Roman" w:cs="Times New Roman"/>
          <w:sz w:val="24"/>
          <w:szCs w:val="28"/>
          <w:lang w:val="es-CO"/>
        </w:rPr>
        <w:t xml:space="preserve">Norbäck, M., &amp; Zapata Campos, M. J. (2022). </w:t>
      </w:r>
      <w:r w:rsidRPr="007A5BA8">
        <w:rPr>
          <w:rFonts w:ascii="Times New Roman" w:hAnsi="Times New Roman" w:cs="Times New Roman"/>
          <w:sz w:val="24"/>
          <w:szCs w:val="28"/>
        </w:rPr>
        <w:t>The market made us do it: Public procurement and collaborative labour market inclusion governance from below. Social Policy &amp; Administration, 56(4), 632–647. https://doi.org/10.1111/spol.12787</w:t>
      </w:r>
    </w:p>
    <w:p w14:paraId="43E531F0" w14:textId="77777777" w:rsidR="00F22039" w:rsidRPr="007A5BA8" w:rsidRDefault="00000000">
      <w:pPr>
        <w:spacing w:after="80"/>
        <w:ind w:left="432" w:hanging="432"/>
        <w:rPr>
          <w:rFonts w:ascii="Times New Roman" w:hAnsi="Times New Roman" w:cs="Times New Roman"/>
          <w:sz w:val="24"/>
          <w:szCs w:val="28"/>
        </w:rPr>
      </w:pPr>
      <w:r w:rsidRPr="007A5BA8">
        <w:rPr>
          <w:rFonts w:ascii="Times New Roman" w:hAnsi="Times New Roman" w:cs="Times New Roman"/>
          <w:sz w:val="24"/>
          <w:szCs w:val="28"/>
        </w:rPr>
        <w:t>Rodriguez-Plesa, E., Dimand, A.-M., &amp; Alkadry, M. G. (2022). Community social capital, political values, or organizational capacity? Indicators of engagement in sustainable public procurement at the local level. Journal of Cleaner Production, 338, 130556. https://doi.org/10.1016/j.jclepro.2022.130556</w:t>
      </w:r>
    </w:p>
    <w:p w14:paraId="4AB9A179" w14:textId="77777777" w:rsidR="00F22039" w:rsidRPr="007A5BA8" w:rsidRDefault="00000000">
      <w:pPr>
        <w:spacing w:after="80"/>
        <w:ind w:left="432" w:hanging="432"/>
        <w:rPr>
          <w:rFonts w:ascii="Times New Roman" w:hAnsi="Times New Roman" w:cs="Times New Roman"/>
          <w:sz w:val="24"/>
          <w:szCs w:val="28"/>
        </w:rPr>
      </w:pPr>
      <w:r w:rsidRPr="007A5BA8">
        <w:rPr>
          <w:rFonts w:ascii="Times New Roman" w:hAnsi="Times New Roman" w:cs="Times New Roman"/>
          <w:sz w:val="24"/>
          <w:szCs w:val="28"/>
        </w:rPr>
        <w:lastRenderedPageBreak/>
        <w:t>Salazar, A., Pérez, J. F., &amp; Gallego, J. (2024). VigIA: Prioritizing public procurement oversight with machine learning models and risk indices. Data &amp; Policy, 6, e75. https://doi.org/10.1017/dap.2024.83</w:t>
      </w:r>
    </w:p>
    <w:p w14:paraId="4E747E44"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rPr>
        <w:t xml:space="preserve">Sarter, E. K. (2024). Public procurement and labour market inequality: Conceptualising a multi-faceted relationship. </w:t>
      </w:r>
      <w:proofErr w:type="spellStart"/>
      <w:r w:rsidRPr="007A5BA8">
        <w:rPr>
          <w:rFonts w:ascii="Times New Roman" w:hAnsi="Times New Roman" w:cs="Times New Roman"/>
          <w:sz w:val="24"/>
          <w:szCs w:val="28"/>
          <w:lang w:val="es-CO"/>
        </w:rPr>
        <w:t>Journal</w:t>
      </w:r>
      <w:proofErr w:type="spellEnd"/>
      <w:r w:rsidRPr="007A5BA8">
        <w:rPr>
          <w:rFonts w:ascii="Times New Roman" w:hAnsi="Times New Roman" w:cs="Times New Roman"/>
          <w:sz w:val="24"/>
          <w:szCs w:val="28"/>
          <w:lang w:val="es-CO"/>
        </w:rPr>
        <w:t xml:space="preserve"> </w:t>
      </w:r>
      <w:proofErr w:type="spellStart"/>
      <w:r w:rsidRPr="007A5BA8">
        <w:rPr>
          <w:rFonts w:ascii="Times New Roman" w:hAnsi="Times New Roman" w:cs="Times New Roman"/>
          <w:sz w:val="24"/>
          <w:szCs w:val="28"/>
          <w:lang w:val="es-CO"/>
        </w:rPr>
        <w:t>of</w:t>
      </w:r>
      <w:proofErr w:type="spellEnd"/>
      <w:r w:rsidRPr="007A5BA8">
        <w:rPr>
          <w:rFonts w:ascii="Times New Roman" w:hAnsi="Times New Roman" w:cs="Times New Roman"/>
          <w:sz w:val="24"/>
          <w:szCs w:val="28"/>
          <w:lang w:val="es-CO"/>
        </w:rPr>
        <w:t xml:space="preserve"> Industrial </w:t>
      </w:r>
      <w:proofErr w:type="spellStart"/>
      <w:r w:rsidRPr="007A5BA8">
        <w:rPr>
          <w:rFonts w:ascii="Times New Roman" w:hAnsi="Times New Roman" w:cs="Times New Roman"/>
          <w:sz w:val="24"/>
          <w:szCs w:val="28"/>
          <w:lang w:val="es-CO"/>
        </w:rPr>
        <w:t>Relations</w:t>
      </w:r>
      <w:proofErr w:type="spellEnd"/>
      <w:r w:rsidRPr="007A5BA8">
        <w:rPr>
          <w:rFonts w:ascii="Times New Roman" w:hAnsi="Times New Roman" w:cs="Times New Roman"/>
          <w:sz w:val="24"/>
          <w:szCs w:val="28"/>
          <w:lang w:val="es-CO"/>
        </w:rPr>
        <w:t>, 66(1), 130–152. https://doi.org/10.1177/00221856231221417</w:t>
      </w:r>
    </w:p>
    <w:p w14:paraId="661CD257"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lang w:val="es-CO"/>
        </w:rPr>
        <w:t>DANE. (2018). Medida de pobreza multidimensional de fuente censal. Departamento Administrativo Nacional de Estadística.</w:t>
      </w:r>
    </w:p>
    <w:p w14:paraId="7ABE3310" w14:textId="77777777" w:rsidR="00F22039" w:rsidRPr="007A5BA8" w:rsidRDefault="00000000">
      <w:pPr>
        <w:spacing w:after="80"/>
        <w:ind w:left="432" w:hanging="432"/>
        <w:rPr>
          <w:rFonts w:ascii="Times New Roman" w:hAnsi="Times New Roman" w:cs="Times New Roman"/>
          <w:sz w:val="24"/>
          <w:szCs w:val="28"/>
        </w:rPr>
      </w:pPr>
      <w:r w:rsidRPr="007A5BA8">
        <w:rPr>
          <w:rFonts w:ascii="Times New Roman" w:hAnsi="Times New Roman" w:cs="Times New Roman"/>
          <w:sz w:val="24"/>
          <w:szCs w:val="28"/>
          <w:lang w:val="es-CO"/>
        </w:rPr>
        <w:t xml:space="preserve">Departamento Nacional de Planeación. (2024). </w:t>
      </w:r>
      <w:proofErr w:type="spellStart"/>
      <w:r w:rsidRPr="007A5BA8">
        <w:rPr>
          <w:rFonts w:ascii="Times New Roman" w:hAnsi="Times New Roman" w:cs="Times New Roman"/>
          <w:sz w:val="24"/>
          <w:szCs w:val="28"/>
          <w:lang w:val="es-CO"/>
        </w:rPr>
        <w:t>TerriData</w:t>
      </w:r>
      <w:proofErr w:type="spellEnd"/>
      <w:r w:rsidRPr="007A5BA8">
        <w:rPr>
          <w:rFonts w:ascii="Times New Roman" w:hAnsi="Times New Roman" w:cs="Times New Roman"/>
          <w:sz w:val="24"/>
          <w:szCs w:val="28"/>
          <w:lang w:val="es-CO"/>
        </w:rPr>
        <w:t xml:space="preserve">: Sistema de Estadísticas Territoriales. </w:t>
      </w:r>
      <w:r w:rsidRPr="007A5BA8">
        <w:rPr>
          <w:rFonts w:ascii="Times New Roman" w:hAnsi="Times New Roman" w:cs="Times New Roman"/>
          <w:sz w:val="24"/>
          <w:szCs w:val="28"/>
        </w:rPr>
        <w:t>DNP.</w:t>
      </w:r>
    </w:p>
    <w:p w14:paraId="6DB9D662" w14:textId="77777777" w:rsidR="00F22039" w:rsidRPr="007A5BA8" w:rsidRDefault="00000000">
      <w:pPr>
        <w:spacing w:after="80"/>
        <w:ind w:left="432" w:hanging="432"/>
        <w:rPr>
          <w:rFonts w:ascii="Times New Roman" w:hAnsi="Times New Roman" w:cs="Times New Roman"/>
          <w:sz w:val="24"/>
          <w:szCs w:val="28"/>
        </w:rPr>
      </w:pPr>
      <w:r w:rsidRPr="007A5BA8">
        <w:rPr>
          <w:rFonts w:ascii="Times New Roman" w:hAnsi="Times New Roman" w:cs="Times New Roman"/>
          <w:sz w:val="24"/>
          <w:szCs w:val="28"/>
        </w:rPr>
        <w:t>Open Contracting Partnership. (2023). Open contracting reforms to boost civic engagement and participation: The experience of nine regions in Colombia.</w:t>
      </w:r>
    </w:p>
    <w:p w14:paraId="0D626B42"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lang w:val="es-CO"/>
        </w:rPr>
        <w:t>Colombia Compra Eficiente. (2026). SECOP II: Sistema Electrónico para la Contratación Pública.</w:t>
      </w:r>
    </w:p>
    <w:p w14:paraId="13B98DFC" w14:textId="77777777" w:rsidR="00F22039" w:rsidRPr="007A5BA8" w:rsidRDefault="00000000">
      <w:pPr>
        <w:spacing w:after="80"/>
        <w:ind w:left="432" w:hanging="432"/>
        <w:rPr>
          <w:rFonts w:ascii="Times New Roman" w:hAnsi="Times New Roman" w:cs="Times New Roman"/>
          <w:sz w:val="24"/>
          <w:szCs w:val="28"/>
          <w:lang w:val="es-CO"/>
        </w:rPr>
      </w:pPr>
      <w:r w:rsidRPr="007A5BA8">
        <w:rPr>
          <w:rFonts w:ascii="Times New Roman" w:hAnsi="Times New Roman" w:cs="Times New Roman"/>
          <w:sz w:val="24"/>
          <w:szCs w:val="28"/>
          <w:lang w:val="es-CO"/>
        </w:rPr>
        <w:t>Datos Abiertos Colombia. (2026). SECOP II — Contratos Electrónicos.</w:t>
      </w:r>
    </w:p>
    <w:p w14:paraId="5088A934" w14:textId="77777777" w:rsidR="00F22039" w:rsidRPr="007A5BA8" w:rsidRDefault="00000000">
      <w:pPr>
        <w:pStyle w:val="Ttulo1"/>
        <w:rPr>
          <w:rFonts w:ascii="Times New Roman" w:hAnsi="Times New Roman" w:cs="Times New Roman"/>
          <w:sz w:val="36"/>
          <w:szCs w:val="36"/>
          <w:lang w:val="es-CO"/>
        </w:rPr>
      </w:pPr>
      <w:r w:rsidRPr="007A5BA8">
        <w:rPr>
          <w:rFonts w:ascii="Times New Roman" w:hAnsi="Times New Roman" w:cs="Times New Roman"/>
          <w:sz w:val="36"/>
          <w:szCs w:val="36"/>
          <w:lang w:val="es-CO"/>
        </w:rPr>
        <w:t>12. Nota metodológica sobre originalidad</w:t>
      </w:r>
    </w:p>
    <w:p w14:paraId="25D0139F" w14:textId="77777777" w:rsidR="00F22039" w:rsidRPr="007A5BA8" w:rsidRDefault="00000000">
      <w:pPr>
        <w:rPr>
          <w:rFonts w:ascii="Times New Roman" w:hAnsi="Times New Roman" w:cs="Times New Roman"/>
          <w:sz w:val="24"/>
          <w:szCs w:val="28"/>
          <w:lang w:val="es-CO"/>
        </w:rPr>
      </w:pPr>
      <w:r w:rsidRPr="007A5BA8">
        <w:rPr>
          <w:rFonts w:ascii="Times New Roman" w:hAnsi="Times New Roman" w:cs="Times New Roman"/>
          <w:sz w:val="24"/>
          <w:szCs w:val="28"/>
          <w:lang w:val="es-CO"/>
        </w:rPr>
        <w:t>El repositorio revisado es una referencia externa utilizada como punto de partida para identificar fuentes, estructura de datos y antecedentes. El presente proyecto se plantea como una investigación independiente. El aporte original propuesto consiste en integrar, a escala municipal, un índice de vulnerabilidad socioeconómica basado en IPM/PCA con medidas de contratación pública y desarrollar un marco estadístico explícito para estudiar asociación, correspondencia y brechas, incorporando dimensión temporal y espacial cuando los datos lo justifiquen.</w:t>
      </w:r>
    </w:p>
    <w:sectPr w:rsidR="00F22039" w:rsidRPr="007A5BA8"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1902452">
    <w:abstractNumId w:val="8"/>
  </w:num>
  <w:num w:numId="2" w16cid:durableId="278532860">
    <w:abstractNumId w:val="6"/>
  </w:num>
  <w:num w:numId="3" w16cid:durableId="753548485">
    <w:abstractNumId w:val="5"/>
  </w:num>
  <w:num w:numId="4" w16cid:durableId="1375734435">
    <w:abstractNumId w:val="4"/>
  </w:num>
  <w:num w:numId="5" w16cid:durableId="1225222202">
    <w:abstractNumId w:val="7"/>
  </w:num>
  <w:num w:numId="6" w16cid:durableId="564485299">
    <w:abstractNumId w:val="3"/>
  </w:num>
  <w:num w:numId="7" w16cid:durableId="1988775397">
    <w:abstractNumId w:val="2"/>
  </w:num>
  <w:num w:numId="8" w16cid:durableId="796680954">
    <w:abstractNumId w:val="1"/>
  </w:num>
  <w:num w:numId="9" w16cid:durableId="872155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EF5"/>
    <w:rsid w:val="00517B1C"/>
    <w:rsid w:val="007A5BA8"/>
    <w:rsid w:val="00AA1D8D"/>
    <w:rsid w:val="00B47730"/>
    <w:rsid w:val="00CB0664"/>
    <w:rsid w:val="00F22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5FFE5"/>
  <w14:defaultImageDpi w14:val="300"/>
  <w15:docId w15:val="{2641273A-554D-422F-9769-40A9AC56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12</Pages>
  <Words>4320</Words>
  <Characters>23763</Characters>
  <Application>Microsoft Office Word</Application>
  <DocSecurity>0</DocSecurity>
  <Lines>198</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gallo</cp:lastModifiedBy>
  <cp:revision>2</cp:revision>
  <dcterms:created xsi:type="dcterms:W3CDTF">2013-12-23T23:15:00Z</dcterms:created>
  <dcterms:modified xsi:type="dcterms:W3CDTF">2026-09-02T00:57:00Z</dcterms:modified>
  <cp:category/>
</cp:coreProperties>
</file>