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24C" w:rsidRPr="001C6D68" w:rsidRDefault="001C6D68" w:rsidP="008A4032">
      <w:pPr>
        <w:tabs>
          <w:tab w:val="left" w:pos="4536"/>
        </w:tabs>
        <w:rPr>
          <w:sz w:val="40"/>
        </w:rPr>
      </w:pPr>
      <w:bookmarkStart w:id="0" w:name="_GoBack"/>
      <w:bookmarkEnd w:id="0"/>
      <w:r>
        <w:rPr>
          <w:noProof/>
          <w:sz w:val="40"/>
          <w:lang w:val="en-US"/>
        </w:rPr>
        <w:drawing>
          <wp:inline distT="0" distB="0" distL="0" distR="0">
            <wp:extent cx="1901190" cy="735330"/>
            <wp:effectExtent l="0" t="0" r="0" b="0"/>
            <wp:docPr id="8" name="Picture 8" descr="Mac:Users:Marco:Desktop:Assinatura A:IST_A_CMY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rco:Desktop:Assinatura A:IST_A_CMYK_POS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 w:rsidR="00C4224C" w:rsidRPr="008A4032">
        <w:rPr>
          <w:rFonts w:ascii="Arial" w:hAnsi="Arial" w:cs="Arial"/>
          <w:szCs w:val="28"/>
        </w:rPr>
        <w:t>Computação Gráfica</w:t>
      </w:r>
      <w:r w:rsidR="00B80C92">
        <w:rPr>
          <w:rFonts w:ascii="Arial" w:hAnsi="Arial" w:cs="Arial"/>
          <w:szCs w:val="28"/>
        </w:rPr>
        <w:t xml:space="preserve"> 201</w:t>
      </w:r>
      <w:r w:rsidR="000D1B26">
        <w:rPr>
          <w:rFonts w:ascii="Arial" w:hAnsi="Arial" w:cs="Arial"/>
          <w:szCs w:val="28"/>
        </w:rPr>
        <w:t>9</w:t>
      </w:r>
      <w:r w:rsidR="00B80C92">
        <w:rPr>
          <w:rFonts w:ascii="Arial" w:hAnsi="Arial" w:cs="Arial"/>
          <w:szCs w:val="28"/>
        </w:rPr>
        <w:t>/</w:t>
      </w:r>
      <w:r w:rsidR="000D1B26">
        <w:rPr>
          <w:rFonts w:ascii="Arial" w:hAnsi="Arial" w:cs="Arial"/>
          <w:szCs w:val="28"/>
        </w:rPr>
        <w:t>20</w:t>
      </w:r>
    </w:p>
    <w:p w:rsidR="008B6550" w:rsidRPr="001C6D68" w:rsidRDefault="008B6550" w:rsidP="001C6D68">
      <w:pPr>
        <w:rPr>
          <w:sz w:val="32"/>
          <w:szCs w:val="32"/>
        </w:rPr>
      </w:pPr>
    </w:p>
    <w:p w:rsidR="001C6D68" w:rsidRPr="00630E48" w:rsidRDefault="006F373D" w:rsidP="00630E48">
      <w:pPr>
        <w:jc w:val="left"/>
        <w:rPr>
          <w:b/>
          <w:szCs w:val="28"/>
        </w:rPr>
      </w:pPr>
      <w:r>
        <w:rPr>
          <w:b/>
          <w:sz w:val="36"/>
          <w:szCs w:val="36"/>
        </w:rPr>
        <w:t>Terceiro Trabalho</w:t>
      </w:r>
      <w:r w:rsidR="00630E48">
        <w:rPr>
          <w:b/>
          <w:sz w:val="36"/>
          <w:szCs w:val="36"/>
        </w:rPr>
        <w:br/>
      </w:r>
      <w:r w:rsidR="00630E48" w:rsidRPr="00630E48">
        <w:rPr>
          <w:b/>
          <w:szCs w:val="28"/>
        </w:rPr>
        <w:t xml:space="preserve">Cena </w:t>
      </w:r>
      <w:r w:rsidR="00723194">
        <w:rPr>
          <w:b/>
          <w:szCs w:val="28"/>
        </w:rPr>
        <w:t>Interativa com</w:t>
      </w:r>
      <w:r>
        <w:rPr>
          <w:b/>
          <w:szCs w:val="28"/>
        </w:rPr>
        <w:t xml:space="preserve"> Malhas,</w:t>
      </w:r>
      <w:r w:rsidR="00723194">
        <w:rPr>
          <w:b/>
          <w:szCs w:val="28"/>
        </w:rPr>
        <w:t xml:space="preserve"> Materiais e Luzes</w:t>
      </w:r>
    </w:p>
    <w:p w:rsidR="00630E48" w:rsidRPr="00C4224C" w:rsidRDefault="00630E48" w:rsidP="0034795E">
      <w:pPr>
        <w:keepNext/>
        <w:spacing w:before="480"/>
        <w:rPr>
          <w:b/>
          <w:sz w:val="32"/>
        </w:rPr>
      </w:pPr>
      <w:r w:rsidRPr="00C4224C">
        <w:rPr>
          <w:b/>
          <w:sz w:val="32"/>
        </w:rPr>
        <w:t>Objectivos</w:t>
      </w:r>
    </w:p>
    <w:p w:rsidR="00630E48" w:rsidRDefault="00630E48" w:rsidP="00630E48">
      <w:r>
        <w:t>Os objectivo</w:t>
      </w:r>
      <w:r w:rsidR="00BC77AE">
        <w:t>s</w:t>
      </w:r>
      <w:r>
        <w:t xml:space="preserve"> d</w:t>
      </w:r>
      <w:r w:rsidR="00BC77AE">
        <w:t>o</w:t>
      </w:r>
      <w:r>
        <w:t xml:space="preserve"> </w:t>
      </w:r>
      <w:r w:rsidR="00723194">
        <w:t>terceir</w:t>
      </w:r>
      <w:r w:rsidR="00BC77AE">
        <w:t>o</w:t>
      </w:r>
      <w:r>
        <w:t xml:space="preserve"> trabalho de laboratório </w:t>
      </w:r>
      <w:r w:rsidR="00A70154">
        <w:t xml:space="preserve">são </w:t>
      </w:r>
      <w:r w:rsidR="00A35BD4">
        <w:t xml:space="preserve">compreender </w:t>
      </w:r>
      <w:r w:rsidR="00723194">
        <w:t>as noções básicas de ilumin</w:t>
      </w:r>
      <w:r w:rsidR="00D55AEF">
        <w:t xml:space="preserve">ação e os conceitos de material, </w:t>
      </w:r>
      <w:r w:rsidR="00723194">
        <w:t>fonte de luz dire</w:t>
      </w:r>
      <w:r w:rsidR="00754729">
        <w:t>c</w:t>
      </w:r>
      <w:r w:rsidR="00723194">
        <w:t>cional</w:t>
      </w:r>
      <w:r w:rsidR="00D55AEF">
        <w:t xml:space="preserve"> e fonte de luz </w:t>
      </w:r>
      <w:r w:rsidR="00281020">
        <w:rPr>
          <w:i/>
        </w:rPr>
        <w:t>spot</w:t>
      </w:r>
      <w:r w:rsidR="00B76494">
        <w:rPr>
          <w:i/>
        </w:rPr>
        <w:t>light</w:t>
      </w:r>
      <w:r w:rsidR="00A70154">
        <w:t>.</w:t>
      </w:r>
      <w:r w:rsidR="00500383">
        <w:t xml:space="preserve"> É também um objectivo a </w:t>
      </w:r>
      <w:r w:rsidR="008D1512">
        <w:t xml:space="preserve">modelação geométrica por instanciação de primitivas e </w:t>
      </w:r>
      <w:r w:rsidR="00500383">
        <w:t>criação de malhas de polígonos.</w:t>
      </w:r>
    </w:p>
    <w:p w:rsidR="009C5F0E" w:rsidRDefault="00630E48" w:rsidP="00754729">
      <w:r>
        <w:t xml:space="preserve">A avaliação </w:t>
      </w:r>
      <w:r w:rsidR="006F373D">
        <w:t>deste terceiro trabalho</w:t>
      </w:r>
      <w:r w:rsidR="00754729">
        <w:t xml:space="preserve"> </w:t>
      </w:r>
      <w:r>
        <w:t xml:space="preserve">será realizada na semana de </w:t>
      </w:r>
      <w:r w:rsidR="007B479E">
        <w:rPr>
          <w:b/>
        </w:rPr>
        <w:t>4</w:t>
      </w:r>
      <w:r w:rsidRPr="00E47473">
        <w:rPr>
          <w:b/>
        </w:rPr>
        <w:t xml:space="preserve"> a </w:t>
      </w:r>
      <w:r w:rsidR="007B479E">
        <w:rPr>
          <w:b/>
        </w:rPr>
        <w:t>8</w:t>
      </w:r>
      <w:r w:rsidRPr="00BA45EA">
        <w:rPr>
          <w:b/>
        </w:rPr>
        <w:t xml:space="preserve"> de </w:t>
      </w:r>
      <w:r w:rsidR="00754729">
        <w:rPr>
          <w:b/>
        </w:rPr>
        <w:t>Novembro</w:t>
      </w:r>
      <w:r>
        <w:t xml:space="preserve"> e corresponde a </w:t>
      </w:r>
      <w:r w:rsidR="00754729">
        <w:rPr>
          <w:b/>
        </w:rPr>
        <w:t>5</w:t>
      </w:r>
      <w:r w:rsidRPr="0036716D">
        <w:rPr>
          <w:b/>
        </w:rPr>
        <w:t xml:space="preserve"> valores</w:t>
      </w:r>
      <w:r>
        <w:t xml:space="preserve"> </w:t>
      </w:r>
      <w:r w:rsidR="00754729">
        <w:t>n</w:t>
      </w:r>
      <w:r>
        <w:t>a nota do laboratório.</w:t>
      </w:r>
      <w:r w:rsidR="00754729">
        <w:t xml:space="preserve"> A realização deste trabalho tem um esforço estimado de </w:t>
      </w:r>
      <w:r w:rsidR="00754729" w:rsidRPr="00D9253D">
        <w:rPr>
          <w:b/>
        </w:rPr>
        <w:t>1</w:t>
      </w:r>
      <w:r w:rsidR="00754729">
        <w:rPr>
          <w:b/>
        </w:rPr>
        <w:t>0</w:t>
      </w:r>
      <w:r w:rsidR="00754729" w:rsidRPr="00D9253D">
        <w:rPr>
          <w:b/>
        </w:rPr>
        <w:t xml:space="preserve"> horas</w:t>
      </w:r>
      <w:r w:rsidR="00754729">
        <w:t xml:space="preserve"> por elemento do grupo, distribuído por duas semanas.</w:t>
      </w:r>
    </w:p>
    <w:p w:rsidR="007B479E" w:rsidRDefault="007B479E" w:rsidP="00754729">
      <w:r w:rsidRPr="007B479E">
        <w:t>Não esquecer de comunicar ao docente do laboratório as horas despendidas pelo grupo na realização deste trabalho (média do grupo).</w:t>
      </w:r>
    </w:p>
    <w:p w:rsidR="00630E48" w:rsidRPr="00572854" w:rsidRDefault="00572854" w:rsidP="00572854">
      <w:r>
        <w:t xml:space="preserve"> </w:t>
      </w:r>
      <w:r w:rsidR="00630E48">
        <w:rPr>
          <w:b/>
          <w:sz w:val="32"/>
        </w:rPr>
        <w:t>Tarefas</w:t>
      </w:r>
    </w:p>
    <w:p w:rsidR="00630E48" w:rsidRDefault="00630E48" w:rsidP="00630E48">
      <w:r>
        <w:t xml:space="preserve">As tarefas para </w:t>
      </w:r>
      <w:r w:rsidR="000D1B26">
        <w:t>o Terceiro Trabalho</w:t>
      </w:r>
      <w:r>
        <w:t xml:space="preserve"> são: </w:t>
      </w:r>
    </w:p>
    <w:p w:rsidR="006F373D" w:rsidRDefault="006F373D" w:rsidP="006F373D">
      <w:pPr>
        <w:pStyle w:val="PargrafodaLista"/>
        <w:numPr>
          <w:ilvl w:val="0"/>
          <w:numId w:val="5"/>
        </w:numPr>
        <w:contextualSpacing w:val="0"/>
        <w:rPr>
          <w:lang w:eastAsia="pt-PT"/>
        </w:rPr>
      </w:pPr>
      <w:r>
        <w:t>Criar uma cena contendo um</w:t>
      </w:r>
      <w:r w:rsidR="00237F18">
        <w:t xml:space="preserve"> quadro com uma pintura ‘Op Art’</w:t>
      </w:r>
      <w:r w:rsidR="00902ABB">
        <w:t xml:space="preserve"> (Figura A.1)</w:t>
      </w:r>
      <w:r w:rsidR="00237F18">
        <w:t>, uma escultura poliédrica</w:t>
      </w:r>
      <w:r>
        <w:t xml:space="preserve"> </w:t>
      </w:r>
      <w:r w:rsidR="00902ABB">
        <w:t>(Figura B.1)</w:t>
      </w:r>
      <w:r w:rsidR="00CD00EF">
        <w:t xml:space="preserve">. </w:t>
      </w:r>
      <w:r w:rsidR="008D1512">
        <w:t xml:space="preserve">A pintura terá de respeitar a aparência visual </w:t>
      </w:r>
      <w:r w:rsidR="008A4544">
        <w:t>da Figura A.1</w:t>
      </w:r>
      <w:r w:rsidR="008D1512">
        <w:t xml:space="preserve">: apresentar um </w:t>
      </w:r>
      <w:r w:rsidR="008D1512" w:rsidRPr="008D1512">
        <w:rPr>
          <w:szCs w:val="28"/>
        </w:rPr>
        <w:t>fundo cinza, ser constituída por quadrados pretos e círculos brancos</w:t>
      </w:r>
      <w:r w:rsidR="008D1512">
        <w:t xml:space="preserve"> devidamente distribuí</w:t>
      </w:r>
      <w:r w:rsidR="0033162C">
        <w:t>dos por forma a conseguir criar a ilusão óptica desejada</w:t>
      </w:r>
      <w:r w:rsidR="008D1512">
        <w:t xml:space="preserve"> quando desactivado o cálculo da iluminação (ver Ponto 2). C</w:t>
      </w:r>
      <w:r w:rsidR="008D1512" w:rsidRPr="008D1512">
        <w:rPr>
          <w:szCs w:val="28"/>
        </w:rPr>
        <w:t xml:space="preserve">ada elemento da pintura deve </w:t>
      </w:r>
      <w:r w:rsidR="00A35BD4">
        <w:rPr>
          <w:szCs w:val="28"/>
        </w:rPr>
        <w:t xml:space="preserve">ser </w:t>
      </w:r>
      <w:r w:rsidR="008D1512" w:rsidRPr="008D1512">
        <w:rPr>
          <w:szCs w:val="28"/>
        </w:rPr>
        <w:t>modelado recorrendo a primitivas geométricas</w:t>
      </w:r>
      <w:r w:rsidR="001A26EE">
        <w:rPr>
          <w:szCs w:val="28"/>
        </w:rPr>
        <w:t xml:space="preserve"> (</w:t>
      </w:r>
      <w:r w:rsidR="00A35BD4">
        <w:rPr>
          <w:szCs w:val="28"/>
        </w:rPr>
        <w:t>paralelepípedos</w:t>
      </w:r>
      <w:r w:rsidR="001A26EE">
        <w:rPr>
          <w:szCs w:val="28"/>
        </w:rPr>
        <w:t xml:space="preserve"> e </w:t>
      </w:r>
      <w:r w:rsidR="00A35BD4">
        <w:rPr>
          <w:szCs w:val="28"/>
        </w:rPr>
        <w:t>cilindros</w:t>
      </w:r>
      <w:r w:rsidR="001A26EE">
        <w:rPr>
          <w:szCs w:val="28"/>
        </w:rPr>
        <w:t>)</w:t>
      </w:r>
      <w:r w:rsidR="008D1512" w:rsidRPr="008D1512">
        <w:rPr>
          <w:szCs w:val="28"/>
        </w:rPr>
        <w:t xml:space="preserve">. </w:t>
      </w:r>
      <w:r w:rsidR="00A35BD4">
        <w:rPr>
          <w:szCs w:val="28"/>
        </w:rPr>
        <w:t>A</w:t>
      </w:r>
      <w:r w:rsidR="008D1512" w:rsidRPr="008D1512">
        <w:rPr>
          <w:szCs w:val="28"/>
        </w:rPr>
        <w:t xml:space="preserve"> peça escultórica</w:t>
      </w:r>
      <w:r w:rsidR="00A35BD4">
        <w:rPr>
          <w:szCs w:val="28"/>
        </w:rPr>
        <w:t xml:space="preserve"> </w:t>
      </w:r>
      <w:r w:rsidR="008D1512" w:rsidRPr="008D1512">
        <w:rPr>
          <w:szCs w:val="28"/>
        </w:rPr>
        <w:t>deve c</w:t>
      </w:r>
      <w:r w:rsidR="008D1512">
        <w:t>onsistir</w:t>
      </w:r>
      <w:r w:rsidR="00237F18">
        <w:t xml:space="preserve"> num icosaedro </w:t>
      </w:r>
      <w:r w:rsidR="00A35BD4">
        <w:t>construído</w:t>
      </w:r>
      <w:r>
        <w:t xml:space="preserve"> recorrendo a malhas de polígonos</w:t>
      </w:r>
      <w:r w:rsidR="00237F18">
        <w:t xml:space="preserve">. </w:t>
      </w:r>
      <w:r w:rsidR="00237F18" w:rsidRPr="004A6386">
        <w:t>Por forma a facilitar a modelação da escultura, sugere-se que gerem os pontos da malha recorrendo à fórmula radial do icosaedro</w:t>
      </w:r>
      <w:r w:rsidR="008D1512" w:rsidRPr="004A6386">
        <w:t xml:space="preserve"> (ver Anexo B)</w:t>
      </w:r>
      <w:r w:rsidR="00237F18">
        <w:t xml:space="preserve"> e que depois desloquem </w:t>
      </w:r>
      <w:r w:rsidR="00237F18">
        <w:lastRenderedPageBreak/>
        <w:t xml:space="preserve">cada vértice por forma a não existirem triângulos </w:t>
      </w:r>
      <w:r w:rsidR="008D1512">
        <w:t>regulares</w:t>
      </w:r>
      <w:r w:rsidR="00902ABB">
        <w:t xml:space="preserve"> (o icosaedro deverá ter um aspecto ligeiramente deformado)</w:t>
      </w:r>
      <w:r w:rsidR="008D1512">
        <w:t xml:space="preserve">. </w:t>
      </w:r>
      <w:r w:rsidR="00237F18">
        <w:t xml:space="preserve">A </w:t>
      </w:r>
      <w:r w:rsidR="008D1512">
        <w:t xml:space="preserve">pintura deve ainda estar emoldurada, a escultura sobre um pedestal, </w:t>
      </w:r>
      <w:r w:rsidR="00A35BD4">
        <w:t xml:space="preserve">devem existir </w:t>
      </w:r>
      <w:r w:rsidR="008D1512">
        <w:t xml:space="preserve">o chão e uma parede onde se coloca o quadro que podem ser </w:t>
      </w:r>
      <w:r w:rsidR="00237F18">
        <w:t xml:space="preserve">modelados por instanciação de primitivas (usando paralelepípedos). </w:t>
      </w:r>
      <w:r w:rsidR="00ED075F">
        <w:t xml:space="preserve">A pintura e a escultura devem ser dispostos lado a lado. </w:t>
      </w:r>
      <w:r w:rsidR="008D1512">
        <w:t>D</w:t>
      </w:r>
      <w:r>
        <w:t xml:space="preserve">evem ser </w:t>
      </w:r>
      <w:r w:rsidR="00C31288">
        <w:t>definidos 3</w:t>
      </w:r>
      <w:r>
        <w:t xml:space="preserve"> </w:t>
      </w:r>
      <w:r w:rsidR="00C31288">
        <w:t xml:space="preserve">tipos de </w:t>
      </w:r>
      <w:r>
        <w:t xml:space="preserve">materiais </w:t>
      </w:r>
      <w:r w:rsidR="00C31288">
        <w:t>(</w:t>
      </w:r>
      <w:r w:rsidR="00C31288" w:rsidRPr="00095B31">
        <w:rPr>
          <w:i/>
        </w:rPr>
        <w:t>MeshBasicMaterial</w:t>
      </w:r>
      <w:r w:rsidR="00C31288">
        <w:t xml:space="preserve">, </w:t>
      </w:r>
      <w:r w:rsidR="00C31288" w:rsidRPr="00095B31">
        <w:rPr>
          <w:i/>
        </w:rPr>
        <w:t>MeshLambertMaterial</w:t>
      </w:r>
      <w:r w:rsidR="00C31288">
        <w:t>,</w:t>
      </w:r>
      <w:r w:rsidR="00C31288" w:rsidRPr="00095B31">
        <w:t xml:space="preserve"> </w:t>
      </w:r>
      <w:r w:rsidR="00C31288" w:rsidRPr="00095B31">
        <w:rPr>
          <w:i/>
        </w:rPr>
        <w:t>MeshPhongMaterial</w:t>
      </w:r>
      <w:r w:rsidR="00C31288">
        <w:t>) por</w:t>
      </w:r>
      <w:r w:rsidR="008D1512">
        <w:t xml:space="preserve"> </w:t>
      </w:r>
      <w:r w:rsidR="00C31288">
        <w:t>cada objecto</w:t>
      </w:r>
      <w:r w:rsidR="008D1512">
        <w:t xml:space="preserve"> da cena</w:t>
      </w:r>
      <w:r>
        <w:t>.</w:t>
      </w:r>
      <w:r w:rsidR="00CD00EF">
        <w:t xml:space="preserve"> </w:t>
      </w:r>
      <w:r>
        <w:t>[</w:t>
      </w:r>
      <w:r w:rsidRPr="008D1512">
        <w:rPr>
          <w:b/>
        </w:rPr>
        <w:t>2,0 valores</w:t>
      </w:r>
      <w:r>
        <w:t>]</w:t>
      </w:r>
    </w:p>
    <w:p w:rsidR="008F7C3A" w:rsidRDefault="008A5379" w:rsidP="00306502">
      <w:pPr>
        <w:pStyle w:val="PargrafodaLista"/>
        <w:numPr>
          <w:ilvl w:val="0"/>
          <w:numId w:val="5"/>
        </w:numPr>
        <w:contextualSpacing w:val="0"/>
      </w:pPr>
      <w:r>
        <w:t>Criar a iluminação global da cena recorrend</w:t>
      </w:r>
      <w:r w:rsidR="005707D3">
        <w:t>o a uma fonte de luz direc</w:t>
      </w:r>
      <w:r w:rsidR="00754729">
        <w:t>c</w:t>
      </w:r>
      <w:r w:rsidR="005707D3">
        <w:t>ional</w:t>
      </w:r>
      <w:r w:rsidR="009C5F0E">
        <w:t xml:space="preserve">. </w:t>
      </w:r>
      <w:r w:rsidR="0046696A">
        <w:t>Esta fonte de luz deve poder ser ligada ou de</w:t>
      </w:r>
      <w:r w:rsidR="008D1512">
        <w:t>sligada através da uma tecla (‘Q(q)</w:t>
      </w:r>
      <w:r w:rsidR="0046696A">
        <w:t>’). Adicionalmente, deve ser possível activar e desa</w:t>
      </w:r>
      <w:r w:rsidR="004875B0">
        <w:t xml:space="preserve">ctivar o cálculo da iluminação </w:t>
      </w:r>
      <w:r w:rsidR="008D1512">
        <w:t>usando uma tecla (‘W(w)</w:t>
      </w:r>
      <w:r w:rsidR="0046696A">
        <w:t>’). Deve ser ainda possível alternar o tipo de sombreamento entre Gouraud (</w:t>
      </w:r>
      <w:r w:rsidR="0046696A" w:rsidRPr="00306502">
        <w:rPr>
          <w:i/>
        </w:rPr>
        <w:t>diffuse</w:t>
      </w:r>
      <w:r w:rsidR="0046696A">
        <w:t xml:space="preserve">) e Phong usando uma tecla </w:t>
      </w:r>
      <w:r w:rsidR="00572854">
        <w:t>(‘</w:t>
      </w:r>
      <w:r w:rsidR="008D1512">
        <w:t>E(e)</w:t>
      </w:r>
      <w:r w:rsidR="00572854">
        <w:t>’)</w:t>
      </w:r>
      <w:r w:rsidR="00554871">
        <w:t xml:space="preserve">. </w:t>
      </w:r>
      <w:r w:rsidR="008F7C3A">
        <w:t>[</w:t>
      </w:r>
      <w:r w:rsidR="008F7C3A" w:rsidRPr="00306502">
        <w:rPr>
          <w:b/>
        </w:rPr>
        <w:t>1</w:t>
      </w:r>
      <w:r w:rsidR="0070219C">
        <w:rPr>
          <w:b/>
        </w:rPr>
        <w:t>,0</w:t>
      </w:r>
      <w:r w:rsidR="008F7C3A" w:rsidRPr="00306502">
        <w:rPr>
          <w:b/>
        </w:rPr>
        <w:t xml:space="preserve"> valor</w:t>
      </w:r>
      <w:r w:rsidR="0070219C">
        <w:rPr>
          <w:b/>
        </w:rPr>
        <w:t>es</w:t>
      </w:r>
      <w:r w:rsidR="008F7C3A">
        <w:t>]</w:t>
      </w:r>
    </w:p>
    <w:p w:rsidR="00442958" w:rsidRDefault="009C5F0E" w:rsidP="002129D0">
      <w:pPr>
        <w:pStyle w:val="PargrafodaLista"/>
        <w:numPr>
          <w:ilvl w:val="0"/>
          <w:numId w:val="5"/>
        </w:numPr>
        <w:contextualSpacing w:val="0"/>
      </w:pPr>
      <w:r>
        <w:t xml:space="preserve">Criar </w:t>
      </w:r>
      <w:r w:rsidR="002B076C">
        <w:t xml:space="preserve">um total de </w:t>
      </w:r>
      <w:r w:rsidR="00281020">
        <w:t>quatro</w:t>
      </w:r>
      <w:r w:rsidR="002B076C">
        <w:t xml:space="preserve"> </w:t>
      </w:r>
      <w:r w:rsidR="00281020">
        <w:t>holofotes</w:t>
      </w:r>
      <w:r w:rsidR="002B076C">
        <w:t xml:space="preserve"> (fontes de luz </w:t>
      </w:r>
      <w:proofErr w:type="spellStart"/>
      <w:r w:rsidR="001B3DB0" w:rsidRPr="00F1215F">
        <w:rPr>
          <w:b/>
          <w:i/>
        </w:rPr>
        <w:t>spot</w:t>
      </w:r>
      <w:r w:rsidR="002B076C" w:rsidRPr="00F1215F">
        <w:rPr>
          <w:b/>
          <w:i/>
        </w:rPr>
        <w:t>light</w:t>
      </w:r>
      <w:proofErr w:type="spellEnd"/>
      <w:r w:rsidR="002B076C">
        <w:t xml:space="preserve">) </w:t>
      </w:r>
      <w:r w:rsidR="00A35BD4">
        <w:t xml:space="preserve">distribuídos </w:t>
      </w:r>
      <w:r w:rsidR="008D1512">
        <w:t xml:space="preserve">ao redor da pintura e escultura </w:t>
      </w:r>
      <w:r w:rsidR="00A35BD4">
        <w:t xml:space="preserve">e que </w:t>
      </w:r>
      <w:r w:rsidR="002B076C">
        <w:t>devem iluminar parcialmente</w:t>
      </w:r>
      <w:r w:rsidR="008D1512">
        <w:t xml:space="preserve"> estes objectos</w:t>
      </w:r>
      <w:r w:rsidR="002B076C">
        <w:t xml:space="preserve">. </w:t>
      </w:r>
      <w:r>
        <w:t xml:space="preserve">Esta iluminação deve ser suficiente para se conseguir </w:t>
      </w:r>
      <w:r w:rsidR="00281020">
        <w:t xml:space="preserve">visualizar </w:t>
      </w:r>
      <w:r w:rsidR="008D1512">
        <w:t>tanto a pintura como a escultura</w:t>
      </w:r>
      <w:r>
        <w:t>, mas não necessita</w:t>
      </w:r>
      <w:r w:rsidR="00BC77AE">
        <w:t xml:space="preserve"> de o</w:t>
      </w:r>
      <w:r w:rsidR="008D1512">
        <w:t>s iluminar na íntegra</w:t>
      </w:r>
      <w:r>
        <w:t>. Estas fontes de luz devem poder ser activadas ou desactivadas através d</w:t>
      </w:r>
      <w:r w:rsidR="00281020">
        <w:t xml:space="preserve">as </w:t>
      </w:r>
      <w:r>
        <w:t>tecla</w:t>
      </w:r>
      <w:r w:rsidR="00281020">
        <w:t>s ’1’</w:t>
      </w:r>
      <w:r w:rsidR="009D0F99">
        <w:t xml:space="preserve"> </w:t>
      </w:r>
      <w:r w:rsidR="00281020">
        <w:t xml:space="preserve">a ‘4’ </w:t>
      </w:r>
      <w:r>
        <w:t>que liga</w:t>
      </w:r>
      <w:r w:rsidR="00281020">
        <w:t>m</w:t>
      </w:r>
      <w:r>
        <w:t xml:space="preserve"> e desliga</w:t>
      </w:r>
      <w:r w:rsidR="00281020">
        <w:t>m</w:t>
      </w:r>
      <w:r>
        <w:t xml:space="preserve"> </w:t>
      </w:r>
      <w:r w:rsidR="00281020">
        <w:t>cada um dos holofotes individualmente</w:t>
      </w:r>
      <w:r>
        <w:t xml:space="preserve">. </w:t>
      </w:r>
      <w:r w:rsidR="00281020">
        <w:t xml:space="preserve">Os holofotes devem ser </w:t>
      </w:r>
      <w:r w:rsidR="00C95FB5">
        <w:t>geometricamente</w:t>
      </w:r>
      <w:r w:rsidR="00BC77AE">
        <w:t xml:space="preserve"> </w:t>
      </w:r>
      <w:r w:rsidR="00281020">
        <w:t>modelados usando duas primitivas ge</w:t>
      </w:r>
      <w:r w:rsidR="008D1512">
        <w:t>ométricas: um cone e uma esfera bastando atribuir um tipo de material à vossa escolha</w:t>
      </w:r>
      <w:r w:rsidR="00281020">
        <w:t xml:space="preserve"> </w:t>
      </w:r>
      <w:r>
        <w:t>[</w:t>
      </w:r>
      <w:r w:rsidRPr="00F12B2A">
        <w:rPr>
          <w:b/>
        </w:rPr>
        <w:t>1</w:t>
      </w:r>
      <w:r>
        <w:rPr>
          <w:b/>
        </w:rPr>
        <w:t>,5</w:t>
      </w:r>
      <w:r w:rsidRPr="00F12B2A">
        <w:rPr>
          <w:b/>
        </w:rPr>
        <w:t xml:space="preserve"> valor</w:t>
      </w:r>
      <w:r>
        <w:rPr>
          <w:b/>
        </w:rPr>
        <w:t>es</w:t>
      </w:r>
      <w:r>
        <w:t>]</w:t>
      </w:r>
    </w:p>
    <w:p w:rsidR="008D1512" w:rsidRDefault="008D1512" w:rsidP="002129D0">
      <w:pPr>
        <w:pStyle w:val="PargrafodaLista"/>
        <w:numPr>
          <w:ilvl w:val="0"/>
          <w:numId w:val="5"/>
        </w:numPr>
        <w:contextualSpacing w:val="0"/>
      </w:pPr>
      <w:r>
        <w:t>Definir uma câmara fixa com uma vista sobre a cena utilizando uma projecção perspectiva que mostre toda a cena usando a tecla ‘5’ assim como uma câmara fixa</w:t>
      </w:r>
      <w:r w:rsidR="00ED075F">
        <w:t>,</w:t>
      </w:r>
      <w:r>
        <w:t xml:space="preserve"> </w:t>
      </w:r>
      <w:r w:rsidR="00ED075F">
        <w:t xml:space="preserve">activada usando a tecla ‘6’, que </w:t>
      </w:r>
      <w:r w:rsidR="00C95FB5">
        <w:t xml:space="preserve">está centrada e </w:t>
      </w:r>
      <w:r w:rsidR="00ED075F">
        <w:t xml:space="preserve">aponta </w:t>
      </w:r>
      <w:r>
        <w:t>sobre a pintura utilizando uma projecção ortogonal</w:t>
      </w:r>
      <w:r w:rsidR="00F46D3D">
        <w:t xml:space="preserve"> por forma a visualizar a ilusão óptica pretendida</w:t>
      </w:r>
      <w:r>
        <w:t>. [</w:t>
      </w:r>
      <w:r>
        <w:rPr>
          <w:b/>
        </w:rPr>
        <w:t>0,5</w:t>
      </w:r>
      <w:r w:rsidRPr="00F12B2A">
        <w:rPr>
          <w:b/>
        </w:rPr>
        <w:t xml:space="preserve"> valor</w:t>
      </w:r>
      <w:r>
        <w:rPr>
          <w:b/>
        </w:rPr>
        <w:t>es</w:t>
      </w:r>
      <w:r>
        <w:t>]</w:t>
      </w:r>
    </w:p>
    <w:p w:rsidR="007B479E" w:rsidRPr="007B479E" w:rsidRDefault="007B479E" w:rsidP="007B479E">
      <w:pPr>
        <w:keepNext/>
        <w:spacing w:before="480"/>
        <w:rPr>
          <w:b/>
          <w:sz w:val="32"/>
        </w:rPr>
      </w:pPr>
      <w:r w:rsidRPr="007B479E">
        <w:rPr>
          <w:b/>
          <w:sz w:val="32"/>
        </w:rPr>
        <w:t>Notas Importantes</w:t>
      </w:r>
    </w:p>
    <w:p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 xml:space="preserve">Nota 1: </w:t>
      </w:r>
      <w:r w:rsidRPr="007B479E">
        <w:rPr>
          <w:sz w:val="24"/>
        </w:rPr>
        <w:t>Para além de dos acontecimentos de update e display existem mais um conjunto de acontecimentos, tais como teclas pressionadas ou soltas, temporizadores e redimensionamento da janela. Sugerimos vivamente que tais acontecimentos sejam tratados pelas respectivas funções de callback de forma</w:t>
      </w:r>
      <w:r>
        <w:rPr>
          <w:sz w:val="24"/>
        </w:rPr>
        <w:t xml:space="preserve"> independente. Neste Trabalho #3</w:t>
      </w:r>
      <w:r w:rsidRPr="007B479E">
        <w:rPr>
          <w:sz w:val="24"/>
        </w:rPr>
        <w:t xml:space="preserve"> iremos requerer a implementação </w:t>
      </w:r>
      <w:proofErr w:type="gramStart"/>
      <w:r w:rsidR="00A35BD4">
        <w:rPr>
          <w:sz w:val="24"/>
        </w:rPr>
        <w:t xml:space="preserve">correta </w:t>
      </w:r>
      <w:r w:rsidR="00A35BD4" w:rsidRPr="007B479E">
        <w:rPr>
          <w:sz w:val="24"/>
        </w:rPr>
        <w:t xml:space="preserve"> </w:t>
      </w:r>
      <w:r w:rsidRPr="007B479E">
        <w:rPr>
          <w:sz w:val="24"/>
        </w:rPr>
        <w:t>dos</w:t>
      </w:r>
      <w:proofErr w:type="gramEnd"/>
      <w:r w:rsidRPr="007B479E">
        <w:rPr>
          <w:sz w:val="24"/>
        </w:rPr>
        <w:t xml:space="preserve"> </w:t>
      </w:r>
      <w:r w:rsidRPr="007B479E">
        <w:rPr>
          <w:sz w:val="24"/>
        </w:rPr>
        <w:lastRenderedPageBreak/>
        <w:t>acontecimentos de redimensionamento da janela para ambos os tipos de projecção.</w:t>
      </w:r>
    </w:p>
    <w:p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 xml:space="preserve">Nota 2: </w:t>
      </w:r>
      <w:r w:rsidRPr="007B479E">
        <w:rPr>
          <w:sz w:val="24"/>
        </w:rPr>
        <w:t>Por fim, os alunos devem adoptar uma programação orientada a objectos, seguindo sempre boas práticas de programação que permitam a reutilização do código em entregas posteriores e facilitem a escalabilidade.</w:t>
      </w:r>
    </w:p>
    <w:p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>Nota 3:</w:t>
      </w:r>
      <w:r w:rsidRPr="007B479E">
        <w:rPr>
          <w:sz w:val="24"/>
        </w:rPr>
        <w:t xml:space="preserve"> Não podem usar ferramentas de modelação. As malhas devem ser modeladas manualmente. </w:t>
      </w:r>
    </w:p>
    <w:p w:rsidR="00AA19CF" w:rsidRPr="00C4224C" w:rsidRDefault="00630E48" w:rsidP="00AA19CF">
      <w:pPr>
        <w:keepNext/>
        <w:spacing w:before="480"/>
        <w:rPr>
          <w:b/>
          <w:sz w:val="32"/>
        </w:rPr>
      </w:pPr>
      <w:r>
        <w:rPr>
          <w:b/>
          <w:sz w:val="32"/>
        </w:rPr>
        <w:t>Sugestões</w:t>
      </w:r>
      <w:r w:rsidR="00AA19CF" w:rsidRPr="00AA19CF">
        <w:rPr>
          <w:b/>
          <w:sz w:val="32"/>
        </w:rPr>
        <w:t xml:space="preserve"> </w:t>
      </w:r>
    </w:p>
    <w:p w:rsidR="00AA19CF" w:rsidRPr="002129D0" w:rsidRDefault="00AA19CF" w:rsidP="00AA19CF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 xml:space="preserve">Antes de definirem os materiais da cena, sugerimos que comecem por fazer algumas experiências com um objecto e material simples por forma a poderem testar e perceber os vários parâmetros individualmente. </w:t>
      </w:r>
    </w:p>
    <w:p w:rsidR="00AA19CF" w:rsidRPr="002129D0" w:rsidRDefault="00AA19CF" w:rsidP="00AA19CF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>Para obter bons resultados na iluminação de grandes superfícies, estas devem ser subdivididas em polígonos mais pequenos.</w:t>
      </w:r>
    </w:p>
    <w:p w:rsidR="002129D0" w:rsidRPr="007B479E" w:rsidRDefault="002129D0" w:rsidP="007B479E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 xml:space="preserve">A partir de </w:t>
      </w:r>
      <w:r w:rsidRPr="002129D0">
        <w:rPr>
          <w:i/>
          <w:sz w:val="24"/>
        </w:rPr>
        <w:t>three.js.r69</w:t>
      </w:r>
      <w:r w:rsidRPr="002129D0">
        <w:rPr>
          <w:sz w:val="24"/>
        </w:rPr>
        <w:t xml:space="preserve">, para orientar uma fonte de luz do tipo </w:t>
      </w:r>
      <w:r w:rsidRPr="002129D0">
        <w:rPr>
          <w:i/>
          <w:sz w:val="24"/>
        </w:rPr>
        <w:t>spotlight</w:t>
      </w:r>
      <w:r w:rsidRPr="002129D0">
        <w:rPr>
          <w:sz w:val="24"/>
        </w:rPr>
        <w:t xml:space="preserve"> (ou um outro qualquer tipo de luz orientável) para um ponto não basta atribuir a </w:t>
      </w:r>
      <w:r w:rsidRPr="002129D0">
        <w:rPr>
          <w:i/>
          <w:sz w:val="24"/>
        </w:rPr>
        <w:t>Light.target.position</w:t>
      </w:r>
      <w:r w:rsidRPr="002129D0">
        <w:rPr>
          <w:sz w:val="24"/>
        </w:rPr>
        <w:t xml:space="preserve"> as coordenadas desse ponto. É ainda necessário ter antes incluído </w:t>
      </w:r>
      <w:r w:rsidRPr="002129D0">
        <w:rPr>
          <w:i/>
          <w:sz w:val="24"/>
        </w:rPr>
        <w:t>Light.target</w:t>
      </w:r>
      <w:r w:rsidRPr="002129D0">
        <w:rPr>
          <w:sz w:val="24"/>
        </w:rPr>
        <w:t xml:space="preserve"> na cena (por exemplo, </w:t>
      </w:r>
      <w:r w:rsidRPr="002129D0">
        <w:rPr>
          <w:i/>
          <w:sz w:val="24"/>
        </w:rPr>
        <w:t>scene.add(mySpot.target);</w:t>
      </w:r>
      <w:r w:rsidRPr="002129D0">
        <w:rPr>
          <w:sz w:val="24"/>
        </w:rPr>
        <w:t xml:space="preserve"> ) ou aplicar a </w:t>
      </w:r>
      <w:r w:rsidRPr="002129D0">
        <w:rPr>
          <w:i/>
          <w:sz w:val="24"/>
        </w:rPr>
        <w:t>Light.target</w:t>
      </w:r>
      <w:r w:rsidRPr="002129D0">
        <w:rPr>
          <w:sz w:val="24"/>
        </w:rPr>
        <w:t xml:space="preserve"> a função </w:t>
      </w:r>
      <w:r w:rsidRPr="002129D0">
        <w:rPr>
          <w:i/>
          <w:sz w:val="24"/>
        </w:rPr>
        <w:t>updateMatrixWorld</w:t>
      </w:r>
      <w:r w:rsidRPr="002129D0">
        <w:rPr>
          <w:sz w:val="24"/>
        </w:rPr>
        <w:t xml:space="preserve"> todas as vezes que se altera a posição do ponto para o qual a luz aponta (</w:t>
      </w:r>
      <w:r w:rsidRPr="002129D0">
        <w:rPr>
          <w:i/>
          <w:sz w:val="24"/>
        </w:rPr>
        <w:t>myLight.target.updateMatrixWorld();</w:t>
      </w:r>
      <w:r w:rsidRPr="002129D0">
        <w:rPr>
          <w:sz w:val="24"/>
        </w:rPr>
        <w:t>). A documentação constante de “</w:t>
      </w:r>
      <w:r w:rsidRPr="002129D0">
        <w:rPr>
          <w:i/>
          <w:sz w:val="24"/>
        </w:rPr>
        <w:t>Learning Three.js – the JavaScript 3D library for WebGL (2nd edition)</w:t>
      </w:r>
      <w:r w:rsidRPr="002129D0">
        <w:rPr>
          <w:sz w:val="24"/>
        </w:rPr>
        <w:t>” envolvendo a criação de um objecto-alvo fictício está desactualizada e deixou de ser suportada</w:t>
      </w:r>
      <w:r w:rsidR="00C25AE5">
        <w:rPr>
          <w:sz w:val="24"/>
        </w:rPr>
        <w:t xml:space="preserve"> pelas versões posteriores à versão </w:t>
      </w:r>
      <w:proofErr w:type="gramStart"/>
      <w:r w:rsidR="00C25AE5" w:rsidRPr="00E203B4">
        <w:rPr>
          <w:i/>
          <w:iCs/>
          <w:sz w:val="24"/>
        </w:rPr>
        <w:t>three.js.r</w:t>
      </w:r>
      <w:proofErr w:type="gramEnd"/>
      <w:r w:rsidR="00C25AE5" w:rsidRPr="00E203B4">
        <w:rPr>
          <w:i/>
          <w:iCs/>
          <w:sz w:val="24"/>
        </w:rPr>
        <w:t>69</w:t>
      </w:r>
      <w:r w:rsidRPr="002129D0">
        <w:rPr>
          <w:sz w:val="24"/>
        </w:rPr>
        <w:t>.</w:t>
      </w:r>
      <w:r w:rsidR="007B479E">
        <w:rPr>
          <w:sz w:val="24"/>
        </w:rPr>
        <w:t xml:space="preserve"> </w:t>
      </w:r>
      <w:r w:rsidRPr="007B479E">
        <w:rPr>
          <w:sz w:val="24"/>
        </w:rPr>
        <w:t xml:space="preserve">Para mais informação consultar </w:t>
      </w:r>
      <w:hyperlink r:id="rId9" w:history="1">
        <w:r w:rsidRPr="007B479E">
          <w:rPr>
            <w:rStyle w:val="Hiperligao"/>
            <w:rFonts w:ascii="Arial" w:hAnsi="Arial" w:cs="Arial"/>
            <w:sz w:val="20"/>
            <w:szCs w:val="22"/>
          </w:rPr>
          <w:t>https://github.com/mrdoob/three.js/issues/5555</w:t>
        </w:r>
      </w:hyperlink>
      <w:r w:rsidRPr="007B479E">
        <w:rPr>
          <w:rFonts w:ascii="Arial" w:hAnsi="Arial" w:cs="Arial"/>
          <w:sz w:val="20"/>
          <w:szCs w:val="22"/>
        </w:rPr>
        <w:t>.</w:t>
      </w:r>
    </w:p>
    <w:p w:rsidR="007D1AA3" w:rsidRPr="009D77EC" w:rsidRDefault="00237F18" w:rsidP="00237F18">
      <w:pPr>
        <w:keepNext/>
        <w:spacing w:before="480"/>
        <w:jc w:val="left"/>
        <w:rPr>
          <w:b/>
          <w:szCs w:val="28"/>
          <w:lang w:val="en-US"/>
        </w:rPr>
      </w:pPr>
      <w:r w:rsidRPr="009D77EC">
        <w:rPr>
          <w:b/>
          <w:sz w:val="36"/>
          <w:szCs w:val="36"/>
          <w:lang w:val="en-US"/>
        </w:rPr>
        <w:lastRenderedPageBreak/>
        <w:t>Anexo A</w:t>
      </w:r>
      <w:r w:rsidRPr="009D77EC">
        <w:rPr>
          <w:b/>
          <w:sz w:val="36"/>
          <w:szCs w:val="36"/>
          <w:lang w:val="en-US"/>
        </w:rPr>
        <w:br/>
      </w:r>
      <w:r w:rsidRPr="009D77EC">
        <w:rPr>
          <w:b/>
          <w:szCs w:val="28"/>
          <w:lang w:val="en-US"/>
        </w:rPr>
        <w:t>Op Art: “Disappearing dots”</w:t>
      </w:r>
    </w:p>
    <w:p w:rsidR="00237F18" w:rsidRDefault="00237F18" w:rsidP="00237F18">
      <w:pPr>
        <w:keepNext/>
        <w:spacing w:before="48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>
            <wp:extent cx="3443056" cy="2292350"/>
            <wp:effectExtent l="19050" t="0" r="4994" b="0"/>
            <wp:docPr id="2" name="Imagem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99" cy="229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F18" w:rsidRDefault="0070219C" w:rsidP="00237F18">
      <w:pPr>
        <w:keepNext/>
        <w:spacing w:before="480"/>
        <w:jc w:val="left"/>
        <w:rPr>
          <w:szCs w:val="28"/>
        </w:rPr>
      </w:pPr>
      <w:r>
        <w:rPr>
          <w:b/>
          <w:szCs w:val="28"/>
        </w:rPr>
        <w:t xml:space="preserve">Figura A.1 - </w:t>
      </w:r>
      <w:r w:rsidR="00237F18" w:rsidRPr="001053C6">
        <w:rPr>
          <w:b/>
          <w:szCs w:val="28"/>
        </w:rPr>
        <w:t>Importante:</w:t>
      </w:r>
      <w:r w:rsidR="00237F18">
        <w:rPr>
          <w:szCs w:val="28"/>
        </w:rPr>
        <w:t xml:space="preserve"> O quadro que se pretende retratar terá este aspecto</w:t>
      </w:r>
      <w:r w:rsidR="0033162C">
        <w:rPr>
          <w:szCs w:val="28"/>
        </w:rPr>
        <w:t xml:space="preserve"> e deverão conseguir obter a ilusão óptica pretendida (“disappearing dots”): círculos pretos substituem os circulos brancos na perficia do ponto focal.</w:t>
      </w:r>
      <w:r w:rsidR="00237F18">
        <w:rPr>
          <w:szCs w:val="28"/>
        </w:rPr>
        <w:t xml:space="preserve"> Esta imagem não poderá ser usada como textura. </w:t>
      </w:r>
    </w:p>
    <w:p w:rsidR="00237F18" w:rsidRDefault="00237F18" w:rsidP="00237F18">
      <w:pPr>
        <w:keepNext/>
        <w:spacing w:before="480"/>
        <w:jc w:val="left"/>
        <w:rPr>
          <w:b/>
          <w:szCs w:val="28"/>
        </w:rPr>
      </w:pPr>
      <w:r>
        <w:rPr>
          <w:b/>
          <w:sz w:val="36"/>
          <w:szCs w:val="36"/>
        </w:rPr>
        <w:t>Anexo B</w:t>
      </w:r>
      <w:r>
        <w:rPr>
          <w:b/>
          <w:sz w:val="36"/>
          <w:szCs w:val="36"/>
        </w:rPr>
        <w:br/>
      </w:r>
      <w:r>
        <w:rPr>
          <w:b/>
          <w:szCs w:val="28"/>
        </w:rPr>
        <w:t>Icosaedro (sólido Platónico)</w:t>
      </w:r>
    </w:p>
    <w:p w:rsidR="00237F18" w:rsidRDefault="00237F18" w:rsidP="00237F18">
      <w:pPr>
        <w:keepNext/>
        <w:spacing w:before="48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>
            <wp:extent cx="1723364" cy="1656291"/>
            <wp:effectExtent l="19050" t="0" r="0" b="0"/>
            <wp:docPr id="4" name="Imagem 4" descr="Icosahedr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sahedron.sv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58" cy="166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F18" w:rsidRDefault="0070219C" w:rsidP="00237F18">
      <w:pPr>
        <w:keepNext/>
        <w:spacing w:before="480"/>
        <w:jc w:val="left"/>
      </w:pPr>
      <w:r>
        <w:rPr>
          <w:b/>
          <w:szCs w:val="28"/>
        </w:rPr>
        <w:t xml:space="preserve">Figura B.1 - </w:t>
      </w:r>
      <w:r w:rsidR="00237F18" w:rsidRPr="001053C6">
        <w:rPr>
          <w:b/>
          <w:szCs w:val="28"/>
        </w:rPr>
        <w:t>Importante:</w:t>
      </w:r>
      <w:r w:rsidR="00237F18">
        <w:rPr>
          <w:szCs w:val="28"/>
        </w:rPr>
        <w:t xml:space="preserve"> Um sólido Platónico apresenta faces regulares. No caso do icosaedro, trata-se de um sólido com 12 vértices, 30 arestas comprometendo 20 lados que consistem em triângulos regulares (três ângulos internos de 60</w:t>
      </w:r>
      <w:r w:rsidR="00237F18">
        <w:rPr>
          <w:szCs w:val="28"/>
          <w:vertAlign w:val="superscript"/>
        </w:rPr>
        <w:t>O</w:t>
      </w:r>
      <w:r w:rsidR="00237F18">
        <w:rPr>
          <w:szCs w:val="28"/>
        </w:rPr>
        <w:t>). Em coordenadas locais, os vértices são dados pela permutação circular da seguinte fórmula: [0, ±1, ±φ]</w:t>
      </w:r>
      <w:r w:rsidR="00237F18" w:rsidRPr="00237F18">
        <w:rPr>
          <w:szCs w:val="28"/>
          <w:vertAlign w:val="superscript"/>
        </w:rPr>
        <w:t>T</w:t>
      </w:r>
      <w:r w:rsidR="00237F18">
        <w:rPr>
          <w:szCs w:val="28"/>
        </w:rPr>
        <w:t xml:space="preserve"> em que </w:t>
      </w:r>
      <m:oMath>
        <m: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=(1+</m:t>
        </m:r>
        <m:r>
          <m:rPr>
            <m:sty m:val="p"/>
          </m:rPr>
          <w:rPr>
            <w:rFonts w:ascii="Cambria Math" w:hAnsi="Cambria Math"/>
            <w:szCs w:val="28"/>
          </w:rPr>
          <m:t>√5</m:t>
        </m:r>
        <m:r>
          <m:rPr>
            <m:sty m:val="p"/>
          </m:rPr>
          <w:rPr>
            <w:rFonts w:ascii="Cambria Math" w:hAnsi="Cambria Math" w:cs="Cambria Math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Cs w:val="28"/>
          </w:rPr>
          <m:t>/</m:t>
        </m:r>
        <m:r>
          <m:rPr>
            <m:sty m:val="p"/>
          </m:rPr>
          <w:rPr>
            <w:rFonts w:ascii="Cambria Math" w:hAnsi="Cambria Math" w:cs="Cambria Math"/>
            <w:szCs w:val="28"/>
          </w:rPr>
          <m:t>2</m:t>
        </m:r>
      </m:oMath>
      <w:r w:rsidR="00237F18">
        <w:rPr>
          <w:rFonts w:eastAsiaTheme="minorEastAsia"/>
          <w:szCs w:val="28"/>
        </w:rPr>
        <w:t xml:space="preserve"> (número de ouro).</w:t>
      </w:r>
    </w:p>
    <w:sectPr w:rsidR="00237F18" w:rsidSect="001C6D68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826" w:rsidRDefault="00627826" w:rsidP="00B35DA7">
      <w:pPr>
        <w:spacing w:after="0"/>
      </w:pPr>
      <w:r>
        <w:separator/>
      </w:r>
    </w:p>
  </w:endnote>
  <w:endnote w:type="continuationSeparator" w:id="0">
    <w:p w:rsidR="00627826" w:rsidRDefault="00627826" w:rsidP="00B35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B44" w:rsidRDefault="007F1833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1B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61B44" w:rsidRDefault="00761B44" w:rsidP="00B35DA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B44" w:rsidRDefault="007F1833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1B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479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61B44" w:rsidRDefault="00761B44" w:rsidP="00B35DA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826" w:rsidRDefault="00627826" w:rsidP="00B35DA7">
      <w:pPr>
        <w:spacing w:after="0"/>
      </w:pPr>
      <w:r>
        <w:separator/>
      </w:r>
    </w:p>
  </w:footnote>
  <w:footnote w:type="continuationSeparator" w:id="0">
    <w:p w:rsidR="00627826" w:rsidRDefault="00627826" w:rsidP="00B35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94B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070A"/>
    <w:multiLevelType w:val="hybridMultilevel"/>
    <w:tmpl w:val="98825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29E"/>
    <w:multiLevelType w:val="multilevel"/>
    <w:tmpl w:val="62CA45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2607"/>
    <w:multiLevelType w:val="hybridMultilevel"/>
    <w:tmpl w:val="82CAFD16"/>
    <w:lvl w:ilvl="0" w:tplc="E076AF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14A54"/>
    <w:multiLevelType w:val="hybridMultilevel"/>
    <w:tmpl w:val="62CA4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14109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618AD"/>
    <w:multiLevelType w:val="multilevel"/>
    <w:tmpl w:val="98825A0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5D5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24C"/>
    <w:rsid w:val="00013843"/>
    <w:rsid w:val="00032772"/>
    <w:rsid w:val="00051836"/>
    <w:rsid w:val="00095B31"/>
    <w:rsid w:val="00095BAB"/>
    <w:rsid w:val="000D1B26"/>
    <w:rsid w:val="000F5F79"/>
    <w:rsid w:val="001141BB"/>
    <w:rsid w:val="001275D5"/>
    <w:rsid w:val="0014067B"/>
    <w:rsid w:val="001739CD"/>
    <w:rsid w:val="00185FB1"/>
    <w:rsid w:val="001A26EE"/>
    <w:rsid w:val="001A7534"/>
    <w:rsid w:val="001B3DB0"/>
    <w:rsid w:val="001B45A3"/>
    <w:rsid w:val="001C6D68"/>
    <w:rsid w:val="001E1651"/>
    <w:rsid w:val="001E68E5"/>
    <w:rsid w:val="00205AE1"/>
    <w:rsid w:val="00210008"/>
    <w:rsid w:val="002129D0"/>
    <w:rsid w:val="00233431"/>
    <w:rsid w:val="00237F18"/>
    <w:rsid w:val="00247CEC"/>
    <w:rsid w:val="0026737C"/>
    <w:rsid w:val="00281020"/>
    <w:rsid w:val="0028141B"/>
    <w:rsid w:val="00287206"/>
    <w:rsid w:val="002A0095"/>
    <w:rsid w:val="002B076C"/>
    <w:rsid w:val="002B5F37"/>
    <w:rsid w:val="002D69A8"/>
    <w:rsid w:val="002F380D"/>
    <w:rsid w:val="00306502"/>
    <w:rsid w:val="0033162C"/>
    <w:rsid w:val="003470BC"/>
    <w:rsid w:val="0034795E"/>
    <w:rsid w:val="003479B2"/>
    <w:rsid w:val="00377CF9"/>
    <w:rsid w:val="003855A1"/>
    <w:rsid w:val="00405133"/>
    <w:rsid w:val="004353AA"/>
    <w:rsid w:val="00442958"/>
    <w:rsid w:val="00464C1F"/>
    <w:rsid w:val="0046696A"/>
    <w:rsid w:val="004875B0"/>
    <w:rsid w:val="004A0D36"/>
    <w:rsid w:val="004A3B27"/>
    <w:rsid w:val="004A6386"/>
    <w:rsid w:val="004C3C49"/>
    <w:rsid w:val="004E773B"/>
    <w:rsid w:val="00500383"/>
    <w:rsid w:val="00524F95"/>
    <w:rsid w:val="005454FF"/>
    <w:rsid w:val="005529A0"/>
    <w:rsid w:val="00554871"/>
    <w:rsid w:val="00557865"/>
    <w:rsid w:val="00565ECA"/>
    <w:rsid w:val="005707D3"/>
    <w:rsid w:val="00572854"/>
    <w:rsid w:val="00576F1E"/>
    <w:rsid w:val="00591661"/>
    <w:rsid w:val="005A588F"/>
    <w:rsid w:val="005B2584"/>
    <w:rsid w:val="005C06BD"/>
    <w:rsid w:val="00627826"/>
    <w:rsid w:val="00630E48"/>
    <w:rsid w:val="0064460C"/>
    <w:rsid w:val="00650061"/>
    <w:rsid w:val="006617DB"/>
    <w:rsid w:val="00661E97"/>
    <w:rsid w:val="006C0A55"/>
    <w:rsid w:val="006F373D"/>
    <w:rsid w:val="0070219C"/>
    <w:rsid w:val="0071527D"/>
    <w:rsid w:val="00720FB2"/>
    <w:rsid w:val="00723194"/>
    <w:rsid w:val="00754729"/>
    <w:rsid w:val="00761B44"/>
    <w:rsid w:val="0077294E"/>
    <w:rsid w:val="0077553A"/>
    <w:rsid w:val="00783D8C"/>
    <w:rsid w:val="00794B1B"/>
    <w:rsid w:val="007B479E"/>
    <w:rsid w:val="007D1AA3"/>
    <w:rsid w:val="007F1833"/>
    <w:rsid w:val="00863A38"/>
    <w:rsid w:val="00866013"/>
    <w:rsid w:val="00886DAB"/>
    <w:rsid w:val="00897655"/>
    <w:rsid w:val="008A2583"/>
    <w:rsid w:val="008A4032"/>
    <w:rsid w:val="008A4544"/>
    <w:rsid w:val="008A5379"/>
    <w:rsid w:val="008B6550"/>
    <w:rsid w:val="008D1512"/>
    <w:rsid w:val="008F0A54"/>
    <w:rsid w:val="008F7C3A"/>
    <w:rsid w:val="00902ABB"/>
    <w:rsid w:val="00910A0A"/>
    <w:rsid w:val="00942749"/>
    <w:rsid w:val="00957F05"/>
    <w:rsid w:val="00984106"/>
    <w:rsid w:val="0099555E"/>
    <w:rsid w:val="009A6E18"/>
    <w:rsid w:val="009C5F0E"/>
    <w:rsid w:val="009D0F99"/>
    <w:rsid w:val="009D77EC"/>
    <w:rsid w:val="009F6A40"/>
    <w:rsid w:val="00A00D69"/>
    <w:rsid w:val="00A0184A"/>
    <w:rsid w:val="00A14588"/>
    <w:rsid w:val="00A35BD4"/>
    <w:rsid w:val="00A409F6"/>
    <w:rsid w:val="00A70154"/>
    <w:rsid w:val="00A9664B"/>
    <w:rsid w:val="00AA19CF"/>
    <w:rsid w:val="00AA1CFD"/>
    <w:rsid w:val="00AC4DA9"/>
    <w:rsid w:val="00AC686F"/>
    <w:rsid w:val="00AF67F0"/>
    <w:rsid w:val="00B3064B"/>
    <w:rsid w:val="00B35DA7"/>
    <w:rsid w:val="00B3696F"/>
    <w:rsid w:val="00B550F0"/>
    <w:rsid w:val="00B76494"/>
    <w:rsid w:val="00B80C92"/>
    <w:rsid w:val="00BA4AA5"/>
    <w:rsid w:val="00BC77AE"/>
    <w:rsid w:val="00C25AE5"/>
    <w:rsid w:val="00C265E7"/>
    <w:rsid w:val="00C31288"/>
    <w:rsid w:val="00C4224C"/>
    <w:rsid w:val="00C95442"/>
    <w:rsid w:val="00C95FB5"/>
    <w:rsid w:val="00CD00EF"/>
    <w:rsid w:val="00CD17D8"/>
    <w:rsid w:val="00D001AE"/>
    <w:rsid w:val="00D169D7"/>
    <w:rsid w:val="00D55AEF"/>
    <w:rsid w:val="00D62C25"/>
    <w:rsid w:val="00DC6A70"/>
    <w:rsid w:val="00DF0EC0"/>
    <w:rsid w:val="00E203B4"/>
    <w:rsid w:val="00E2431C"/>
    <w:rsid w:val="00E47473"/>
    <w:rsid w:val="00E61277"/>
    <w:rsid w:val="00E76D18"/>
    <w:rsid w:val="00E84A7E"/>
    <w:rsid w:val="00E976E7"/>
    <w:rsid w:val="00ED075F"/>
    <w:rsid w:val="00F01158"/>
    <w:rsid w:val="00F1215F"/>
    <w:rsid w:val="00F12B2A"/>
    <w:rsid w:val="00F13AB9"/>
    <w:rsid w:val="00F37F79"/>
    <w:rsid w:val="00F46D3D"/>
    <w:rsid w:val="00F52604"/>
    <w:rsid w:val="00F714E5"/>
    <w:rsid w:val="00F9167D"/>
    <w:rsid w:val="00F91EA5"/>
    <w:rsid w:val="00FC445A"/>
    <w:rsid w:val="00FF5C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465CFED-9C9E-3142-B362-D47789F7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4224C"/>
    <w:pPr>
      <w:spacing w:after="240"/>
      <w:jc w:val="both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24C"/>
    <w:pPr>
      <w:ind w:left="720"/>
      <w:contextualSpacing/>
    </w:pPr>
  </w:style>
  <w:style w:type="paragraph" w:styleId="Textodebalo">
    <w:name w:val="Balloon Text"/>
    <w:basedOn w:val="Normal"/>
    <w:link w:val="TextodebaloCarter"/>
    <w:rsid w:val="001C6D6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1C6D68"/>
    <w:rPr>
      <w:rFonts w:ascii="Lucida Grande" w:hAnsi="Lucida Grande"/>
      <w:sz w:val="18"/>
      <w:szCs w:val="18"/>
      <w:lang w:val="pt-PT"/>
    </w:rPr>
  </w:style>
  <w:style w:type="paragraph" w:styleId="Rodap">
    <w:name w:val="footer"/>
    <w:basedOn w:val="Normal"/>
    <w:link w:val="RodapCarter"/>
    <w:rsid w:val="00B35DA7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B35DA7"/>
    <w:rPr>
      <w:sz w:val="28"/>
      <w:lang w:val="pt-PT"/>
    </w:rPr>
  </w:style>
  <w:style w:type="character" w:styleId="Nmerodepgina">
    <w:name w:val="page number"/>
    <w:basedOn w:val="Tipodeletrapredefinidodopargrafo"/>
    <w:rsid w:val="00B35DA7"/>
  </w:style>
  <w:style w:type="paragraph" w:styleId="Textodenotaderodap">
    <w:name w:val="footnote text"/>
    <w:basedOn w:val="Normal"/>
    <w:link w:val="TextodenotaderodapCarter"/>
    <w:rsid w:val="00630E48"/>
    <w:pPr>
      <w:spacing w:after="0"/>
    </w:pPr>
    <w:rPr>
      <w:sz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30E48"/>
    <w:rPr>
      <w:lang w:val="pt-PT"/>
    </w:rPr>
  </w:style>
  <w:style w:type="character" w:styleId="Refdenotaderodap">
    <w:name w:val="footnote reference"/>
    <w:basedOn w:val="Tipodeletrapredefinidodopargrafo"/>
    <w:rsid w:val="00630E48"/>
    <w:rPr>
      <w:vertAlign w:val="superscript"/>
    </w:rPr>
  </w:style>
  <w:style w:type="paragraph" w:styleId="Legenda">
    <w:name w:val="caption"/>
    <w:basedOn w:val="Normal"/>
    <w:next w:val="Normal"/>
    <w:rsid w:val="00442958"/>
    <w:pPr>
      <w:spacing w:after="200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Tipodeletrapredefinidodopargrafo"/>
    <w:rsid w:val="00500383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500383"/>
    <w:rPr>
      <w:sz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50038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0038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rsid w:val="00500383"/>
    <w:rPr>
      <w:b/>
      <w:bCs/>
      <w:sz w:val="20"/>
      <w:szCs w:val="20"/>
      <w:lang w:val="pt-PT"/>
    </w:rPr>
  </w:style>
  <w:style w:type="character" w:styleId="Hiperligao">
    <w:name w:val="Hyperlink"/>
    <w:basedOn w:val="Tipodeletrapredefinidodopargrafo"/>
    <w:unhideWhenUsed/>
    <w:rsid w:val="00212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mrdoob/three.js/issues/55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8B984-E54D-4664-804D-B1284677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7458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 and INESC-ID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Vala</dc:creator>
  <cp:keywords/>
  <cp:lastModifiedBy>Jacinto C. Nascimento</cp:lastModifiedBy>
  <cp:revision>93</cp:revision>
  <cp:lastPrinted>2018-10-29T16:01:00Z</cp:lastPrinted>
  <dcterms:created xsi:type="dcterms:W3CDTF">2012-02-17T00:20:00Z</dcterms:created>
  <dcterms:modified xsi:type="dcterms:W3CDTF">2019-10-25T12:30:00Z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